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0AAB" w:rsidRPr="00D127E4" w:rsidRDefault="004173D6" w:rsidP="00EE0AAB">
      <w:pPr>
        <w:jc w:val="both"/>
        <w:rPr>
          <w:rFonts w:ascii="Arial" w:hAnsi="Arial" w:cs="Arial"/>
          <w:b/>
          <w:bCs/>
          <w:color w:val="1F3864" w:themeColor="accent1" w:themeShade="80"/>
        </w:rPr>
      </w:pPr>
      <w:r w:rsidRPr="00D127E4">
        <w:rPr>
          <w:rFonts w:ascii="Arial" w:hAnsi="Arial" w:cs="Arial"/>
          <w:b/>
          <w:color w:val="1F3864" w:themeColor="accent1" w:themeShade="80"/>
        </w:rPr>
        <w:tab/>
      </w:r>
      <w:r w:rsidR="004D758A" w:rsidRPr="00D127E4">
        <w:rPr>
          <w:rFonts w:ascii="Arial" w:hAnsi="Arial" w:cs="Arial"/>
          <w:b/>
          <w:color w:val="1F3864" w:themeColor="accent1" w:themeShade="80"/>
          <w:u w:val="single"/>
        </w:rPr>
        <w:t xml:space="preserve">JASR- </w:t>
      </w:r>
      <w:r w:rsidR="00A63460">
        <w:rPr>
          <w:rFonts w:ascii="Arial" w:hAnsi="Arial" w:cs="Arial"/>
          <w:b/>
          <w:color w:val="1F3864" w:themeColor="accent1" w:themeShade="80"/>
          <w:u w:val="single"/>
        </w:rPr>
        <w:t>3058</w:t>
      </w:r>
      <w:r w:rsidR="0049650D" w:rsidRPr="00D127E4">
        <w:rPr>
          <w:rFonts w:ascii="Arial" w:hAnsi="Arial" w:cs="Arial"/>
          <w:b/>
          <w:color w:val="1F3864" w:themeColor="accent1" w:themeShade="80"/>
          <w:u w:val="single"/>
        </w:rPr>
        <w:t>/2022</w:t>
      </w:r>
      <w:r w:rsidR="004D758A" w:rsidRPr="00D127E4">
        <w:rPr>
          <w:rFonts w:ascii="Arial" w:hAnsi="Arial" w:cs="Arial"/>
          <w:b/>
          <w:color w:val="1F3864" w:themeColor="accent1" w:themeShade="80"/>
          <w:u w:val="single"/>
        </w:rPr>
        <w:t>.-</w:t>
      </w:r>
      <w:r w:rsidR="006755C6" w:rsidRPr="00D127E4">
        <w:rPr>
          <w:rFonts w:ascii="Arial" w:hAnsi="Arial" w:cs="Arial"/>
          <w:color w:val="1F3864" w:themeColor="accent1" w:themeShade="80"/>
          <w:shd w:val="clear" w:color="auto" w:fill="FFFFFF"/>
        </w:rPr>
        <w:t xml:space="preserve"> </w:t>
      </w:r>
      <w:bookmarkStart w:id="0" w:name="_Hlk83641269"/>
      <w:r w:rsidR="00D03369">
        <w:rPr>
          <w:rFonts w:ascii="Arial" w:hAnsi="Arial" w:cs="Arial"/>
          <w:b/>
          <w:color w:val="1F3864" w:themeColor="accent1" w:themeShade="80"/>
        </w:rPr>
        <w:t xml:space="preserve">PRESIDENTE MUNICIPAL DEL H. </w:t>
      </w:r>
      <w:r w:rsidR="00392A2E">
        <w:rPr>
          <w:rFonts w:ascii="Arial" w:hAnsi="Arial" w:cs="Arial"/>
          <w:b/>
          <w:color w:val="1F3864" w:themeColor="accent1" w:themeShade="80"/>
        </w:rPr>
        <w:t xml:space="preserve">AYUNTAMIENTO DE </w:t>
      </w:r>
      <w:r w:rsidR="00A63460">
        <w:rPr>
          <w:rFonts w:ascii="Arial" w:hAnsi="Arial" w:cs="Arial"/>
          <w:b/>
          <w:color w:val="1F3864" w:themeColor="accent1" w:themeShade="80"/>
        </w:rPr>
        <w:t xml:space="preserve">CERRO DE SAN PEDRO, </w:t>
      </w:r>
      <w:r w:rsidR="00392A2E">
        <w:rPr>
          <w:rFonts w:ascii="Arial" w:hAnsi="Arial" w:cs="Arial"/>
          <w:b/>
          <w:color w:val="1F3864" w:themeColor="accent1" w:themeShade="80"/>
        </w:rPr>
        <w:t>SAN LUIS POTOSÍ</w:t>
      </w:r>
    </w:p>
    <w:bookmarkEnd w:id="0"/>
    <w:p w:rsidR="004D758A" w:rsidRPr="00D127E4" w:rsidRDefault="004D758A" w:rsidP="004D758A">
      <w:pPr>
        <w:jc w:val="both"/>
        <w:rPr>
          <w:rFonts w:ascii="Arial" w:hAnsi="Arial" w:cs="Arial"/>
          <w:b/>
          <w:bCs/>
          <w:color w:val="1F3864" w:themeColor="accent1" w:themeShade="80"/>
        </w:rPr>
      </w:pPr>
      <w:r w:rsidRPr="00D127E4">
        <w:rPr>
          <w:rFonts w:ascii="Arial" w:hAnsi="Arial" w:cs="Arial"/>
          <w:b/>
          <w:bCs/>
          <w:color w:val="1F3864" w:themeColor="accent1" w:themeShade="80"/>
        </w:rPr>
        <w:t>PRESENTE.</w:t>
      </w:r>
    </w:p>
    <w:p w:rsidR="00D03369" w:rsidRPr="00D127E4" w:rsidRDefault="004D758A" w:rsidP="00D03369">
      <w:pPr>
        <w:jc w:val="both"/>
        <w:rPr>
          <w:rFonts w:ascii="Arial" w:hAnsi="Arial" w:cs="Arial"/>
          <w:b/>
          <w:bCs/>
          <w:color w:val="1F3864" w:themeColor="accent1" w:themeShade="80"/>
        </w:rPr>
      </w:pPr>
      <w:r w:rsidRPr="00D127E4">
        <w:rPr>
          <w:rFonts w:ascii="Arial" w:hAnsi="Arial" w:cs="Arial"/>
          <w:b/>
          <w:color w:val="1F3864" w:themeColor="accent1" w:themeShade="80"/>
        </w:rPr>
        <w:tab/>
      </w:r>
      <w:r w:rsidRPr="00D127E4">
        <w:rPr>
          <w:rFonts w:ascii="Arial" w:hAnsi="Arial" w:cs="Arial"/>
          <w:b/>
          <w:color w:val="1F3864" w:themeColor="accent1" w:themeShade="80"/>
          <w:u w:val="single"/>
        </w:rPr>
        <w:t xml:space="preserve">JASR- </w:t>
      </w:r>
      <w:r w:rsidR="00A63460">
        <w:rPr>
          <w:rFonts w:ascii="Arial" w:hAnsi="Arial" w:cs="Arial"/>
          <w:b/>
          <w:color w:val="1F3864" w:themeColor="accent1" w:themeShade="80"/>
          <w:u w:val="single"/>
        </w:rPr>
        <w:t>3059</w:t>
      </w:r>
      <w:r w:rsidR="0049650D" w:rsidRPr="00D127E4">
        <w:rPr>
          <w:rFonts w:ascii="Arial" w:hAnsi="Arial" w:cs="Arial"/>
          <w:b/>
          <w:color w:val="1F3864" w:themeColor="accent1" w:themeShade="80"/>
          <w:u w:val="single"/>
        </w:rPr>
        <w:t>/2022</w:t>
      </w:r>
      <w:r w:rsidRPr="00D127E4">
        <w:rPr>
          <w:rFonts w:ascii="Arial" w:hAnsi="Arial" w:cs="Arial"/>
          <w:b/>
          <w:color w:val="1F3864" w:themeColor="accent1" w:themeShade="80"/>
          <w:u w:val="single"/>
        </w:rPr>
        <w:t>.-</w:t>
      </w:r>
      <w:r w:rsidRPr="00D127E4">
        <w:rPr>
          <w:rFonts w:ascii="Arial" w:hAnsi="Arial" w:cs="Arial"/>
          <w:b/>
          <w:color w:val="1F3864" w:themeColor="accent1" w:themeShade="80"/>
        </w:rPr>
        <w:t xml:space="preserve"> </w:t>
      </w:r>
      <w:bookmarkStart w:id="1" w:name="_Hlk81218232"/>
      <w:r w:rsidRPr="00D127E4">
        <w:rPr>
          <w:rFonts w:ascii="Arial" w:hAnsi="Arial" w:cs="Arial"/>
          <w:b/>
          <w:color w:val="1F3864" w:themeColor="accent1" w:themeShade="80"/>
        </w:rPr>
        <w:t>TITULAR DE LA UNIDAD DE TRANSPARENCIA</w:t>
      </w:r>
      <w:r w:rsidR="00E72DC5" w:rsidRPr="00D127E4">
        <w:rPr>
          <w:rFonts w:ascii="Arial" w:hAnsi="Arial" w:cs="Arial"/>
          <w:b/>
          <w:color w:val="1F3864" w:themeColor="accent1" w:themeShade="80"/>
        </w:rPr>
        <w:t xml:space="preserve"> </w:t>
      </w:r>
      <w:bookmarkEnd w:id="1"/>
      <w:r w:rsidR="00D03369">
        <w:rPr>
          <w:rFonts w:ascii="Arial" w:hAnsi="Arial" w:cs="Arial"/>
          <w:b/>
          <w:color w:val="1F3864" w:themeColor="accent1" w:themeShade="80"/>
        </w:rPr>
        <w:t>DEL H. AYUNTAMIENTO DE</w:t>
      </w:r>
      <w:r w:rsidR="00A63460">
        <w:rPr>
          <w:rFonts w:ascii="Arial" w:hAnsi="Arial" w:cs="Arial"/>
          <w:b/>
          <w:color w:val="1F3864" w:themeColor="accent1" w:themeShade="80"/>
        </w:rPr>
        <w:t xml:space="preserve"> CERRO DE SAN PEDRO</w:t>
      </w:r>
      <w:r w:rsidR="00392A2E">
        <w:rPr>
          <w:rFonts w:ascii="Arial" w:hAnsi="Arial" w:cs="Arial"/>
          <w:b/>
          <w:color w:val="1F3864" w:themeColor="accent1" w:themeShade="80"/>
        </w:rPr>
        <w:t>, SAN LUIS POTOSÍ</w:t>
      </w:r>
    </w:p>
    <w:p w:rsidR="00467A35" w:rsidRPr="00D127E4" w:rsidRDefault="0049650D" w:rsidP="00E47BB2">
      <w:pPr>
        <w:jc w:val="both"/>
        <w:rPr>
          <w:rFonts w:ascii="Arial" w:hAnsi="Arial" w:cs="Arial"/>
          <w:b/>
          <w:bCs/>
          <w:color w:val="1F3864" w:themeColor="accent1" w:themeShade="80"/>
        </w:rPr>
      </w:pPr>
      <w:r w:rsidRPr="00D127E4">
        <w:rPr>
          <w:rFonts w:ascii="Arial" w:hAnsi="Arial" w:cs="Arial"/>
          <w:b/>
          <w:bCs/>
          <w:color w:val="1F3864" w:themeColor="accent1" w:themeShade="80"/>
        </w:rPr>
        <w:t>PRESENTE.</w:t>
      </w:r>
    </w:p>
    <w:p w:rsidR="00B763D6" w:rsidRPr="00D127E4" w:rsidRDefault="00791C4C" w:rsidP="00E47BB2">
      <w:pPr>
        <w:jc w:val="both"/>
        <w:rPr>
          <w:rFonts w:ascii="Arial" w:hAnsi="Arial" w:cs="Arial"/>
          <w:color w:val="1F3864" w:themeColor="accent1" w:themeShade="80"/>
          <w:sz w:val="23"/>
          <w:szCs w:val="23"/>
        </w:rPr>
      </w:pPr>
      <w:r w:rsidRPr="00D127E4">
        <w:rPr>
          <w:rFonts w:ascii="Arial" w:hAnsi="Arial" w:cs="Arial"/>
          <w:b/>
          <w:color w:val="1F3864" w:themeColor="accent1" w:themeShade="80"/>
          <w:sz w:val="23"/>
          <w:szCs w:val="23"/>
        </w:rPr>
        <w:t xml:space="preserve">          </w:t>
      </w:r>
      <w:r w:rsidR="004173D6" w:rsidRPr="00D127E4">
        <w:rPr>
          <w:rFonts w:ascii="Arial" w:hAnsi="Arial" w:cs="Arial"/>
          <w:color w:val="1F3864" w:themeColor="accent1" w:themeShade="80"/>
          <w:sz w:val="23"/>
          <w:szCs w:val="23"/>
        </w:rPr>
        <w:tab/>
        <w:t xml:space="preserve">Por medio del presente, hágase del conocimiento que en fecha </w:t>
      </w:r>
      <w:r w:rsidR="00A63460">
        <w:rPr>
          <w:rFonts w:ascii="Arial" w:hAnsi="Arial" w:cs="Arial"/>
          <w:color w:val="1F3864" w:themeColor="accent1" w:themeShade="80"/>
          <w:sz w:val="23"/>
          <w:szCs w:val="23"/>
        </w:rPr>
        <w:t xml:space="preserve">21 veintiuno </w:t>
      </w:r>
      <w:r w:rsidR="0049650D" w:rsidRPr="00D127E4">
        <w:rPr>
          <w:rFonts w:ascii="Arial" w:eastAsia="Times New Roman" w:hAnsi="Arial" w:cs="Arial"/>
          <w:i/>
          <w:iCs/>
          <w:color w:val="1F3864" w:themeColor="accent1" w:themeShade="80"/>
          <w:lang w:eastAsia="es-MX"/>
        </w:rPr>
        <w:t>de 2022 dos mil veintidós</w:t>
      </w:r>
      <w:r w:rsidR="004173D6" w:rsidRPr="00D127E4">
        <w:rPr>
          <w:rFonts w:ascii="Arial" w:hAnsi="Arial" w:cs="Arial"/>
          <w:color w:val="1F3864" w:themeColor="accent1" w:themeShade="80"/>
          <w:sz w:val="23"/>
          <w:szCs w:val="23"/>
        </w:rPr>
        <w:t xml:space="preserve">, </w:t>
      </w:r>
      <w:r w:rsidR="00E47BB2" w:rsidRPr="00D127E4">
        <w:rPr>
          <w:rFonts w:ascii="Arial" w:hAnsi="Arial" w:cs="Arial"/>
          <w:color w:val="1F3864" w:themeColor="accent1" w:themeShade="80"/>
          <w:sz w:val="23"/>
          <w:szCs w:val="23"/>
        </w:rPr>
        <w:t>esta C</w:t>
      </w:r>
      <w:r w:rsidR="004173D6" w:rsidRPr="00D127E4">
        <w:rPr>
          <w:rFonts w:ascii="Arial" w:hAnsi="Arial" w:cs="Arial"/>
          <w:color w:val="1F3864" w:themeColor="accent1" w:themeShade="80"/>
          <w:sz w:val="23"/>
          <w:szCs w:val="23"/>
        </w:rPr>
        <w:t xml:space="preserve">omisión dicto </w:t>
      </w:r>
      <w:r w:rsidR="00E47BB2" w:rsidRPr="00D127E4">
        <w:rPr>
          <w:rFonts w:ascii="Arial" w:hAnsi="Arial" w:cs="Arial"/>
          <w:color w:val="1F3864" w:themeColor="accent1" w:themeShade="80"/>
          <w:sz w:val="23"/>
          <w:szCs w:val="23"/>
        </w:rPr>
        <w:t>un proveído</w:t>
      </w:r>
      <w:r w:rsidR="00E30071" w:rsidRPr="00D127E4">
        <w:rPr>
          <w:rFonts w:ascii="Arial" w:hAnsi="Arial" w:cs="Arial"/>
          <w:color w:val="1F3864" w:themeColor="accent1" w:themeShade="80"/>
          <w:sz w:val="23"/>
          <w:szCs w:val="23"/>
        </w:rPr>
        <w:t xml:space="preserve"> en el recurso</w:t>
      </w:r>
      <w:r w:rsidR="009878D5" w:rsidRPr="00D127E4">
        <w:rPr>
          <w:rFonts w:ascii="Arial" w:hAnsi="Arial" w:cs="Arial"/>
          <w:color w:val="1F3864" w:themeColor="accent1" w:themeShade="80"/>
          <w:sz w:val="23"/>
          <w:szCs w:val="23"/>
        </w:rPr>
        <w:t xml:space="preserve"> de </w:t>
      </w:r>
      <w:r w:rsidR="00E30071" w:rsidRPr="00D127E4">
        <w:rPr>
          <w:rFonts w:ascii="Arial" w:hAnsi="Arial" w:cs="Arial"/>
          <w:color w:val="1F3864" w:themeColor="accent1" w:themeShade="80"/>
          <w:sz w:val="23"/>
          <w:szCs w:val="23"/>
        </w:rPr>
        <w:t xml:space="preserve">revisión </w:t>
      </w:r>
      <w:r w:rsidR="00E30071" w:rsidRPr="00D127E4">
        <w:rPr>
          <w:rFonts w:ascii="Arial" w:hAnsi="Arial" w:cs="Arial"/>
          <w:b/>
          <w:bCs/>
          <w:color w:val="1F3864" w:themeColor="accent1" w:themeShade="80"/>
          <w:sz w:val="23"/>
          <w:szCs w:val="23"/>
        </w:rPr>
        <w:t>R</w:t>
      </w:r>
      <w:r w:rsidR="00DC25E4" w:rsidRPr="00D127E4">
        <w:rPr>
          <w:rFonts w:ascii="Arial" w:hAnsi="Arial" w:cs="Arial"/>
          <w:b/>
          <w:bCs/>
          <w:color w:val="1F3864" w:themeColor="accent1" w:themeShade="80"/>
          <w:sz w:val="23"/>
          <w:szCs w:val="23"/>
        </w:rPr>
        <w:t>R</w:t>
      </w:r>
      <w:r w:rsidR="0049650D" w:rsidRPr="00D127E4">
        <w:rPr>
          <w:rFonts w:ascii="Arial" w:hAnsi="Arial" w:cs="Arial"/>
          <w:b/>
          <w:bCs/>
          <w:color w:val="1F3864" w:themeColor="accent1" w:themeShade="80"/>
          <w:sz w:val="23"/>
          <w:szCs w:val="23"/>
        </w:rPr>
        <w:t xml:space="preserve"> </w:t>
      </w:r>
      <w:r w:rsidR="00A63460">
        <w:rPr>
          <w:rFonts w:ascii="Arial" w:hAnsi="Arial" w:cs="Arial"/>
          <w:b/>
          <w:bCs/>
          <w:color w:val="1F3864" w:themeColor="accent1" w:themeShade="80"/>
          <w:sz w:val="23"/>
          <w:szCs w:val="23"/>
        </w:rPr>
        <w:t>291</w:t>
      </w:r>
      <w:r w:rsidR="00B67888" w:rsidRPr="00D127E4">
        <w:rPr>
          <w:rFonts w:ascii="Arial" w:hAnsi="Arial" w:cs="Arial"/>
          <w:b/>
          <w:bCs/>
          <w:color w:val="1F3864" w:themeColor="accent1" w:themeShade="80"/>
          <w:sz w:val="23"/>
          <w:szCs w:val="23"/>
        </w:rPr>
        <w:t>/</w:t>
      </w:r>
      <w:r w:rsidR="00E260D7" w:rsidRPr="00D127E4">
        <w:rPr>
          <w:rFonts w:ascii="Arial" w:hAnsi="Arial" w:cs="Arial"/>
          <w:b/>
          <w:bCs/>
          <w:color w:val="1F3864" w:themeColor="accent1" w:themeShade="80"/>
          <w:sz w:val="23"/>
          <w:szCs w:val="23"/>
        </w:rPr>
        <w:t>20</w:t>
      </w:r>
      <w:r w:rsidR="006A3582">
        <w:rPr>
          <w:rFonts w:ascii="Arial" w:hAnsi="Arial" w:cs="Arial"/>
          <w:b/>
          <w:bCs/>
          <w:color w:val="1F3864" w:themeColor="accent1" w:themeShade="80"/>
          <w:sz w:val="23"/>
          <w:szCs w:val="23"/>
        </w:rPr>
        <w:t>1</w:t>
      </w:r>
      <w:r w:rsidR="00A63460">
        <w:rPr>
          <w:rFonts w:ascii="Arial" w:hAnsi="Arial" w:cs="Arial"/>
          <w:b/>
          <w:bCs/>
          <w:color w:val="1F3864" w:themeColor="accent1" w:themeShade="80"/>
          <w:sz w:val="23"/>
          <w:szCs w:val="23"/>
        </w:rPr>
        <w:t>6</w:t>
      </w:r>
      <w:r w:rsidR="00E30071" w:rsidRPr="00D127E4">
        <w:rPr>
          <w:rFonts w:ascii="Arial" w:hAnsi="Arial" w:cs="Arial"/>
          <w:b/>
          <w:bCs/>
          <w:color w:val="1F3864" w:themeColor="accent1" w:themeShade="80"/>
          <w:sz w:val="23"/>
          <w:szCs w:val="23"/>
        </w:rPr>
        <w:t>-2</w:t>
      </w:r>
      <w:r w:rsidR="00E47BB2" w:rsidRPr="00D127E4">
        <w:rPr>
          <w:rFonts w:ascii="Arial" w:hAnsi="Arial" w:cs="Arial"/>
          <w:color w:val="1F3864" w:themeColor="accent1" w:themeShade="80"/>
          <w:sz w:val="23"/>
          <w:szCs w:val="23"/>
        </w:rPr>
        <w:t xml:space="preserve"> que </w:t>
      </w:r>
      <w:r w:rsidR="004173D6" w:rsidRPr="00D127E4">
        <w:rPr>
          <w:rFonts w:ascii="Arial" w:hAnsi="Arial" w:cs="Arial"/>
          <w:color w:val="1F3864" w:themeColor="accent1" w:themeShade="80"/>
          <w:sz w:val="23"/>
          <w:szCs w:val="23"/>
        </w:rPr>
        <w:t>a la letra señala:</w:t>
      </w:r>
      <w:r w:rsidR="00E47BB2" w:rsidRPr="00D127E4">
        <w:rPr>
          <w:rFonts w:ascii="Arial" w:hAnsi="Arial" w:cs="Arial"/>
          <w:color w:val="1F3864" w:themeColor="accent1" w:themeShade="80"/>
          <w:sz w:val="23"/>
          <w:szCs w:val="23"/>
        </w:rPr>
        <w:t xml:space="preserve"> </w:t>
      </w:r>
    </w:p>
    <w:p w:rsidR="00A63460" w:rsidRPr="00A63460" w:rsidRDefault="00A63460" w:rsidP="00A63460">
      <w:pPr>
        <w:pStyle w:val="Sinespaciado"/>
        <w:jc w:val="both"/>
        <w:rPr>
          <w:rFonts w:ascii="Arial" w:hAnsi="Arial" w:cs="Arial"/>
          <w:color w:val="00B0F0"/>
          <w:sz w:val="14"/>
          <w:szCs w:val="14"/>
        </w:rPr>
      </w:pPr>
      <w:bookmarkStart w:id="2" w:name="_Hlk57798855"/>
      <w:r w:rsidRPr="00A63460">
        <w:rPr>
          <w:rFonts w:ascii="Arial" w:hAnsi="Arial" w:cs="Arial"/>
          <w:color w:val="00B0F0"/>
          <w:sz w:val="14"/>
          <w:szCs w:val="14"/>
        </w:rPr>
        <w:t>San Luis Potosí, San Luis Potosí, a veintiuno de septiembre de dos mil veintidós.</w:t>
      </w: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y 181 de la Ley de Transparencia y Acceso a la Información Pública del Estado, procede a analizar el cumplimiento a la resolución de cinco de agosto de dos mil diecinueve, dictada en el presente asunto, con base en las constancias que obran en autos. </w:t>
      </w: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 xml:space="preserve">En la resolución que nos ocupa esta Comisión aplicó el principio de afirmativa ficta, por lo </w:t>
      </w:r>
      <w:proofErr w:type="gramStart"/>
      <w:r w:rsidRPr="00A63460">
        <w:rPr>
          <w:rFonts w:ascii="Arial" w:hAnsi="Arial" w:cs="Arial"/>
          <w:color w:val="00B0F0"/>
          <w:sz w:val="14"/>
          <w:szCs w:val="14"/>
        </w:rPr>
        <w:t>tanto</w:t>
      </w:r>
      <w:proofErr w:type="gramEnd"/>
      <w:r w:rsidRPr="00A63460">
        <w:rPr>
          <w:rFonts w:ascii="Arial" w:hAnsi="Arial" w:cs="Arial"/>
          <w:color w:val="00B0F0"/>
          <w:sz w:val="14"/>
          <w:szCs w:val="14"/>
        </w:rPr>
        <w:t xml:space="preserve"> lo conminó para que emitiera una nueva respuesta en la que: </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numPr>
          <w:ilvl w:val="0"/>
          <w:numId w:val="9"/>
        </w:numPr>
        <w:jc w:val="both"/>
        <w:rPr>
          <w:rFonts w:ascii="Arial" w:hAnsi="Arial" w:cs="Arial"/>
          <w:color w:val="00B0F0"/>
          <w:sz w:val="14"/>
          <w:szCs w:val="14"/>
        </w:rPr>
      </w:pPr>
      <w:bookmarkStart w:id="3" w:name="_Hlk58437935"/>
      <w:r w:rsidRPr="00A63460">
        <w:rPr>
          <w:rFonts w:ascii="Arial" w:hAnsi="Arial" w:cs="Arial"/>
          <w:color w:val="00B0F0"/>
          <w:sz w:val="14"/>
          <w:szCs w:val="14"/>
        </w:rPr>
        <w:t xml:space="preserve">Entregue al solicitante la información estadística sobre el número de personas detenidas por la Policía Municipal en donde se advierta: </w:t>
      </w:r>
    </w:p>
    <w:p w:rsidR="00A63460" w:rsidRPr="00A63460" w:rsidRDefault="00A63460" w:rsidP="00A63460">
      <w:pPr>
        <w:pStyle w:val="Sinespaciado"/>
        <w:numPr>
          <w:ilvl w:val="0"/>
          <w:numId w:val="10"/>
        </w:numPr>
        <w:jc w:val="both"/>
        <w:rPr>
          <w:rFonts w:ascii="Arial" w:hAnsi="Arial" w:cs="Arial"/>
          <w:color w:val="00B0F0"/>
          <w:sz w:val="14"/>
          <w:szCs w:val="14"/>
        </w:rPr>
      </w:pPr>
      <w:r w:rsidRPr="00A63460">
        <w:rPr>
          <w:rFonts w:ascii="Arial" w:hAnsi="Arial" w:cs="Arial"/>
          <w:color w:val="00B0F0"/>
          <w:sz w:val="14"/>
          <w:szCs w:val="14"/>
        </w:rPr>
        <w:t>Las comprendidas entre los 12 doce y 29 veintinueve años de edad.</w:t>
      </w:r>
    </w:p>
    <w:p w:rsidR="00A63460" w:rsidRPr="00A63460" w:rsidRDefault="00A63460" w:rsidP="00A63460">
      <w:pPr>
        <w:pStyle w:val="Sinespaciado"/>
        <w:numPr>
          <w:ilvl w:val="0"/>
          <w:numId w:val="10"/>
        </w:numPr>
        <w:jc w:val="both"/>
        <w:rPr>
          <w:rFonts w:ascii="Arial" w:hAnsi="Arial" w:cs="Arial"/>
          <w:color w:val="00B0F0"/>
          <w:sz w:val="14"/>
          <w:szCs w:val="14"/>
        </w:rPr>
      </w:pPr>
      <w:r w:rsidRPr="00A63460">
        <w:rPr>
          <w:rFonts w:ascii="Arial" w:hAnsi="Arial" w:cs="Arial"/>
          <w:color w:val="00B0F0"/>
          <w:sz w:val="14"/>
          <w:szCs w:val="14"/>
        </w:rPr>
        <w:t>El lugar de su detención.</w:t>
      </w:r>
    </w:p>
    <w:p w:rsidR="00A63460" w:rsidRPr="00A63460" w:rsidRDefault="00A63460" w:rsidP="00A63460">
      <w:pPr>
        <w:pStyle w:val="Sinespaciado"/>
        <w:numPr>
          <w:ilvl w:val="0"/>
          <w:numId w:val="10"/>
        </w:numPr>
        <w:jc w:val="both"/>
        <w:rPr>
          <w:rFonts w:ascii="Arial" w:hAnsi="Arial" w:cs="Arial"/>
          <w:color w:val="00B0F0"/>
          <w:sz w:val="14"/>
          <w:szCs w:val="14"/>
        </w:rPr>
      </w:pPr>
      <w:r w:rsidRPr="00A63460">
        <w:rPr>
          <w:rFonts w:ascii="Arial" w:hAnsi="Arial" w:cs="Arial"/>
          <w:color w:val="00B0F0"/>
          <w:sz w:val="14"/>
          <w:szCs w:val="14"/>
        </w:rPr>
        <w:t>La edad de los detenidos.</w:t>
      </w:r>
    </w:p>
    <w:p w:rsidR="00A63460" w:rsidRPr="00A63460" w:rsidRDefault="00A63460" w:rsidP="00A63460">
      <w:pPr>
        <w:pStyle w:val="Sinespaciado"/>
        <w:numPr>
          <w:ilvl w:val="0"/>
          <w:numId w:val="10"/>
        </w:numPr>
        <w:jc w:val="both"/>
        <w:rPr>
          <w:rFonts w:ascii="Arial" w:hAnsi="Arial" w:cs="Arial"/>
          <w:color w:val="00B0F0"/>
          <w:sz w:val="14"/>
          <w:szCs w:val="14"/>
        </w:rPr>
      </w:pPr>
      <w:r w:rsidRPr="00A63460">
        <w:rPr>
          <w:rFonts w:ascii="Arial" w:hAnsi="Arial" w:cs="Arial"/>
          <w:color w:val="00B0F0"/>
          <w:sz w:val="14"/>
          <w:szCs w:val="14"/>
        </w:rPr>
        <w:t>El sexo de los detenidos.</w:t>
      </w:r>
    </w:p>
    <w:p w:rsidR="00A63460" w:rsidRPr="00A63460" w:rsidRDefault="00A63460" w:rsidP="00A63460">
      <w:pPr>
        <w:pStyle w:val="Sinespaciado"/>
        <w:numPr>
          <w:ilvl w:val="0"/>
          <w:numId w:val="10"/>
        </w:numPr>
        <w:jc w:val="both"/>
        <w:rPr>
          <w:rFonts w:ascii="Arial" w:hAnsi="Arial" w:cs="Arial"/>
          <w:color w:val="00B0F0"/>
          <w:sz w:val="14"/>
          <w:szCs w:val="14"/>
        </w:rPr>
      </w:pPr>
      <w:r w:rsidRPr="00A63460">
        <w:rPr>
          <w:rFonts w:ascii="Arial" w:hAnsi="Arial" w:cs="Arial"/>
          <w:color w:val="00B0F0"/>
          <w:sz w:val="14"/>
          <w:szCs w:val="14"/>
        </w:rPr>
        <w:t>El acto o motivo de su detención.</w:t>
      </w: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Todo lo anterior, sobre los años 2010 dos mil diez hasta agosto de 2016 dos mil dieciséis.</w:t>
      </w:r>
    </w:p>
    <w:bookmarkEnd w:id="3"/>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Por lo que, en acatamiento al mencionado fallo el sujeto obligado remitió a esta Comisión para justificar el cumplimiento, las siguientes constancias: </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numPr>
          <w:ilvl w:val="0"/>
          <w:numId w:val="9"/>
        </w:numPr>
        <w:jc w:val="both"/>
        <w:rPr>
          <w:rFonts w:ascii="Arial" w:hAnsi="Arial" w:cs="Arial"/>
          <w:color w:val="00B0F0"/>
          <w:sz w:val="14"/>
          <w:szCs w:val="14"/>
        </w:rPr>
      </w:pPr>
      <w:r w:rsidRPr="00A63460">
        <w:rPr>
          <w:rFonts w:ascii="Arial" w:hAnsi="Arial" w:cs="Arial"/>
          <w:color w:val="00B0F0"/>
          <w:sz w:val="14"/>
          <w:szCs w:val="14"/>
        </w:rPr>
        <w:t>Oficio número MSCP-UT-01/2021, emitido el cuatro de octubre de dos mil veintiuno, por medio del cual, el Síndico municipal del H. Ayuntamiento de Cerro de San Pedro, San Luis Potosí manifestó “[…]</w:t>
      </w:r>
      <w:r w:rsidRPr="00A63460">
        <w:rPr>
          <w:rFonts w:ascii="Arial" w:hAnsi="Arial" w:cs="Arial"/>
          <w:i/>
          <w:iCs/>
          <w:color w:val="00B0F0"/>
          <w:sz w:val="14"/>
          <w:szCs w:val="14"/>
        </w:rPr>
        <w:t xml:space="preserve">me permito remitir copia certificada del oficio sin </w:t>
      </w:r>
      <w:proofErr w:type="spellStart"/>
      <w:r w:rsidRPr="00A63460">
        <w:rPr>
          <w:rFonts w:ascii="Arial" w:hAnsi="Arial" w:cs="Arial"/>
          <w:i/>
          <w:iCs/>
          <w:color w:val="00B0F0"/>
          <w:sz w:val="14"/>
          <w:szCs w:val="14"/>
        </w:rPr>
        <w:t>numero</w:t>
      </w:r>
      <w:proofErr w:type="spellEnd"/>
      <w:r w:rsidRPr="00A63460">
        <w:rPr>
          <w:rFonts w:ascii="Arial" w:hAnsi="Arial" w:cs="Arial"/>
          <w:i/>
          <w:iCs/>
          <w:color w:val="00B0F0"/>
          <w:sz w:val="14"/>
          <w:szCs w:val="14"/>
        </w:rPr>
        <w:t xml:space="preserve">, de fecha 25 de enero de 2019, emitido por el Lic. José Carmen </w:t>
      </w:r>
      <w:proofErr w:type="spellStart"/>
      <w:r w:rsidRPr="00A63460">
        <w:rPr>
          <w:rFonts w:ascii="Arial" w:hAnsi="Arial" w:cs="Arial"/>
          <w:i/>
          <w:iCs/>
          <w:color w:val="00B0F0"/>
          <w:sz w:val="14"/>
          <w:szCs w:val="14"/>
        </w:rPr>
        <w:t>Avila</w:t>
      </w:r>
      <w:proofErr w:type="spellEnd"/>
      <w:r w:rsidRPr="00A63460">
        <w:rPr>
          <w:rFonts w:ascii="Arial" w:hAnsi="Arial" w:cs="Arial"/>
          <w:i/>
          <w:iCs/>
          <w:color w:val="00B0F0"/>
          <w:sz w:val="14"/>
          <w:szCs w:val="14"/>
        </w:rPr>
        <w:t xml:space="preserve"> Alonso, Director de Seguridad Pública Municipal de Cerro de San </w:t>
      </w:r>
      <w:proofErr w:type="gramStart"/>
      <w:r w:rsidRPr="00A63460">
        <w:rPr>
          <w:rFonts w:ascii="Arial" w:hAnsi="Arial" w:cs="Arial"/>
          <w:i/>
          <w:iCs/>
          <w:color w:val="00B0F0"/>
          <w:sz w:val="14"/>
          <w:szCs w:val="14"/>
        </w:rPr>
        <w:t>Pedro</w:t>
      </w:r>
      <w:r w:rsidRPr="00A63460">
        <w:rPr>
          <w:rFonts w:ascii="Arial" w:hAnsi="Arial" w:cs="Arial"/>
          <w:color w:val="00B0F0"/>
          <w:sz w:val="14"/>
          <w:szCs w:val="14"/>
        </w:rPr>
        <w:t>[</w:t>
      </w:r>
      <w:proofErr w:type="gramEnd"/>
      <w:r w:rsidRPr="00A63460">
        <w:rPr>
          <w:rFonts w:ascii="Arial" w:hAnsi="Arial" w:cs="Arial"/>
          <w:color w:val="00B0F0"/>
          <w:sz w:val="14"/>
          <w:szCs w:val="14"/>
        </w:rPr>
        <w:t>…]”.</w:t>
      </w: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 xml:space="preserve">Por lo anterior, mediante acuerdo de cinco de noviembre de </w:t>
      </w:r>
      <w:proofErr w:type="gramStart"/>
      <w:r w:rsidRPr="00A63460">
        <w:rPr>
          <w:rFonts w:ascii="Arial" w:hAnsi="Arial" w:cs="Arial"/>
          <w:color w:val="00B0F0"/>
          <w:sz w:val="14"/>
          <w:szCs w:val="14"/>
        </w:rPr>
        <w:t>dos mil veintiuno</w:t>
      </w:r>
      <w:proofErr w:type="gramEnd"/>
      <w:r w:rsidRPr="00A63460">
        <w:rPr>
          <w:rFonts w:ascii="Arial" w:hAnsi="Arial" w:cs="Arial"/>
          <w:color w:val="00B0F0"/>
          <w:sz w:val="14"/>
          <w:szCs w:val="14"/>
        </w:rPr>
        <w:t>, este Órgano Colegiado determinó que las manifestaciones vertidas en el oficio anexo, no acreditaban la entrega fehaciente de la información solicitada por el ahora recurrente, o en su caso determinara conforme a los preceptos legales establecidos, la determinación de la inexistencia formal de la información solicitada.</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 xml:space="preserve">Así, mediante oficio número MCSP-UTM-90/2022, emitido el veintiséis de enero de dos mil veintidós, la Jefa de la Unidad de Transparencia compareció ante este órgano garante, a fin de exhibir </w:t>
      </w:r>
      <w:proofErr w:type="gramStart"/>
      <w:r w:rsidRPr="00A63460">
        <w:rPr>
          <w:rFonts w:ascii="Arial" w:hAnsi="Arial" w:cs="Arial"/>
          <w:color w:val="00B0F0"/>
          <w:sz w:val="14"/>
          <w:szCs w:val="14"/>
        </w:rPr>
        <w:t>las siguientes documentales</w:t>
      </w:r>
      <w:proofErr w:type="gramEnd"/>
      <w:r w:rsidRPr="00A63460">
        <w:rPr>
          <w:rFonts w:ascii="Arial" w:hAnsi="Arial" w:cs="Arial"/>
          <w:color w:val="00B0F0"/>
          <w:sz w:val="14"/>
          <w:szCs w:val="14"/>
        </w:rPr>
        <w:t>:</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numPr>
          <w:ilvl w:val="0"/>
          <w:numId w:val="11"/>
        </w:numPr>
        <w:jc w:val="both"/>
        <w:rPr>
          <w:rFonts w:ascii="Arial" w:hAnsi="Arial" w:cs="Arial"/>
          <w:color w:val="00B0F0"/>
          <w:sz w:val="14"/>
          <w:szCs w:val="14"/>
        </w:rPr>
      </w:pPr>
      <w:r w:rsidRPr="00A63460">
        <w:rPr>
          <w:rFonts w:ascii="Arial" w:hAnsi="Arial" w:cs="Arial"/>
          <w:color w:val="00B0F0"/>
          <w:sz w:val="14"/>
          <w:szCs w:val="14"/>
        </w:rPr>
        <w:t>Copia certificada del nombramiento otorgado en favor de la Jefa de la Unidad de Transparencia del sujeto obligado.</w:t>
      </w:r>
    </w:p>
    <w:p w:rsidR="00A63460" w:rsidRPr="00A63460" w:rsidRDefault="00A63460" w:rsidP="00A63460">
      <w:pPr>
        <w:pStyle w:val="Sinespaciado"/>
        <w:numPr>
          <w:ilvl w:val="0"/>
          <w:numId w:val="11"/>
        </w:numPr>
        <w:jc w:val="both"/>
        <w:rPr>
          <w:rFonts w:ascii="Arial" w:hAnsi="Arial" w:cs="Arial"/>
          <w:color w:val="00B0F0"/>
          <w:sz w:val="14"/>
          <w:szCs w:val="14"/>
        </w:rPr>
      </w:pPr>
      <w:r w:rsidRPr="00A63460">
        <w:rPr>
          <w:rFonts w:ascii="Arial" w:hAnsi="Arial" w:cs="Arial"/>
          <w:color w:val="00B0F0"/>
          <w:sz w:val="14"/>
          <w:szCs w:val="14"/>
        </w:rPr>
        <w:t xml:space="preserve">Copia certificada del oficio </w:t>
      </w:r>
      <w:proofErr w:type="spellStart"/>
      <w:r w:rsidRPr="00A63460">
        <w:rPr>
          <w:rFonts w:ascii="Arial" w:hAnsi="Arial" w:cs="Arial"/>
          <w:color w:val="00B0F0"/>
          <w:sz w:val="14"/>
          <w:szCs w:val="14"/>
        </w:rPr>
        <w:t>numero</w:t>
      </w:r>
      <w:proofErr w:type="spellEnd"/>
      <w:r w:rsidRPr="00A63460">
        <w:rPr>
          <w:rFonts w:ascii="Arial" w:hAnsi="Arial" w:cs="Arial"/>
          <w:color w:val="00B0F0"/>
          <w:sz w:val="14"/>
          <w:szCs w:val="14"/>
        </w:rPr>
        <w:t xml:space="preserve"> MCSP-SP-002/2022.</w:t>
      </w:r>
    </w:p>
    <w:p w:rsidR="00A63460" w:rsidRPr="00A63460" w:rsidRDefault="00A63460" w:rsidP="00A63460">
      <w:pPr>
        <w:pStyle w:val="Sinespaciado"/>
        <w:numPr>
          <w:ilvl w:val="0"/>
          <w:numId w:val="11"/>
        </w:numPr>
        <w:jc w:val="both"/>
        <w:rPr>
          <w:rFonts w:ascii="Arial" w:hAnsi="Arial" w:cs="Arial"/>
          <w:color w:val="00B0F0"/>
          <w:sz w:val="14"/>
          <w:szCs w:val="14"/>
        </w:rPr>
      </w:pPr>
      <w:r w:rsidRPr="00A63460">
        <w:rPr>
          <w:rFonts w:ascii="Arial" w:hAnsi="Arial" w:cs="Arial"/>
          <w:color w:val="00B0F0"/>
          <w:sz w:val="14"/>
          <w:szCs w:val="14"/>
        </w:rPr>
        <w:t xml:space="preserve"> Copia certificada del nombramiento expedido en favor del Director de Seguridad Pública Municipal de Cerro de San Pedro, San Luis Potosí.</w:t>
      </w:r>
    </w:p>
    <w:p w:rsidR="00A63460" w:rsidRPr="00A63460" w:rsidRDefault="00A63460" w:rsidP="00A63460">
      <w:pPr>
        <w:pStyle w:val="Sinespaciado"/>
        <w:numPr>
          <w:ilvl w:val="0"/>
          <w:numId w:val="11"/>
        </w:numPr>
        <w:jc w:val="both"/>
        <w:rPr>
          <w:rFonts w:ascii="Arial" w:hAnsi="Arial" w:cs="Arial"/>
          <w:color w:val="00B0F0"/>
          <w:sz w:val="14"/>
          <w:szCs w:val="14"/>
        </w:rPr>
      </w:pPr>
      <w:r w:rsidRPr="00A63460">
        <w:rPr>
          <w:rFonts w:ascii="Arial" w:hAnsi="Arial" w:cs="Arial"/>
          <w:color w:val="00B0F0"/>
          <w:sz w:val="14"/>
          <w:szCs w:val="14"/>
        </w:rPr>
        <w:t>Copias certificadas de las constancias de notificación de la respuesta emitida en cumplimiento de la resolución dictada en el presente asunto.</w:t>
      </w: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 xml:space="preserve">Una vez precisado lo anterior, es de señalarse que, como se precisó en el acuerdo emitido el cinco de noviembre de </w:t>
      </w:r>
      <w:proofErr w:type="gramStart"/>
      <w:r w:rsidRPr="00A63460">
        <w:rPr>
          <w:rFonts w:ascii="Arial" w:hAnsi="Arial" w:cs="Arial"/>
          <w:color w:val="00B0F0"/>
          <w:sz w:val="14"/>
          <w:szCs w:val="14"/>
        </w:rPr>
        <w:t>dos mil veintiuno</w:t>
      </w:r>
      <w:proofErr w:type="gramEnd"/>
      <w:r w:rsidRPr="00A63460">
        <w:rPr>
          <w:rFonts w:ascii="Arial" w:hAnsi="Arial" w:cs="Arial"/>
          <w:color w:val="00B0F0"/>
          <w:sz w:val="14"/>
          <w:szCs w:val="14"/>
        </w:rPr>
        <w:t>, los sujetos obligados únicamente poseen el deber de entregar la información qué, derivada de la aplicación de las facultades, competencias o funciones, que emanan de los preceptos legales que los rigen.</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Es así, que de conformidad con lo establecido en el artículo 141</w:t>
      </w:r>
      <w:r w:rsidRPr="00A63460">
        <w:rPr>
          <w:rStyle w:val="Refdenotaalpie"/>
          <w:rFonts w:ascii="Arial" w:hAnsi="Arial" w:cs="Arial"/>
          <w:color w:val="00B0F0"/>
          <w:sz w:val="14"/>
          <w:szCs w:val="14"/>
        </w:rPr>
        <w:footnoteReference w:id="1"/>
      </w:r>
      <w:r w:rsidRPr="00A63460">
        <w:rPr>
          <w:rFonts w:ascii="Arial" w:hAnsi="Arial" w:cs="Arial"/>
          <w:color w:val="00B0F0"/>
          <w:sz w:val="14"/>
          <w:szCs w:val="14"/>
        </w:rPr>
        <w:t>, fracción VIII</w:t>
      </w:r>
      <w:r w:rsidRPr="00A63460">
        <w:rPr>
          <w:rStyle w:val="Refdenotaalpie"/>
          <w:rFonts w:ascii="Arial" w:hAnsi="Arial" w:cs="Arial"/>
          <w:color w:val="00B0F0"/>
          <w:sz w:val="14"/>
          <w:szCs w:val="14"/>
        </w:rPr>
        <w:footnoteReference w:id="2"/>
      </w:r>
      <w:r w:rsidRPr="00A63460">
        <w:rPr>
          <w:rFonts w:ascii="Arial" w:hAnsi="Arial" w:cs="Arial"/>
          <w:color w:val="00B0F0"/>
          <w:sz w:val="14"/>
          <w:szCs w:val="14"/>
        </w:rPr>
        <w:t>, de la Ley Orgánica del Municipio Libre del Estado de San Luis Potosí, le compete a los Ayuntamientos la prestación del servicio de Seguridad Pública; por lo cual, a consideración de este órgano garante, resultaba necesario que el sujeto obligado realizara la declaración formal de inexistencia, contemplada en los artículos 160 y 161 de la Ley de la materia.</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lastRenderedPageBreak/>
        <w:t>No obstante lo anterior, la Ley de la materia, a través de su artículo 20</w:t>
      </w:r>
      <w:r w:rsidRPr="00A63460">
        <w:rPr>
          <w:rStyle w:val="Refdenotaalpie"/>
          <w:rFonts w:ascii="Arial" w:hAnsi="Arial" w:cs="Arial"/>
          <w:color w:val="00B0F0"/>
          <w:sz w:val="14"/>
          <w:szCs w:val="14"/>
        </w:rPr>
        <w:footnoteReference w:id="3"/>
      </w:r>
      <w:r w:rsidRPr="00A63460">
        <w:rPr>
          <w:rFonts w:ascii="Arial" w:hAnsi="Arial" w:cs="Arial"/>
          <w:color w:val="00B0F0"/>
          <w:sz w:val="14"/>
          <w:szCs w:val="14"/>
        </w:rPr>
        <w:t xml:space="preserve">, establece lo correspondiente a los casos en los que el sujeto obligado, </w:t>
      </w:r>
      <w:proofErr w:type="spellStart"/>
      <w:r w:rsidRPr="00A63460">
        <w:rPr>
          <w:rFonts w:ascii="Arial" w:hAnsi="Arial" w:cs="Arial"/>
          <w:color w:val="00B0F0"/>
          <w:sz w:val="14"/>
          <w:szCs w:val="14"/>
        </w:rPr>
        <w:t>aún</w:t>
      </w:r>
      <w:proofErr w:type="spellEnd"/>
      <w:r w:rsidRPr="00A63460">
        <w:rPr>
          <w:rFonts w:ascii="Arial" w:hAnsi="Arial" w:cs="Arial"/>
          <w:color w:val="00B0F0"/>
          <w:sz w:val="14"/>
          <w:szCs w:val="14"/>
        </w:rPr>
        <w:t xml:space="preserve"> cuando tuviese facultades que le permitieran poseer información relacionada con lo solicitado por los particulares, no ejerció dichas facultades.</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En ese sentido, el sujeto obligado, a través de la nueva respuesta otorgada en atención a la resolución dictada en el presente asunto, manifestó “[…]</w:t>
      </w:r>
      <w:r w:rsidRPr="00A63460">
        <w:rPr>
          <w:rFonts w:ascii="Arial" w:hAnsi="Arial" w:cs="Arial"/>
          <w:i/>
          <w:iCs/>
          <w:color w:val="00B0F0"/>
          <w:sz w:val="14"/>
          <w:szCs w:val="14"/>
        </w:rPr>
        <w:t xml:space="preserve">lo que se quiso exponer el funcionario público municipal en comento era un total estadístico de: cero (0) personas detenidas, lo que por ende conlleva a plasmar sin información generada en los restantes </w:t>
      </w:r>
      <w:proofErr w:type="gramStart"/>
      <w:r w:rsidRPr="00A63460">
        <w:rPr>
          <w:rFonts w:ascii="Arial" w:hAnsi="Arial" w:cs="Arial"/>
          <w:i/>
          <w:iCs/>
          <w:color w:val="00B0F0"/>
          <w:sz w:val="14"/>
          <w:szCs w:val="14"/>
        </w:rPr>
        <w:t>incisos[</w:t>
      </w:r>
      <w:proofErr w:type="gramEnd"/>
      <w:r w:rsidRPr="00A63460">
        <w:rPr>
          <w:rFonts w:ascii="Arial" w:hAnsi="Arial" w:cs="Arial"/>
          <w:i/>
          <w:iCs/>
          <w:color w:val="00B0F0"/>
          <w:sz w:val="14"/>
          <w:szCs w:val="14"/>
        </w:rPr>
        <w:t xml:space="preserve">…]” </w:t>
      </w:r>
      <w:r w:rsidRPr="00A63460">
        <w:rPr>
          <w:rFonts w:ascii="Arial" w:hAnsi="Arial" w:cs="Arial"/>
          <w:color w:val="00B0F0"/>
          <w:sz w:val="14"/>
          <w:szCs w:val="14"/>
        </w:rPr>
        <w:t>y exhibió la siguiente tabla:</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noProof/>
          <w:color w:val="00B0F0"/>
          <w:sz w:val="14"/>
          <w:szCs w:val="14"/>
          <w:lang w:eastAsia="es-MX"/>
        </w:rPr>
        <w:drawing>
          <wp:inline distT="0" distB="0" distL="0" distR="0" wp14:anchorId="1BF54381" wp14:editId="2B2B645C">
            <wp:extent cx="3572374" cy="3791479"/>
            <wp:effectExtent l="0" t="0" r="9525" b="0"/>
            <wp:docPr id="1"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abla&#10;&#10;Descripción generada automáticamente"/>
                    <pic:cNvPicPr/>
                  </pic:nvPicPr>
                  <pic:blipFill>
                    <a:blip r:embed="rId8"/>
                    <a:stretch>
                      <a:fillRect/>
                    </a:stretch>
                  </pic:blipFill>
                  <pic:spPr>
                    <a:xfrm>
                      <a:off x="0" y="0"/>
                      <a:ext cx="3572374" cy="3791479"/>
                    </a:xfrm>
                    <a:prstGeom prst="rect">
                      <a:avLst/>
                    </a:prstGeom>
                  </pic:spPr>
                </pic:pic>
              </a:graphicData>
            </a:graphic>
          </wp:inline>
        </w:drawing>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 xml:space="preserve">Así pues, de lo anterior se advierte que el sujeto obligado hizo llegar al hoy recurrente una nueva respuesta congruente y exhaustiva, por la cual se pronunció respecto de la solicitud de la cual derivó el presente recurso de revisión; </w:t>
      </w:r>
      <w:bookmarkEnd w:id="2"/>
      <w:r w:rsidRPr="00A63460">
        <w:rPr>
          <w:rFonts w:ascii="Arial" w:hAnsi="Arial" w:cs="Arial"/>
          <w:color w:val="00B0F0"/>
          <w:sz w:val="14"/>
          <w:szCs w:val="14"/>
        </w:rPr>
        <w:t>Así entonces, de las constancias descritas es dable determinar que se encuentra cumplida la resolución dictada, ya que el ente obligado comprobó haber notificado y entregado al recurrente la información que se ordenó en dicha resolución. </w:t>
      </w: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A mayor abundamiento, el Instituto Nacional de Transparencia Acceso a la Información y Protección de Datos Personales, a través del criterio histórico con número de clave SO/018/2013, señaló que, en aquellos casos en que la información solicitada resulte en circunstancias estadísticas, resulte innecesario realizar la declaración formal de inexistencia.</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 xml:space="preserve">Lo anterior se asevera, toda vez que del correo electrónico enviado a la parte recurrente por la Jefa de la Unidad de Transparencia del Sujeto obligado, se advierte que el sujeto obligado adjuntó el archivo denominado “CUMPLIMIENTO RR291-2016-2.pdf” (1111K), con asunto de correo electrónico “RR291/2016-2 SE ENVÍA INFORMACION”; lo anterior en atención a la resolución emitida por esta Comisión, es decir, que el documento adjunto contiene la información que esta Comisión ordenó entregar en la resolución dictada en el presente asunto, archivo que fue enviado precisamente a la dirección electrónica que la parte recurrente señaló en su recurso de revisión pues de la notificación se advierte que coincide con el correo electrónico que la parte recurrente señaló y que después aparece el carácter que separa el usuario y el dominio en las direcciones electrónicas -comúnmente conocido como @ arroba-; y luego aparece el dominio al que pertenece y que es </w:t>
      </w:r>
      <w:proofErr w:type="spellStart"/>
      <w:r w:rsidRPr="00A63460">
        <w:rPr>
          <w:rFonts w:ascii="Arial" w:hAnsi="Arial" w:cs="Arial"/>
          <w:color w:val="00B0F0"/>
          <w:sz w:val="14"/>
          <w:szCs w:val="14"/>
        </w:rPr>
        <w:t>hotmail</w:t>
      </w:r>
      <w:proofErr w:type="spellEnd"/>
      <w:r w:rsidRPr="00A63460">
        <w:rPr>
          <w:rFonts w:ascii="Arial" w:hAnsi="Arial" w:cs="Arial"/>
          <w:color w:val="00B0F0"/>
          <w:sz w:val="14"/>
          <w:szCs w:val="14"/>
        </w:rPr>
        <w:t>- que es el nombre de la empresa o institución a la cual pertenece el nombre del usuario-; y por último se observa el “.</w:t>
      </w:r>
      <w:proofErr w:type="spellStart"/>
      <w:r w:rsidRPr="00A63460">
        <w:rPr>
          <w:rFonts w:ascii="Arial" w:hAnsi="Arial" w:cs="Arial"/>
          <w:color w:val="00B0F0"/>
          <w:sz w:val="14"/>
          <w:szCs w:val="14"/>
        </w:rPr>
        <w:t>com</w:t>
      </w:r>
      <w:proofErr w:type="spellEnd"/>
      <w:r w:rsidRPr="00A63460">
        <w:rPr>
          <w:rFonts w:ascii="Arial" w:hAnsi="Arial" w:cs="Arial"/>
          <w:color w:val="00B0F0"/>
          <w:sz w:val="14"/>
          <w:szCs w:val="14"/>
        </w:rPr>
        <w:t>”  que es la actividad de la empresa, dicho en otras palabras, el correo electrónico que la parte recurrente señaló para recibir las notificaciones coincide con el que la autoridad le envió a la promovente el correo arriba señalado, circunstancia que otorga certidumbre a esta Comisión de que la parte recurrente tuvo oportuno conocimiento del cumplimiento dado a la resolución de mérito, así como de la información proporcionada y en la modalidad solicitada. </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Por consiguiente, es de señalar que el sujeto obligado atendió la resolución de mérito con los medios que cuenta, de conformidad con el artículo 175 del Código Procesal Administrativo para el estado de San Luis Potosí, a saber:</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left="709" w:right="616"/>
        <w:jc w:val="both"/>
        <w:rPr>
          <w:rFonts w:ascii="Arial" w:hAnsi="Arial" w:cs="Arial"/>
          <w:i/>
          <w:iCs/>
          <w:color w:val="00B0F0"/>
          <w:sz w:val="14"/>
          <w:szCs w:val="14"/>
        </w:rPr>
      </w:pPr>
      <w:r w:rsidRPr="00A63460">
        <w:rPr>
          <w:rFonts w:ascii="Arial" w:hAnsi="Arial" w:cs="Arial"/>
          <w:i/>
          <w:iCs/>
          <w:color w:val="00B0F0"/>
          <w:sz w:val="14"/>
          <w:szCs w:val="14"/>
        </w:rPr>
        <w:t>“A R TÍC U LO 1 7 5. L a actuación administrativa en el procedimiento se desarrollará con arreglo a los principios de economía, celeridad, eficacia, legalidad, publicidad, audiencia, igualdad y buena fe.</w:t>
      </w:r>
    </w:p>
    <w:p w:rsidR="00A63460" w:rsidRPr="00A63460" w:rsidRDefault="00A63460" w:rsidP="00A63460">
      <w:pPr>
        <w:pStyle w:val="Sinespaciado"/>
        <w:ind w:left="709" w:right="616"/>
        <w:jc w:val="both"/>
        <w:rPr>
          <w:rFonts w:ascii="Arial" w:hAnsi="Arial" w:cs="Arial"/>
          <w:i/>
          <w:iCs/>
          <w:color w:val="00B0F0"/>
          <w:sz w:val="14"/>
          <w:szCs w:val="14"/>
        </w:rPr>
      </w:pPr>
    </w:p>
    <w:p w:rsidR="00A63460" w:rsidRPr="00A63460" w:rsidRDefault="00A63460" w:rsidP="00A63460">
      <w:pPr>
        <w:pStyle w:val="Sinespaciado"/>
        <w:ind w:left="709" w:right="616"/>
        <w:jc w:val="both"/>
        <w:rPr>
          <w:rFonts w:ascii="Arial" w:hAnsi="Arial" w:cs="Arial"/>
          <w:i/>
          <w:iCs/>
          <w:color w:val="00B0F0"/>
          <w:sz w:val="14"/>
          <w:szCs w:val="14"/>
        </w:rPr>
      </w:pPr>
      <w:r w:rsidRPr="00A63460">
        <w:rPr>
          <w:rFonts w:ascii="Arial" w:hAnsi="Arial" w:cs="Arial"/>
          <w:i/>
          <w:iCs/>
          <w:color w:val="00B0F0"/>
          <w:sz w:val="14"/>
          <w:szCs w:val="14"/>
        </w:rPr>
        <w:t xml:space="preserve"> […] ”</w:t>
      </w:r>
    </w:p>
    <w:p w:rsidR="00A63460" w:rsidRPr="00A63460" w:rsidRDefault="00A63460" w:rsidP="00A63460">
      <w:pPr>
        <w:pStyle w:val="Sinespaciado"/>
        <w:ind w:left="709" w:right="616"/>
        <w:jc w:val="both"/>
        <w:rPr>
          <w:rFonts w:ascii="Arial" w:hAnsi="Arial" w:cs="Arial"/>
          <w:i/>
          <w:iCs/>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Así mismo sirve de apoyo la tesis aislada, sostenida por el Segundo Tribunal Colegiado en Materia Administrativa del Cuarto Circuito, con número de registro digital 179660, que a la letra señala:</w:t>
      </w: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ind w:left="709" w:right="616"/>
        <w:jc w:val="both"/>
        <w:rPr>
          <w:rFonts w:ascii="Arial" w:hAnsi="Arial" w:cs="Arial"/>
          <w:i/>
          <w:iCs/>
          <w:color w:val="00B0F0"/>
          <w:sz w:val="14"/>
          <w:szCs w:val="14"/>
        </w:rPr>
      </w:pPr>
      <w:r w:rsidRPr="00A63460">
        <w:rPr>
          <w:rFonts w:ascii="Arial" w:hAnsi="Arial" w:cs="Arial"/>
          <w:i/>
          <w:iCs/>
          <w:color w:val="00B0F0"/>
          <w:sz w:val="14"/>
          <w:szCs w:val="14"/>
        </w:rPr>
        <w:t>“BUENA FE EN LAS ACTUACIONES DE AUTORIDADES ADMINISTRATIVAS.</w:t>
      </w:r>
    </w:p>
    <w:p w:rsidR="00A63460" w:rsidRPr="00A63460" w:rsidRDefault="00A63460" w:rsidP="00A63460">
      <w:pPr>
        <w:pStyle w:val="Sinespaciado"/>
        <w:ind w:left="709" w:right="616"/>
        <w:jc w:val="both"/>
        <w:rPr>
          <w:rFonts w:ascii="Arial" w:hAnsi="Arial" w:cs="Arial"/>
          <w:i/>
          <w:iCs/>
          <w:color w:val="00B0F0"/>
          <w:sz w:val="14"/>
          <w:szCs w:val="14"/>
        </w:rPr>
      </w:pPr>
      <w:r w:rsidRPr="00A63460">
        <w:rPr>
          <w:rFonts w:ascii="Arial" w:hAnsi="Arial" w:cs="Arial"/>
          <w:i/>
          <w:iCs/>
          <w:color w:val="00B0F0"/>
          <w:sz w:val="14"/>
          <w:szCs w:val="14"/>
        </w:rPr>
        <w:lastRenderedPageBreak/>
        <w:t>Este principio estriba en que en la actuación administrativa de los órganos de la administración pública y en la de los particulares, no deben utilizarse artificios o artimañas, sea por acción u omisión, que lleven a engaño o a error. La buena fe constituye una limitante al ejercicio de facultades de las autoridades, en cuanto tiene su apoyo en la confianza que debe prevalecer en la actuación administrativa, por lo que el acto, producto del procedimiento administrativo, será ilegal cuando en su emisión no se haya observado la buena fe que lleve al engaño o al error al administrado, e incluso a desarrollar una conducta contraria a su propio interés, lo que se traduciría en una falsa o indebida motivación del acto, que generaría que no se encuentre apegado a derecho.”</w:t>
      </w:r>
    </w:p>
    <w:p w:rsidR="00A63460" w:rsidRPr="00A63460" w:rsidRDefault="00A63460" w:rsidP="00A63460">
      <w:pPr>
        <w:pStyle w:val="Sinespaciado"/>
        <w:ind w:left="709" w:right="616"/>
        <w:jc w:val="both"/>
        <w:rPr>
          <w:rFonts w:ascii="Arial" w:hAnsi="Arial" w:cs="Arial"/>
          <w:i/>
          <w:iCs/>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En virtud de lo antes expuesto, y para efecto de tener la certeza de que el recurrente tuviera en su poder la información que se ordenó entregar en el fallo aquí dictado, esta Comisión otorgó dar vista a la parte recurrente con las constancias remitidas por el sujeto obligado, ello a través del proveído de  nueve de febrero de dos mil veintidós, a efecto que dentro del plazo de 05 cinco días hábiles manifestara alguna inconformidad sobre la información que el sujeto obligado remitió en cumplimiento a la resolución dictada o bien aportara probanza alguna que desvirtuara las documentales presentadas por éste, sin embargo, no obra en autos documento alguno del que se desprenda que hubiera desahogado la vista proporcionada, no obstante de estar debidamente notificado tal como se advierte del instructivo de notificación visible a foja 196 de autos, además del referido instructivo se desprende que fue dirigido a la parte recurrente, así como el número de identificación del recurso de revisión que nos ocupa y la transcripción literal del proveído señalado a supra líneas, por lo que ante tal omisión se tiene a la parte recurrente por conforme con la información que le fue entregada y notificada. </w:t>
      </w: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color w:val="00B0F0"/>
          <w:sz w:val="14"/>
          <w:szCs w:val="14"/>
        </w:rPr>
      </w:pPr>
      <w:r w:rsidRPr="00A63460">
        <w:rPr>
          <w:rFonts w:ascii="Arial" w:hAnsi="Arial" w:cs="Arial"/>
          <w:color w:val="00B0F0"/>
          <w:sz w:val="14"/>
          <w:szCs w:val="14"/>
        </w:rPr>
        <w:t>Así entonces, es dable asentar que la resolución de mérito se encuentra debidamente cumplida, pues el sujeto obligado acreditó de manera fehaciente la entrega de la información, a través del correo electrónico autorizado por el inconforme, esto es en la modalidad por vía electrónica, por lo que esta Comisión posee la certeza de que en efecto se entregó la información aquí ordenada, sin que en su oportunidad el inconforme presentara probanza alguna tendiente a desvirtuar la legalidad de las constancias remitidas por el ente obligado, por lo que a juicio de este Órgano Colegiado el fallo de mérito se encuentra cabalmente cumplido. </w:t>
      </w:r>
    </w:p>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pStyle w:val="Sinespaciado"/>
        <w:ind w:firstLine="708"/>
        <w:jc w:val="both"/>
        <w:rPr>
          <w:rFonts w:ascii="Arial" w:hAnsi="Arial" w:cs="Arial"/>
          <w:b/>
          <w:color w:val="00B0F0"/>
          <w:sz w:val="14"/>
          <w:szCs w:val="14"/>
        </w:rPr>
      </w:pPr>
      <w:r w:rsidRPr="00A63460">
        <w:rPr>
          <w:rFonts w:ascii="Arial" w:hAnsi="Arial" w:cs="Arial"/>
          <w:color w:val="00B0F0"/>
          <w:sz w:val="14"/>
          <w:szCs w:val="14"/>
        </w:rPr>
        <w:t>En consecuencia, con fundamento en los artículos 27, 181 y 185 de la Ley de Transparencia y Acceso a la Información Pública del Estado, se tiene por cumplida la resolución de cinco de agosto de dos mil diecinueve, dictada en el recurso de revisión 291/2016-2 del índice de esta Comisión.</w:t>
      </w:r>
      <w:bookmarkStart w:id="4" w:name="_Hlk57797417"/>
      <w:r w:rsidRPr="00A63460">
        <w:rPr>
          <w:rFonts w:ascii="Arial" w:hAnsi="Arial" w:cs="Arial"/>
          <w:color w:val="00B0F0"/>
          <w:sz w:val="14"/>
          <w:szCs w:val="14"/>
        </w:rPr>
        <w:t xml:space="preserve"> </w:t>
      </w:r>
      <w:r w:rsidRPr="00A63460">
        <w:rPr>
          <w:rFonts w:ascii="Arial" w:hAnsi="Arial" w:cs="Arial"/>
          <w:bCs/>
          <w:color w:val="00B0F0"/>
          <w:sz w:val="14"/>
          <w:szCs w:val="14"/>
        </w:rPr>
        <w:t>Remítase en su oportunidad este expediente al Archivo de Concentración de este Órgano Colegiado</w:t>
      </w:r>
      <w:r w:rsidRPr="00A63460">
        <w:rPr>
          <w:rFonts w:ascii="Arial" w:hAnsi="Arial" w:cs="Arial"/>
          <w:color w:val="00B0F0"/>
          <w:sz w:val="14"/>
          <w:szCs w:val="14"/>
        </w:rPr>
        <w:t xml:space="preserve">. </w:t>
      </w:r>
      <w:r w:rsidRPr="00A63460">
        <w:rPr>
          <w:rFonts w:ascii="Arial" w:hAnsi="Arial" w:cs="Arial"/>
          <w:b/>
          <w:color w:val="00B0F0"/>
          <w:sz w:val="14"/>
          <w:szCs w:val="14"/>
        </w:rPr>
        <w:t xml:space="preserve">Notifíquese personalmente a las partes. </w:t>
      </w:r>
    </w:p>
    <w:bookmarkEnd w:id="4"/>
    <w:p w:rsidR="00A63460" w:rsidRPr="00A63460" w:rsidRDefault="00A63460" w:rsidP="00A63460">
      <w:pPr>
        <w:pStyle w:val="Sinespaciado"/>
        <w:jc w:val="both"/>
        <w:rPr>
          <w:rFonts w:ascii="Arial" w:hAnsi="Arial" w:cs="Arial"/>
          <w:color w:val="00B0F0"/>
          <w:sz w:val="14"/>
          <w:szCs w:val="14"/>
        </w:rPr>
      </w:pPr>
    </w:p>
    <w:p w:rsidR="00A63460" w:rsidRPr="00A63460" w:rsidRDefault="00A63460" w:rsidP="00A63460">
      <w:pPr>
        <w:spacing w:line="240" w:lineRule="auto"/>
        <w:ind w:firstLine="680"/>
        <w:jc w:val="both"/>
        <w:rPr>
          <w:rFonts w:ascii="Arial" w:hAnsi="Arial" w:cs="Arial"/>
          <w:color w:val="00B0F0"/>
          <w:sz w:val="14"/>
          <w:szCs w:val="14"/>
        </w:rPr>
      </w:pPr>
      <w:r w:rsidRPr="00A63460">
        <w:rPr>
          <w:rFonts w:ascii="Arial" w:hAnsi="Arial" w:cs="Arial"/>
          <w:color w:val="00B0F0"/>
          <w:sz w:val="14"/>
          <w:szCs w:val="14"/>
        </w:rPr>
        <w:t>Así lo proveyó y firma el Comisionado ponente de la Comisión Estatal de Garantía de Acceso a la Información Pública José Alfredo Solis Ramírez, que actúa con Licenciada Rosa María Motilla García, Secretaria de Pleno de esta Comisión.</w:t>
      </w:r>
    </w:p>
    <w:p w:rsidR="004173D6" w:rsidRPr="00467A35" w:rsidRDefault="00E22C57" w:rsidP="009878D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1F3864" w:themeColor="accent1" w:themeShade="80"/>
        </w:rPr>
      </w:pPr>
      <w:r w:rsidRPr="00467A35">
        <w:rPr>
          <w:rFonts w:ascii="Arial" w:hAnsi="Arial" w:cs="Arial"/>
          <w:b/>
          <w:i/>
          <w:color w:val="1F3864" w:themeColor="accent1" w:themeShade="80"/>
        </w:rPr>
        <w:tab/>
      </w:r>
      <w:r w:rsidRPr="00467A35">
        <w:rPr>
          <w:rFonts w:ascii="Arial" w:eastAsia="Arial Unicode MS" w:hAnsi="Arial" w:cs="Arial"/>
          <w:color w:val="1F3864" w:themeColor="accent1" w:themeShade="80"/>
        </w:rPr>
        <w:t xml:space="preserve"> </w:t>
      </w:r>
      <w:r w:rsidR="004173D6" w:rsidRPr="00467A35">
        <w:rPr>
          <w:rFonts w:ascii="Arial" w:hAnsi="Arial" w:cs="Arial"/>
          <w:color w:val="1F3864" w:themeColor="accent1" w:themeShade="80"/>
        </w:rPr>
        <w:t>Lo que transcribo a Usted para su conocimiento y efectos legales consiguientes en vía de notificación de</w:t>
      </w:r>
      <w:r w:rsidR="00D97EE6" w:rsidRPr="00467A35">
        <w:rPr>
          <w:rFonts w:ascii="Arial" w:hAnsi="Arial" w:cs="Arial"/>
          <w:color w:val="1F3864" w:themeColor="accent1" w:themeShade="80"/>
        </w:rPr>
        <w:t>l presente acuerdo.</w:t>
      </w:r>
    </w:p>
    <w:p w:rsidR="004173D6" w:rsidRDefault="004173D6" w:rsidP="004C5CD4">
      <w:pPr>
        <w:jc w:val="center"/>
        <w:rPr>
          <w:rFonts w:ascii="Arial" w:hAnsi="Arial" w:cs="Arial"/>
          <w:b/>
          <w:color w:val="595959" w:themeColor="text1" w:themeTint="A6"/>
        </w:rPr>
      </w:pPr>
      <w:r w:rsidRPr="001E7686">
        <w:rPr>
          <w:rFonts w:ascii="Arial" w:hAnsi="Arial" w:cs="Arial"/>
          <w:b/>
          <w:color w:val="595959" w:themeColor="text1" w:themeTint="A6"/>
        </w:rPr>
        <w:t>Atentamente</w:t>
      </w:r>
    </w:p>
    <w:p w:rsidR="0089795A" w:rsidRDefault="0089795A" w:rsidP="004C5CD4">
      <w:pPr>
        <w:jc w:val="center"/>
        <w:rPr>
          <w:rFonts w:ascii="Arial" w:hAnsi="Arial" w:cs="Arial"/>
          <w:b/>
          <w:color w:val="595959" w:themeColor="text1" w:themeTint="A6"/>
        </w:rPr>
      </w:pPr>
    </w:p>
    <w:p w:rsidR="004173D6" w:rsidRDefault="004173D6" w:rsidP="004173D6">
      <w:pPr>
        <w:jc w:val="center"/>
        <w:rPr>
          <w:rFonts w:ascii="Arial" w:hAnsi="Arial" w:cs="Arial"/>
          <w:b/>
          <w:color w:val="595959" w:themeColor="text1" w:themeTint="A6"/>
        </w:rPr>
      </w:pPr>
      <w:r w:rsidRPr="001E7686">
        <w:rPr>
          <w:rFonts w:ascii="Arial" w:hAnsi="Arial" w:cs="Arial"/>
          <w:b/>
          <w:color w:val="595959" w:themeColor="text1" w:themeTint="A6"/>
        </w:rPr>
        <w:t>Licenciado Javier Pérez Limón</w:t>
      </w:r>
    </w:p>
    <w:p w:rsidR="0030484A" w:rsidRDefault="004173D6" w:rsidP="00E65504">
      <w:pPr>
        <w:ind w:left="708" w:hanging="708"/>
        <w:jc w:val="center"/>
        <w:rPr>
          <w:rFonts w:ascii="Arial" w:hAnsi="Arial" w:cs="Arial"/>
          <w:b/>
          <w:color w:val="595959" w:themeColor="text1" w:themeTint="A6"/>
        </w:rPr>
      </w:pPr>
      <w:r w:rsidRPr="001E7686">
        <w:rPr>
          <w:rFonts w:ascii="Arial" w:hAnsi="Arial" w:cs="Arial"/>
          <w:b/>
          <w:color w:val="595959" w:themeColor="text1" w:themeTint="A6"/>
        </w:rPr>
        <w:t>Notificador</w:t>
      </w: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p>
    <w:p w:rsidR="00CB21D0" w:rsidRDefault="00CB21D0" w:rsidP="00E65504">
      <w:pPr>
        <w:ind w:left="708" w:hanging="708"/>
        <w:jc w:val="center"/>
        <w:rPr>
          <w:rFonts w:ascii="Arial" w:hAnsi="Arial" w:cs="Arial"/>
          <w:b/>
          <w:color w:val="595959" w:themeColor="text1" w:themeTint="A6"/>
        </w:rPr>
      </w:pPr>
      <w:bookmarkStart w:id="5" w:name="_GoBack"/>
      <w:bookmarkEnd w:id="5"/>
    </w:p>
    <w:sectPr w:rsidR="00CB21D0" w:rsidSect="009878D5">
      <w:headerReference w:type="default" r:id="rId9"/>
      <w:pgSz w:w="12240" w:h="20160" w:code="5"/>
      <w:pgMar w:top="2381"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5B69" w:rsidRDefault="007F5B69" w:rsidP="004173D6">
      <w:pPr>
        <w:spacing w:after="0" w:line="240" w:lineRule="auto"/>
      </w:pPr>
      <w:r>
        <w:separator/>
      </w:r>
    </w:p>
  </w:endnote>
  <w:endnote w:type="continuationSeparator" w:id="0">
    <w:p w:rsidR="007F5B69" w:rsidRDefault="007F5B69" w:rsidP="00417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5B69" w:rsidRDefault="007F5B69" w:rsidP="004173D6">
      <w:pPr>
        <w:spacing w:after="0" w:line="240" w:lineRule="auto"/>
      </w:pPr>
      <w:r>
        <w:separator/>
      </w:r>
    </w:p>
  </w:footnote>
  <w:footnote w:type="continuationSeparator" w:id="0">
    <w:p w:rsidR="007F5B69" w:rsidRDefault="007F5B69" w:rsidP="004173D6">
      <w:pPr>
        <w:spacing w:after="0" w:line="240" w:lineRule="auto"/>
      </w:pPr>
      <w:r>
        <w:continuationSeparator/>
      </w:r>
    </w:p>
  </w:footnote>
  <w:footnote w:id="1">
    <w:p w:rsidR="00A63460" w:rsidRPr="00AB72BE" w:rsidRDefault="00A63460" w:rsidP="00A63460">
      <w:pPr>
        <w:pStyle w:val="Textonotapie"/>
        <w:jc w:val="both"/>
        <w:rPr>
          <w:rFonts w:ascii="Arial" w:hAnsi="Arial" w:cs="Arial"/>
          <w:sz w:val="18"/>
          <w:szCs w:val="18"/>
        </w:rPr>
      </w:pPr>
      <w:r w:rsidRPr="00AB72BE">
        <w:rPr>
          <w:rStyle w:val="Refdenotaalpie"/>
          <w:rFonts w:ascii="Arial" w:hAnsi="Arial" w:cs="Arial"/>
          <w:sz w:val="18"/>
          <w:szCs w:val="18"/>
        </w:rPr>
        <w:footnoteRef/>
      </w:r>
      <w:r w:rsidRPr="00AB72BE">
        <w:rPr>
          <w:rFonts w:ascii="Arial" w:hAnsi="Arial" w:cs="Arial"/>
          <w:sz w:val="18"/>
          <w:szCs w:val="18"/>
        </w:rPr>
        <w:t xml:space="preserve"> ARTICULO 141. Los municipios organizarán y reglamentarán la administración, prestación, conservación y explotación en su caso, de los servicios públicos y funciones municipales, considerándose que tienen este carácter los siguientes:</w:t>
      </w:r>
    </w:p>
  </w:footnote>
  <w:footnote w:id="2">
    <w:p w:rsidR="00A63460" w:rsidRPr="00AB72BE" w:rsidRDefault="00A63460" w:rsidP="00A63460">
      <w:pPr>
        <w:jc w:val="both"/>
        <w:rPr>
          <w:rFonts w:ascii="Arial" w:eastAsia="Times New Roman" w:hAnsi="Arial" w:cs="Arial"/>
          <w:sz w:val="18"/>
          <w:szCs w:val="18"/>
          <w:lang w:val="es-ES" w:eastAsia="es-ES"/>
        </w:rPr>
      </w:pPr>
      <w:r w:rsidRPr="00AB72BE">
        <w:rPr>
          <w:rStyle w:val="Refdenotaalpie"/>
          <w:rFonts w:ascii="Arial" w:hAnsi="Arial" w:cs="Arial"/>
          <w:sz w:val="18"/>
          <w:szCs w:val="18"/>
        </w:rPr>
        <w:footnoteRef/>
      </w:r>
      <w:r w:rsidRPr="00AB72BE">
        <w:rPr>
          <w:rFonts w:ascii="Arial" w:hAnsi="Arial" w:cs="Arial"/>
          <w:sz w:val="18"/>
          <w:szCs w:val="18"/>
        </w:rPr>
        <w:t xml:space="preserve"> </w:t>
      </w:r>
      <w:r w:rsidRPr="00AB72BE">
        <w:rPr>
          <w:rFonts w:ascii="Arial" w:eastAsia="Times New Roman" w:hAnsi="Arial" w:cs="Arial"/>
          <w:sz w:val="18"/>
          <w:szCs w:val="18"/>
          <w:lang w:val="es-ES" w:eastAsia="es-ES"/>
        </w:rPr>
        <w:t>VIII. Seguridad pública en los términos del artículo 21 de la Constitución Política de los Estados Unidos Mexicanos, policía preventiva municipal y tránsito;</w:t>
      </w:r>
    </w:p>
    <w:p w:rsidR="00A63460" w:rsidRDefault="00A63460" w:rsidP="00A63460">
      <w:pPr>
        <w:pStyle w:val="Textonotapie"/>
      </w:pPr>
    </w:p>
  </w:footnote>
  <w:footnote w:id="3">
    <w:p w:rsidR="00A63460" w:rsidRPr="008F3A94" w:rsidRDefault="00A63460" w:rsidP="00A63460">
      <w:pPr>
        <w:jc w:val="both"/>
        <w:rPr>
          <w:rFonts w:ascii="Times New Roman" w:eastAsia="Times New Roman" w:hAnsi="Times New Roman"/>
          <w:sz w:val="20"/>
          <w:szCs w:val="20"/>
          <w:lang w:val="es-ES" w:eastAsia="es-ES"/>
        </w:rPr>
      </w:pPr>
      <w:r>
        <w:rPr>
          <w:rStyle w:val="Refdenotaalpie"/>
        </w:rPr>
        <w:footnoteRef/>
      </w:r>
      <w:r>
        <w:t xml:space="preserve"> </w:t>
      </w:r>
      <w:r w:rsidRPr="008F3A94">
        <w:rPr>
          <w:rFonts w:ascii="Arial" w:eastAsia="Times New Roman" w:hAnsi="Arial" w:cs="Arial"/>
          <w:sz w:val="18"/>
          <w:szCs w:val="18"/>
          <w:lang w:val="es-ES" w:eastAsia="es-ES"/>
        </w:rPr>
        <w:t>ARTÍCULO 20.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A63460" w:rsidRDefault="00A63460" w:rsidP="00A63460">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4156632"/>
      <w:docPartObj>
        <w:docPartGallery w:val="Page Numbers (Top of Page)"/>
        <w:docPartUnique/>
      </w:docPartObj>
    </w:sdtPr>
    <w:sdtEndPr/>
    <w:sdtContent>
      <w:p w:rsidR="0065491F" w:rsidRDefault="004173D6">
        <w:pPr>
          <w:pStyle w:val="Encabezado"/>
          <w:jc w:val="center"/>
        </w:pPr>
        <w:r>
          <w:fldChar w:fldCharType="begin"/>
        </w:r>
        <w:r>
          <w:instrText>PAGE   \* MERGEFORMAT</w:instrText>
        </w:r>
        <w:r>
          <w:fldChar w:fldCharType="separate"/>
        </w:r>
        <w:r w:rsidR="00CB21D0" w:rsidRPr="00CB21D0">
          <w:rPr>
            <w:noProof/>
            <w:lang w:val="es-ES"/>
          </w:rPr>
          <w:t>1</w:t>
        </w:r>
        <w:r>
          <w:fldChar w:fldCharType="end"/>
        </w:r>
      </w:p>
    </w:sdtContent>
  </w:sdt>
  <w:p w:rsidR="0065491F" w:rsidRDefault="007F5B6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05A608A4"/>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7AE65D7E"/>
    <w:lvl w:ilvl="0">
      <w:start w:val="1"/>
      <w:numFmt w:val="bullet"/>
      <w:pStyle w:val="Listaconvietas2"/>
      <w:lvlText w:val=""/>
      <w:lvlJc w:val="left"/>
      <w:pPr>
        <w:tabs>
          <w:tab w:val="num" w:pos="643"/>
        </w:tabs>
        <w:ind w:left="643" w:hanging="360"/>
      </w:pPr>
      <w:rPr>
        <w:rFonts w:ascii="Symbol" w:hAnsi="Symbol" w:hint="default"/>
      </w:rPr>
    </w:lvl>
  </w:abstractNum>
  <w:abstractNum w:abstractNumId="2" w15:restartNumberingAfterBreak="0">
    <w:nsid w:val="0297021F"/>
    <w:multiLevelType w:val="hybridMultilevel"/>
    <w:tmpl w:val="5BD8C1D0"/>
    <w:lvl w:ilvl="0" w:tplc="F274F5B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1B1D6F35"/>
    <w:multiLevelType w:val="hybridMultilevel"/>
    <w:tmpl w:val="ECFE7AE0"/>
    <w:lvl w:ilvl="0" w:tplc="E1F28BFC">
      <w:start w:val="1"/>
      <w:numFmt w:val="decimal"/>
      <w:lvlText w:val="%1."/>
      <w:lvlJc w:val="left"/>
      <w:pPr>
        <w:ind w:left="1789" w:hanging="360"/>
      </w:pPr>
      <w:rPr>
        <w:rFonts w:hint="default"/>
      </w:rPr>
    </w:lvl>
    <w:lvl w:ilvl="1" w:tplc="080A0019">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4" w15:restartNumberingAfterBreak="0">
    <w:nsid w:val="225C53B7"/>
    <w:multiLevelType w:val="hybridMultilevel"/>
    <w:tmpl w:val="99BC33A8"/>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2B3259B6"/>
    <w:multiLevelType w:val="hybridMultilevel"/>
    <w:tmpl w:val="8DD47A5A"/>
    <w:lvl w:ilvl="0" w:tplc="DFE874BA">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6" w15:restartNumberingAfterBreak="0">
    <w:nsid w:val="3AE17835"/>
    <w:multiLevelType w:val="hybridMultilevel"/>
    <w:tmpl w:val="A8509ADE"/>
    <w:lvl w:ilvl="0" w:tplc="4B8CA118">
      <w:start w:val="1"/>
      <w:numFmt w:val="lowerLetter"/>
      <w:lvlText w:val="%1)"/>
      <w:lvlJc w:val="left"/>
      <w:pPr>
        <w:ind w:left="1844" w:hanging="360"/>
      </w:pPr>
      <w:rPr>
        <w:rFonts w:hint="default"/>
      </w:rPr>
    </w:lvl>
    <w:lvl w:ilvl="1" w:tplc="080A0019" w:tentative="1">
      <w:start w:val="1"/>
      <w:numFmt w:val="lowerLetter"/>
      <w:lvlText w:val="%2."/>
      <w:lvlJc w:val="left"/>
      <w:pPr>
        <w:ind w:left="2564" w:hanging="360"/>
      </w:pPr>
    </w:lvl>
    <w:lvl w:ilvl="2" w:tplc="080A001B" w:tentative="1">
      <w:start w:val="1"/>
      <w:numFmt w:val="lowerRoman"/>
      <w:lvlText w:val="%3."/>
      <w:lvlJc w:val="right"/>
      <w:pPr>
        <w:ind w:left="3284" w:hanging="180"/>
      </w:pPr>
    </w:lvl>
    <w:lvl w:ilvl="3" w:tplc="080A000F" w:tentative="1">
      <w:start w:val="1"/>
      <w:numFmt w:val="decimal"/>
      <w:lvlText w:val="%4."/>
      <w:lvlJc w:val="left"/>
      <w:pPr>
        <w:ind w:left="4004" w:hanging="360"/>
      </w:pPr>
    </w:lvl>
    <w:lvl w:ilvl="4" w:tplc="080A0019" w:tentative="1">
      <w:start w:val="1"/>
      <w:numFmt w:val="lowerLetter"/>
      <w:lvlText w:val="%5."/>
      <w:lvlJc w:val="left"/>
      <w:pPr>
        <w:ind w:left="4724" w:hanging="360"/>
      </w:pPr>
    </w:lvl>
    <w:lvl w:ilvl="5" w:tplc="080A001B" w:tentative="1">
      <w:start w:val="1"/>
      <w:numFmt w:val="lowerRoman"/>
      <w:lvlText w:val="%6."/>
      <w:lvlJc w:val="right"/>
      <w:pPr>
        <w:ind w:left="5444" w:hanging="180"/>
      </w:pPr>
    </w:lvl>
    <w:lvl w:ilvl="6" w:tplc="080A000F" w:tentative="1">
      <w:start w:val="1"/>
      <w:numFmt w:val="decimal"/>
      <w:lvlText w:val="%7."/>
      <w:lvlJc w:val="left"/>
      <w:pPr>
        <w:ind w:left="6164" w:hanging="360"/>
      </w:pPr>
    </w:lvl>
    <w:lvl w:ilvl="7" w:tplc="080A0019" w:tentative="1">
      <w:start w:val="1"/>
      <w:numFmt w:val="lowerLetter"/>
      <w:lvlText w:val="%8."/>
      <w:lvlJc w:val="left"/>
      <w:pPr>
        <w:ind w:left="6884" w:hanging="360"/>
      </w:pPr>
    </w:lvl>
    <w:lvl w:ilvl="8" w:tplc="080A001B" w:tentative="1">
      <w:start w:val="1"/>
      <w:numFmt w:val="lowerRoman"/>
      <w:lvlText w:val="%9."/>
      <w:lvlJc w:val="right"/>
      <w:pPr>
        <w:ind w:left="7604" w:hanging="180"/>
      </w:pPr>
    </w:lvl>
  </w:abstractNum>
  <w:abstractNum w:abstractNumId="7" w15:restartNumberingAfterBreak="0">
    <w:nsid w:val="439B4288"/>
    <w:multiLevelType w:val="hybridMultilevel"/>
    <w:tmpl w:val="40BE26F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15:restartNumberingAfterBreak="0">
    <w:nsid w:val="563F6D31"/>
    <w:multiLevelType w:val="hybridMultilevel"/>
    <w:tmpl w:val="556C74BA"/>
    <w:lvl w:ilvl="0" w:tplc="080A0001">
      <w:start w:val="1"/>
      <w:numFmt w:val="bullet"/>
      <w:lvlText w:val=""/>
      <w:lvlJc w:val="left"/>
      <w:pPr>
        <w:ind w:left="1484" w:hanging="360"/>
      </w:pPr>
      <w:rPr>
        <w:rFonts w:ascii="Symbol" w:hAnsi="Symbol" w:hint="default"/>
      </w:rPr>
    </w:lvl>
    <w:lvl w:ilvl="1" w:tplc="080A0003" w:tentative="1">
      <w:start w:val="1"/>
      <w:numFmt w:val="bullet"/>
      <w:lvlText w:val="o"/>
      <w:lvlJc w:val="left"/>
      <w:pPr>
        <w:ind w:left="2204" w:hanging="360"/>
      </w:pPr>
      <w:rPr>
        <w:rFonts w:ascii="Courier New" w:hAnsi="Courier New" w:cs="Courier New" w:hint="default"/>
      </w:rPr>
    </w:lvl>
    <w:lvl w:ilvl="2" w:tplc="080A0005" w:tentative="1">
      <w:start w:val="1"/>
      <w:numFmt w:val="bullet"/>
      <w:lvlText w:val=""/>
      <w:lvlJc w:val="left"/>
      <w:pPr>
        <w:ind w:left="2924" w:hanging="360"/>
      </w:pPr>
      <w:rPr>
        <w:rFonts w:ascii="Wingdings" w:hAnsi="Wingdings" w:hint="default"/>
      </w:rPr>
    </w:lvl>
    <w:lvl w:ilvl="3" w:tplc="080A0001" w:tentative="1">
      <w:start w:val="1"/>
      <w:numFmt w:val="bullet"/>
      <w:lvlText w:val=""/>
      <w:lvlJc w:val="left"/>
      <w:pPr>
        <w:ind w:left="3644" w:hanging="360"/>
      </w:pPr>
      <w:rPr>
        <w:rFonts w:ascii="Symbol" w:hAnsi="Symbol" w:hint="default"/>
      </w:rPr>
    </w:lvl>
    <w:lvl w:ilvl="4" w:tplc="080A0003" w:tentative="1">
      <w:start w:val="1"/>
      <w:numFmt w:val="bullet"/>
      <w:lvlText w:val="o"/>
      <w:lvlJc w:val="left"/>
      <w:pPr>
        <w:ind w:left="4364" w:hanging="360"/>
      </w:pPr>
      <w:rPr>
        <w:rFonts w:ascii="Courier New" w:hAnsi="Courier New" w:cs="Courier New" w:hint="default"/>
      </w:rPr>
    </w:lvl>
    <w:lvl w:ilvl="5" w:tplc="080A0005" w:tentative="1">
      <w:start w:val="1"/>
      <w:numFmt w:val="bullet"/>
      <w:lvlText w:val=""/>
      <w:lvlJc w:val="left"/>
      <w:pPr>
        <w:ind w:left="5084" w:hanging="360"/>
      </w:pPr>
      <w:rPr>
        <w:rFonts w:ascii="Wingdings" w:hAnsi="Wingdings" w:hint="default"/>
      </w:rPr>
    </w:lvl>
    <w:lvl w:ilvl="6" w:tplc="080A0001" w:tentative="1">
      <w:start w:val="1"/>
      <w:numFmt w:val="bullet"/>
      <w:lvlText w:val=""/>
      <w:lvlJc w:val="left"/>
      <w:pPr>
        <w:ind w:left="5804" w:hanging="360"/>
      </w:pPr>
      <w:rPr>
        <w:rFonts w:ascii="Symbol" w:hAnsi="Symbol" w:hint="default"/>
      </w:rPr>
    </w:lvl>
    <w:lvl w:ilvl="7" w:tplc="080A0003" w:tentative="1">
      <w:start w:val="1"/>
      <w:numFmt w:val="bullet"/>
      <w:lvlText w:val="o"/>
      <w:lvlJc w:val="left"/>
      <w:pPr>
        <w:ind w:left="6524" w:hanging="360"/>
      </w:pPr>
      <w:rPr>
        <w:rFonts w:ascii="Courier New" w:hAnsi="Courier New" w:cs="Courier New" w:hint="default"/>
      </w:rPr>
    </w:lvl>
    <w:lvl w:ilvl="8" w:tplc="080A0005" w:tentative="1">
      <w:start w:val="1"/>
      <w:numFmt w:val="bullet"/>
      <w:lvlText w:val=""/>
      <w:lvlJc w:val="left"/>
      <w:pPr>
        <w:ind w:left="7244" w:hanging="360"/>
      </w:pPr>
      <w:rPr>
        <w:rFonts w:ascii="Wingdings" w:hAnsi="Wingdings" w:hint="default"/>
      </w:rPr>
    </w:lvl>
  </w:abstractNum>
  <w:abstractNum w:abstractNumId="9" w15:restartNumberingAfterBreak="0">
    <w:nsid w:val="5D7F1AB9"/>
    <w:multiLevelType w:val="hybridMultilevel"/>
    <w:tmpl w:val="01D225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B92091B"/>
    <w:multiLevelType w:val="hybridMultilevel"/>
    <w:tmpl w:val="627222B4"/>
    <w:lvl w:ilvl="0" w:tplc="26B2C90C">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abstractNumId w:val="1"/>
  </w:num>
  <w:num w:numId="2">
    <w:abstractNumId w:val="0"/>
  </w:num>
  <w:num w:numId="3">
    <w:abstractNumId w:val="4"/>
  </w:num>
  <w:num w:numId="4">
    <w:abstractNumId w:val="5"/>
  </w:num>
  <w:num w:numId="5">
    <w:abstractNumId w:val="9"/>
  </w:num>
  <w:num w:numId="6">
    <w:abstractNumId w:val="10"/>
  </w:num>
  <w:num w:numId="7">
    <w:abstractNumId w:val="7"/>
  </w:num>
  <w:num w:numId="8">
    <w:abstractNumId w:val="3"/>
  </w:num>
  <w:num w:numId="9">
    <w:abstractNumId w:val="8"/>
  </w:num>
  <w:num w:numId="10">
    <w:abstractNumId w:val="6"/>
  </w:num>
  <w:num w:numId="11">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3D6"/>
    <w:rsid w:val="000030B4"/>
    <w:rsid w:val="0000395E"/>
    <w:rsid w:val="00004044"/>
    <w:rsid w:val="000052D1"/>
    <w:rsid w:val="00007186"/>
    <w:rsid w:val="00015962"/>
    <w:rsid w:val="00021258"/>
    <w:rsid w:val="00026682"/>
    <w:rsid w:val="000334C2"/>
    <w:rsid w:val="0003548F"/>
    <w:rsid w:val="00045923"/>
    <w:rsid w:val="00047945"/>
    <w:rsid w:val="00047E2D"/>
    <w:rsid w:val="00050E56"/>
    <w:rsid w:val="00052DF9"/>
    <w:rsid w:val="00053358"/>
    <w:rsid w:val="00055859"/>
    <w:rsid w:val="00056ED4"/>
    <w:rsid w:val="00065E35"/>
    <w:rsid w:val="00081339"/>
    <w:rsid w:val="00084542"/>
    <w:rsid w:val="00085000"/>
    <w:rsid w:val="00090CCC"/>
    <w:rsid w:val="00095A42"/>
    <w:rsid w:val="000A1D86"/>
    <w:rsid w:val="000A359A"/>
    <w:rsid w:val="000A40D5"/>
    <w:rsid w:val="000B39FC"/>
    <w:rsid w:val="000C3CEA"/>
    <w:rsid w:val="000D07A5"/>
    <w:rsid w:val="000E0719"/>
    <w:rsid w:val="000E0A30"/>
    <w:rsid w:val="000E1C7F"/>
    <w:rsid w:val="000F7310"/>
    <w:rsid w:val="001111C0"/>
    <w:rsid w:val="001148E6"/>
    <w:rsid w:val="0011540B"/>
    <w:rsid w:val="00120774"/>
    <w:rsid w:val="00127140"/>
    <w:rsid w:val="00127E79"/>
    <w:rsid w:val="0013036E"/>
    <w:rsid w:val="00131163"/>
    <w:rsid w:val="00132947"/>
    <w:rsid w:val="00135F42"/>
    <w:rsid w:val="0013726E"/>
    <w:rsid w:val="0014317C"/>
    <w:rsid w:val="00143983"/>
    <w:rsid w:val="001449DF"/>
    <w:rsid w:val="001529A8"/>
    <w:rsid w:val="00157903"/>
    <w:rsid w:val="00173CE6"/>
    <w:rsid w:val="00181CE4"/>
    <w:rsid w:val="0019121B"/>
    <w:rsid w:val="00197380"/>
    <w:rsid w:val="001A1849"/>
    <w:rsid w:val="001C4060"/>
    <w:rsid w:val="001D0213"/>
    <w:rsid w:val="001D7112"/>
    <w:rsid w:val="001D7F63"/>
    <w:rsid w:val="001E1209"/>
    <w:rsid w:val="001E51E0"/>
    <w:rsid w:val="001E7686"/>
    <w:rsid w:val="001F2BCC"/>
    <w:rsid w:val="00204B24"/>
    <w:rsid w:val="00210345"/>
    <w:rsid w:val="00220490"/>
    <w:rsid w:val="00221836"/>
    <w:rsid w:val="00222603"/>
    <w:rsid w:val="002267A7"/>
    <w:rsid w:val="002268E3"/>
    <w:rsid w:val="00230025"/>
    <w:rsid w:val="00232E80"/>
    <w:rsid w:val="00245379"/>
    <w:rsid w:val="002470F5"/>
    <w:rsid w:val="0025117D"/>
    <w:rsid w:val="002623F9"/>
    <w:rsid w:val="00263191"/>
    <w:rsid w:val="002715AD"/>
    <w:rsid w:val="00273A42"/>
    <w:rsid w:val="00282989"/>
    <w:rsid w:val="00285971"/>
    <w:rsid w:val="002912B8"/>
    <w:rsid w:val="002A0601"/>
    <w:rsid w:val="002A0F59"/>
    <w:rsid w:val="002C4194"/>
    <w:rsid w:val="002C4900"/>
    <w:rsid w:val="002C6173"/>
    <w:rsid w:val="002D0475"/>
    <w:rsid w:val="002D1DC4"/>
    <w:rsid w:val="002D60C0"/>
    <w:rsid w:val="002D72D9"/>
    <w:rsid w:val="002E6358"/>
    <w:rsid w:val="002F26AB"/>
    <w:rsid w:val="00300D3F"/>
    <w:rsid w:val="00300EF0"/>
    <w:rsid w:val="0030484A"/>
    <w:rsid w:val="00327438"/>
    <w:rsid w:val="00334F3F"/>
    <w:rsid w:val="00336D34"/>
    <w:rsid w:val="00341DF0"/>
    <w:rsid w:val="0034738B"/>
    <w:rsid w:val="00347E9D"/>
    <w:rsid w:val="003555CC"/>
    <w:rsid w:val="003575B8"/>
    <w:rsid w:val="003577B8"/>
    <w:rsid w:val="00361952"/>
    <w:rsid w:val="00367761"/>
    <w:rsid w:val="00377A47"/>
    <w:rsid w:val="00377CFA"/>
    <w:rsid w:val="00383BD5"/>
    <w:rsid w:val="003866D3"/>
    <w:rsid w:val="0039020D"/>
    <w:rsid w:val="00391CAD"/>
    <w:rsid w:val="00392A2E"/>
    <w:rsid w:val="003C113C"/>
    <w:rsid w:val="003D265F"/>
    <w:rsid w:val="003E1A40"/>
    <w:rsid w:val="003F4A0E"/>
    <w:rsid w:val="00403C64"/>
    <w:rsid w:val="00404610"/>
    <w:rsid w:val="00411EB9"/>
    <w:rsid w:val="004173D6"/>
    <w:rsid w:val="0042237B"/>
    <w:rsid w:val="00436EE1"/>
    <w:rsid w:val="00447511"/>
    <w:rsid w:val="004534B5"/>
    <w:rsid w:val="00453FDC"/>
    <w:rsid w:val="00457AF9"/>
    <w:rsid w:val="00462DDD"/>
    <w:rsid w:val="00467A35"/>
    <w:rsid w:val="00487565"/>
    <w:rsid w:val="00487AA8"/>
    <w:rsid w:val="00491683"/>
    <w:rsid w:val="0049650D"/>
    <w:rsid w:val="004A1882"/>
    <w:rsid w:val="004A38D8"/>
    <w:rsid w:val="004A3E28"/>
    <w:rsid w:val="004A41F1"/>
    <w:rsid w:val="004A64E7"/>
    <w:rsid w:val="004B31A1"/>
    <w:rsid w:val="004C0F6A"/>
    <w:rsid w:val="004C5CD4"/>
    <w:rsid w:val="004C75B1"/>
    <w:rsid w:val="004C77A0"/>
    <w:rsid w:val="004D0939"/>
    <w:rsid w:val="004D58D3"/>
    <w:rsid w:val="004D758A"/>
    <w:rsid w:val="004E6D0B"/>
    <w:rsid w:val="004F0343"/>
    <w:rsid w:val="00502CEC"/>
    <w:rsid w:val="00504E24"/>
    <w:rsid w:val="0052191C"/>
    <w:rsid w:val="00525CC0"/>
    <w:rsid w:val="00531273"/>
    <w:rsid w:val="0053150B"/>
    <w:rsid w:val="00534AE4"/>
    <w:rsid w:val="00537648"/>
    <w:rsid w:val="00553286"/>
    <w:rsid w:val="0056366D"/>
    <w:rsid w:val="005707C1"/>
    <w:rsid w:val="0057208C"/>
    <w:rsid w:val="005758F5"/>
    <w:rsid w:val="00580678"/>
    <w:rsid w:val="005811FB"/>
    <w:rsid w:val="005859FD"/>
    <w:rsid w:val="0059313C"/>
    <w:rsid w:val="0059344C"/>
    <w:rsid w:val="005B28DD"/>
    <w:rsid w:val="005C2ABE"/>
    <w:rsid w:val="005C4975"/>
    <w:rsid w:val="005C6FA1"/>
    <w:rsid w:val="005D2E89"/>
    <w:rsid w:val="005E66D5"/>
    <w:rsid w:val="005F00E0"/>
    <w:rsid w:val="005F44E9"/>
    <w:rsid w:val="005F4C1C"/>
    <w:rsid w:val="006008F1"/>
    <w:rsid w:val="00600E0D"/>
    <w:rsid w:val="00606619"/>
    <w:rsid w:val="00631D28"/>
    <w:rsid w:val="0063206D"/>
    <w:rsid w:val="00634959"/>
    <w:rsid w:val="00634AFF"/>
    <w:rsid w:val="006459D3"/>
    <w:rsid w:val="006706F5"/>
    <w:rsid w:val="00674A8E"/>
    <w:rsid w:val="006755C6"/>
    <w:rsid w:val="006841B7"/>
    <w:rsid w:val="00687060"/>
    <w:rsid w:val="0069436E"/>
    <w:rsid w:val="0069457D"/>
    <w:rsid w:val="006A3582"/>
    <w:rsid w:val="006B0C4B"/>
    <w:rsid w:val="006B6518"/>
    <w:rsid w:val="006C239F"/>
    <w:rsid w:val="006C6DCB"/>
    <w:rsid w:val="006D0C26"/>
    <w:rsid w:val="006D2336"/>
    <w:rsid w:val="006D3B9F"/>
    <w:rsid w:val="006E3382"/>
    <w:rsid w:val="006E634D"/>
    <w:rsid w:val="006E6446"/>
    <w:rsid w:val="006F4003"/>
    <w:rsid w:val="00705A83"/>
    <w:rsid w:val="00716F3D"/>
    <w:rsid w:val="00725F66"/>
    <w:rsid w:val="0073459B"/>
    <w:rsid w:val="00737462"/>
    <w:rsid w:val="00741BFC"/>
    <w:rsid w:val="00751822"/>
    <w:rsid w:val="0076397A"/>
    <w:rsid w:val="00771EE7"/>
    <w:rsid w:val="00780B82"/>
    <w:rsid w:val="00783690"/>
    <w:rsid w:val="00785EF4"/>
    <w:rsid w:val="00791C4C"/>
    <w:rsid w:val="00792056"/>
    <w:rsid w:val="007B0998"/>
    <w:rsid w:val="007B2734"/>
    <w:rsid w:val="007E4EF3"/>
    <w:rsid w:val="007F265B"/>
    <w:rsid w:val="007F5B69"/>
    <w:rsid w:val="00801358"/>
    <w:rsid w:val="00812A4D"/>
    <w:rsid w:val="00830251"/>
    <w:rsid w:val="00836FC8"/>
    <w:rsid w:val="00846FFE"/>
    <w:rsid w:val="008478F4"/>
    <w:rsid w:val="00847E58"/>
    <w:rsid w:val="008754BD"/>
    <w:rsid w:val="008964FD"/>
    <w:rsid w:val="0089795A"/>
    <w:rsid w:val="00897DAD"/>
    <w:rsid w:val="008B10E4"/>
    <w:rsid w:val="008B213E"/>
    <w:rsid w:val="008C0EC3"/>
    <w:rsid w:val="008C47A4"/>
    <w:rsid w:val="008D05D2"/>
    <w:rsid w:val="008E2DBD"/>
    <w:rsid w:val="008F1079"/>
    <w:rsid w:val="008F1352"/>
    <w:rsid w:val="00905318"/>
    <w:rsid w:val="00921DC9"/>
    <w:rsid w:val="0093057F"/>
    <w:rsid w:val="00931C75"/>
    <w:rsid w:val="00933502"/>
    <w:rsid w:val="00933A14"/>
    <w:rsid w:val="00936105"/>
    <w:rsid w:val="00940DAC"/>
    <w:rsid w:val="00952B48"/>
    <w:rsid w:val="009710E7"/>
    <w:rsid w:val="00975705"/>
    <w:rsid w:val="009776CA"/>
    <w:rsid w:val="00985D4B"/>
    <w:rsid w:val="009878D5"/>
    <w:rsid w:val="0099033F"/>
    <w:rsid w:val="009A34CD"/>
    <w:rsid w:val="009B3215"/>
    <w:rsid w:val="009B45A7"/>
    <w:rsid w:val="009C107A"/>
    <w:rsid w:val="009C1ED7"/>
    <w:rsid w:val="009C51B3"/>
    <w:rsid w:val="009C71B7"/>
    <w:rsid w:val="009E4E05"/>
    <w:rsid w:val="009F1583"/>
    <w:rsid w:val="00A03E61"/>
    <w:rsid w:val="00A0438A"/>
    <w:rsid w:val="00A074F7"/>
    <w:rsid w:val="00A07B72"/>
    <w:rsid w:val="00A24518"/>
    <w:rsid w:val="00A32887"/>
    <w:rsid w:val="00A36679"/>
    <w:rsid w:val="00A44614"/>
    <w:rsid w:val="00A5040F"/>
    <w:rsid w:val="00A566AF"/>
    <w:rsid w:val="00A56EB7"/>
    <w:rsid w:val="00A57266"/>
    <w:rsid w:val="00A577DF"/>
    <w:rsid w:val="00A60F76"/>
    <w:rsid w:val="00A63460"/>
    <w:rsid w:val="00A66FFA"/>
    <w:rsid w:val="00A76F67"/>
    <w:rsid w:val="00AA044C"/>
    <w:rsid w:val="00AA1380"/>
    <w:rsid w:val="00AC27E6"/>
    <w:rsid w:val="00AD35E8"/>
    <w:rsid w:val="00AD3BAF"/>
    <w:rsid w:val="00AF2720"/>
    <w:rsid w:val="00AF3DA0"/>
    <w:rsid w:val="00AF6445"/>
    <w:rsid w:val="00B0283A"/>
    <w:rsid w:val="00B15043"/>
    <w:rsid w:val="00B250D8"/>
    <w:rsid w:val="00B47474"/>
    <w:rsid w:val="00B52DEA"/>
    <w:rsid w:val="00B55D73"/>
    <w:rsid w:val="00B661A3"/>
    <w:rsid w:val="00B67888"/>
    <w:rsid w:val="00B678C1"/>
    <w:rsid w:val="00B71641"/>
    <w:rsid w:val="00B75F0F"/>
    <w:rsid w:val="00B763D6"/>
    <w:rsid w:val="00B87B2E"/>
    <w:rsid w:val="00B95794"/>
    <w:rsid w:val="00B96231"/>
    <w:rsid w:val="00B970E4"/>
    <w:rsid w:val="00BA0B34"/>
    <w:rsid w:val="00BC0166"/>
    <w:rsid w:val="00BC289E"/>
    <w:rsid w:val="00BD11F0"/>
    <w:rsid w:val="00BF1E9E"/>
    <w:rsid w:val="00BF54D2"/>
    <w:rsid w:val="00BF64D6"/>
    <w:rsid w:val="00C04693"/>
    <w:rsid w:val="00C13980"/>
    <w:rsid w:val="00C17651"/>
    <w:rsid w:val="00C17BFD"/>
    <w:rsid w:val="00C23C94"/>
    <w:rsid w:val="00C26412"/>
    <w:rsid w:val="00C27DE2"/>
    <w:rsid w:val="00C320DA"/>
    <w:rsid w:val="00C328CE"/>
    <w:rsid w:val="00C400F5"/>
    <w:rsid w:val="00C50928"/>
    <w:rsid w:val="00C63470"/>
    <w:rsid w:val="00C63F67"/>
    <w:rsid w:val="00C9219A"/>
    <w:rsid w:val="00C92B06"/>
    <w:rsid w:val="00CA33D6"/>
    <w:rsid w:val="00CA7E6F"/>
    <w:rsid w:val="00CB21D0"/>
    <w:rsid w:val="00CC65CC"/>
    <w:rsid w:val="00CD2A5C"/>
    <w:rsid w:val="00CF4217"/>
    <w:rsid w:val="00D03369"/>
    <w:rsid w:val="00D03AF3"/>
    <w:rsid w:val="00D127E4"/>
    <w:rsid w:val="00D12A50"/>
    <w:rsid w:val="00D16D92"/>
    <w:rsid w:val="00D3133D"/>
    <w:rsid w:val="00D31B50"/>
    <w:rsid w:val="00D31D4B"/>
    <w:rsid w:val="00D352FB"/>
    <w:rsid w:val="00D35EB6"/>
    <w:rsid w:val="00D3622C"/>
    <w:rsid w:val="00D45F59"/>
    <w:rsid w:val="00D50BFD"/>
    <w:rsid w:val="00D613B8"/>
    <w:rsid w:val="00D619C5"/>
    <w:rsid w:val="00D64DB9"/>
    <w:rsid w:val="00D97EE6"/>
    <w:rsid w:val="00DA13E6"/>
    <w:rsid w:val="00DA5529"/>
    <w:rsid w:val="00DB108C"/>
    <w:rsid w:val="00DB361C"/>
    <w:rsid w:val="00DB4AB1"/>
    <w:rsid w:val="00DB70DA"/>
    <w:rsid w:val="00DB79C9"/>
    <w:rsid w:val="00DC25E4"/>
    <w:rsid w:val="00DD3B2C"/>
    <w:rsid w:val="00DD55C5"/>
    <w:rsid w:val="00DD7014"/>
    <w:rsid w:val="00DD7CCE"/>
    <w:rsid w:val="00DF1CD6"/>
    <w:rsid w:val="00E02552"/>
    <w:rsid w:val="00E036BF"/>
    <w:rsid w:val="00E1233C"/>
    <w:rsid w:val="00E15412"/>
    <w:rsid w:val="00E210D1"/>
    <w:rsid w:val="00E21EBE"/>
    <w:rsid w:val="00E22C57"/>
    <w:rsid w:val="00E260D7"/>
    <w:rsid w:val="00E27F4A"/>
    <w:rsid w:val="00E30071"/>
    <w:rsid w:val="00E32B45"/>
    <w:rsid w:val="00E33759"/>
    <w:rsid w:val="00E34D17"/>
    <w:rsid w:val="00E3624F"/>
    <w:rsid w:val="00E430FA"/>
    <w:rsid w:val="00E45A6C"/>
    <w:rsid w:val="00E47BB2"/>
    <w:rsid w:val="00E51DE7"/>
    <w:rsid w:val="00E53A0B"/>
    <w:rsid w:val="00E5552C"/>
    <w:rsid w:val="00E65504"/>
    <w:rsid w:val="00E72DC5"/>
    <w:rsid w:val="00E77843"/>
    <w:rsid w:val="00E81855"/>
    <w:rsid w:val="00E926F9"/>
    <w:rsid w:val="00EA1B9E"/>
    <w:rsid w:val="00EC6FF0"/>
    <w:rsid w:val="00EE0AAB"/>
    <w:rsid w:val="00EE1408"/>
    <w:rsid w:val="00EE7793"/>
    <w:rsid w:val="00EF39FB"/>
    <w:rsid w:val="00EF42A5"/>
    <w:rsid w:val="00F031F5"/>
    <w:rsid w:val="00F043D7"/>
    <w:rsid w:val="00F1367C"/>
    <w:rsid w:val="00F30DF9"/>
    <w:rsid w:val="00F37A52"/>
    <w:rsid w:val="00F42F6A"/>
    <w:rsid w:val="00F45D02"/>
    <w:rsid w:val="00F57765"/>
    <w:rsid w:val="00F72FB9"/>
    <w:rsid w:val="00F73878"/>
    <w:rsid w:val="00F769D4"/>
    <w:rsid w:val="00F90ABB"/>
    <w:rsid w:val="00FA2BEC"/>
    <w:rsid w:val="00FB422F"/>
    <w:rsid w:val="00FB5017"/>
    <w:rsid w:val="00FC34B0"/>
    <w:rsid w:val="00FD532F"/>
    <w:rsid w:val="00FE4CE8"/>
    <w:rsid w:val="00FE7FA8"/>
    <w:rsid w:val="00FF7C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DF3F7"/>
  <w15:docId w15:val="{02281437-FEB2-47B5-9962-BD6829F2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3D6"/>
    <w:pPr>
      <w:spacing w:after="200" w:line="276" w:lineRule="auto"/>
    </w:pPr>
    <w:rPr>
      <w:rFonts w:ascii="Calibri" w:eastAsia="Calibri" w:hAnsi="Calibri" w:cs="Times New Roman"/>
    </w:rPr>
  </w:style>
  <w:style w:type="paragraph" w:styleId="Ttulo1">
    <w:name w:val="heading 1"/>
    <w:basedOn w:val="Normal"/>
    <w:next w:val="Normal"/>
    <w:link w:val="Ttulo1Car"/>
    <w:uiPriority w:val="9"/>
    <w:qFormat/>
    <w:rsid w:val="000E1C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0E1C7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173D6"/>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173D6"/>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173D6"/>
    <w:rPr>
      <w:rFonts w:ascii="Calibri" w:eastAsia="Calibri" w:hAnsi="Calibri" w:cs="Times New Roman"/>
      <w:sz w:val="20"/>
      <w:szCs w:val="20"/>
    </w:rPr>
  </w:style>
  <w:style w:type="paragraph" w:styleId="Encabezado">
    <w:name w:val="header"/>
    <w:basedOn w:val="Normal"/>
    <w:link w:val="EncabezadoCar"/>
    <w:uiPriority w:val="99"/>
    <w:unhideWhenUsed/>
    <w:rsid w:val="004173D6"/>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4173D6"/>
  </w:style>
  <w:style w:type="paragraph" w:styleId="Textodeglobo">
    <w:name w:val="Balloon Text"/>
    <w:basedOn w:val="Normal"/>
    <w:link w:val="TextodegloboCar"/>
    <w:uiPriority w:val="99"/>
    <w:semiHidden/>
    <w:unhideWhenUsed/>
    <w:rsid w:val="004C5C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C5CD4"/>
    <w:rPr>
      <w:rFonts w:ascii="Segoe UI" w:eastAsia="Calibri" w:hAnsi="Segoe UI" w:cs="Segoe UI"/>
      <w:sz w:val="18"/>
      <w:szCs w:val="18"/>
    </w:rPr>
  </w:style>
  <w:style w:type="paragraph" w:customStyle="1" w:styleId="corte4fondo">
    <w:name w:val="corte4 fondo"/>
    <w:basedOn w:val="Normal"/>
    <w:link w:val="corte4fondoCar1"/>
    <w:qFormat/>
    <w:rsid w:val="00E22C57"/>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E22C57"/>
    <w:rPr>
      <w:rFonts w:ascii="Arial" w:eastAsia="Times New Roman" w:hAnsi="Arial" w:cs="Times New Roman"/>
      <w:sz w:val="30"/>
      <w:szCs w:val="20"/>
      <w:lang w:val="x-none" w:eastAsia="es-MX"/>
    </w:rPr>
  </w:style>
  <w:style w:type="paragraph" w:customStyle="1" w:styleId="Default">
    <w:name w:val="Default"/>
    <w:rsid w:val="00E22C57"/>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uiPriority w:val="99"/>
    <w:rsid w:val="00E22C57"/>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xmsonormal">
    <w:name w:val="x_msonormal"/>
    <w:basedOn w:val="Normal"/>
    <w:rsid w:val="00E22C57"/>
    <w:pPr>
      <w:spacing w:before="100" w:beforeAutospacing="1" w:after="100" w:afterAutospacing="1" w:line="240" w:lineRule="auto"/>
    </w:pPr>
    <w:rPr>
      <w:rFonts w:ascii="Times New Roman" w:eastAsia="Times New Roman" w:hAnsi="Times New Roman"/>
      <w:sz w:val="24"/>
      <w:szCs w:val="24"/>
      <w:lang w:eastAsia="es-MX"/>
    </w:rPr>
  </w:style>
  <w:style w:type="paragraph" w:styleId="Sinespaciado">
    <w:name w:val="No Spacing"/>
    <w:uiPriority w:val="1"/>
    <w:qFormat/>
    <w:rsid w:val="00334F3F"/>
    <w:pPr>
      <w:spacing w:after="0" w:line="240" w:lineRule="auto"/>
    </w:pPr>
  </w:style>
  <w:style w:type="paragraph" w:styleId="Prrafodelista">
    <w:name w:val="List Paragraph"/>
    <w:basedOn w:val="Normal"/>
    <w:uiPriority w:val="34"/>
    <w:qFormat/>
    <w:rsid w:val="00E53A0B"/>
    <w:pPr>
      <w:ind w:left="720"/>
      <w:contextualSpacing/>
    </w:pPr>
  </w:style>
  <w:style w:type="character" w:styleId="Hipervnculo">
    <w:name w:val="Hyperlink"/>
    <w:basedOn w:val="Fuentedeprrafopredeter"/>
    <w:uiPriority w:val="99"/>
    <w:unhideWhenUsed/>
    <w:rsid w:val="002912B8"/>
    <w:rPr>
      <w:color w:val="0563C1" w:themeColor="hyperlink"/>
      <w:u w:val="single"/>
    </w:rPr>
  </w:style>
  <w:style w:type="character" w:customStyle="1" w:styleId="Ttulo1Car">
    <w:name w:val="Título 1 Car"/>
    <w:basedOn w:val="Fuentedeprrafopredeter"/>
    <w:link w:val="Ttulo1"/>
    <w:uiPriority w:val="9"/>
    <w:rsid w:val="000E1C7F"/>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0E1C7F"/>
    <w:rPr>
      <w:rFonts w:asciiTheme="majorHAnsi" w:eastAsiaTheme="majorEastAsia" w:hAnsiTheme="majorHAnsi" w:cstheme="majorBidi"/>
      <w:color w:val="2F5496" w:themeColor="accent1" w:themeShade="BF"/>
      <w:sz w:val="26"/>
      <w:szCs w:val="26"/>
    </w:rPr>
  </w:style>
  <w:style w:type="paragraph" w:styleId="Lista2">
    <w:name w:val="List 2"/>
    <w:basedOn w:val="Normal"/>
    <w:uiPriority w:val="99"/>
    <w:unhideWhenUsed/>
    <w:rsid w:val="000E1C7F"/>
    <w:pPr>
      <w:ind w:left="566" w:hanging="283"/>
      <w:contextualSpacing/>
    </w:pPr>
  </w:style>
  <w:style w:type="paragraph" w:styleId="Listaconvietas2">
    <w:name w:val="List Bullet 2"/>
    <w:basedOn w:val="Normal"/>
    <w:uiPriority w:val="99"/>
    <w:unhideWhenUsed/>
    <w:rsid w:val="000E1C7F"/>
    <w:pPr>
      <w:numPr>
        <w:numId w:val="1"/>
      </w:numPr>
      <w:contextualSpacing/>
    </w:pPr>
  </w:style>
  <w:style w:type="paragraph" w:styleId="Listaconvietas3">
    <w:name w:val="List Bullet 3"/>
    <w:basedOn w:val="Normal"/>
    <w:uiPriority w:val="99"/>
    <w:unhideWhenUsed/>
    <w:rsid w:val="000E1C7F"/>
    <w:pPr>
      <w:numPr>
        <w:numId w:val="2"/>
      </w:numPr>
      <w:contextualSpacing/>
    </w:pPr>
  </w:style>
  <w:style w:type="paragraph" w:styleId="Textoindependiente">
    <w:name w:val="Body Text"/>
    <w:basedOn w:val="Normal"/>
    <w:link w:val="TextoindependienteCar"/>
    <w:uiPriority w:val="99"/>
    <w:unhideWhenUsed/>
    <w:rsid w:val="000E1C7F"/>
    <w:pPr>
      <w:spacing w:after="120"/>
    </w:pPr>
  </w:style>
  <w:style w:type="character" w:customStyle="1" w:styleId="TextoindependienteCar">
    <w:name w:val="Texto independiente Car"/>
    <w:basedOn w:val="Fuentedeprrafopredeter"/>
    <w:link w:val="Textoindependiente"/>
    <w:uiPriority w:val="99"/>
    <w:rsid w:val="000E1C7F"/>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0E1C7F"/>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0E1C7F"/>
    <w:rPr>
      <w:rFonts w:ascii="Calibri" w:eastAsia="Calibri" w:hAnsi="Calibri" w:cs="Times New Roman"/>
    </w:rPr>
  </w:style>
  <w:style w:type="paragraph" w:styleId="Sangradetextonormal">
    <w:name w:val="Body Text Indent"/>
    <w:basedOn w:val="Normal"/>
    <w:link w:val="SangradetextonormalCar"/>
    <w:uiPriority w:val="99"/>
    <w:semiHidden/>
    <w:unhideWhenUsed/>
    <w:rsid w:val="000E1C7F"/>
    <w:pPr>
      <w:spacing w:after="120"/>
      <w:ind w:left="283"/>
    </w:pPr>
  </w:style>
  <w:style w:type="character" w:customStyle="1" w:styleId="SangradetextonormalCar">
    <w:name w:val="Sangría de texto normal Car"/>
    <w:basedOn w:val="Fuentedeprrafopredeter"/>
    <w:link w:val="Sangradetextonormal"/>
    <w:uiPriority w:val="99"/>
    <w:semiHidden/>
    <w:rsid w:val="000E1C7F"/>
    <w:rPr>
      <w:rFonts w:ascii="Calibri" w:eastAsia="Calibri" w:hAnsi="Calibri" w:cs="Times New Roman"/>
    </w:rPr>
  </w:style>
  <w:style w:type="paragraph" w:styleId="Textoindependienteprimerasangra2">
    <w:name w:val="Body Text First Indent 2"/>
    <w:basedOn w:val="Sangradetextonormal"/>
    <w:link w:val="Textoindependienteprimerasangra2Car"/>
    <w:uiPriority w:val="99"/>
    <w:unhideWhenUsed/>
    <w:rsid w:val="000E1C7F"/>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0E1C7F"/>
    <w:rPr>
      <w:rFonts w:ascii="Calibri" w:eastAsia="Calibri" w:hAnsi="Calibri" w:cs="Times New Roman"/>
    </w:rPr>
  </w:style>
  <w:style w:type="paragraph" w:customStyle="1" w:styleId="Textbodyindent">
    <w:name w:val="Text body indent"/>
    <w:basedOn w:val="Normal"/>
    <w:rsid w:val="00F30DF9"/>
    <w:pPr>
      <w:suppressAutoHyphens/>
      <w:autoSpaceDN w:val="0"/>
      <w:spacing w:after="120" w:line="240" w:lineRule="auto"/>
      <w:ind w:left="283"/>
      <w:textAlignment w:val="baseline"/>
    </w:pPr>
    <w:rPr>
      <w:rFonts w:ascii="Arial" w:eastAsia="Times New Roman" w:hAnsi="Arial" w:cs="Arial"/>
      <w:kern w:val="3"/>
      <w:sz w:val="24"/>
      <w:szCs w:val="24"/>
      <w:lang w:eastAsia="es-ES"/>
    </w:rPr>
  </w:style>
  <w:style w:type="paragraph" w:customStyle="1" w:styleId="Estilo">
    <w:name w:val="Estilo"/>
    <w:basedOn w:val="Sinespaciado"/>
    <w:link w:val="EstiloCar"/>
    <w:qFormat/>
    <w:rsid w:val="00467A35"/>
    <w:pPr>
      <w:jc w:val="both"/>
    </w:pPr>
    <w:rPr>
      <w:rFonts w:ascii="Arial" w:hAnsi="Arial"/>
      <w:sz w:val="24"/>
    </w:rPr>
  </w:style>
  <w:style w:type="character" w:customStyle="1" w:styleId="EstiloCar">
    <w:name w:val="Estilo Car"/>
    <w:basedOn w:val="Fuentedeprrafopredeter"/>
    <w:link w:val="Estilo"/>
    <w:rsid w:val="00467A35"/>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051484">
      <w:bodyDiv w:val="1"/>
      <w:marLeft w:val="0"/>
      <w:marRight w:val="0"/>
      <w:marTop w:val="0"/>
      <w:marBottom w:val="0"/>
      <w:divBdr>
        <w:top w:val="none" w:sz="0" w:space="0" w:color="auto"/>
        <w:left w:val="none" w:sz="0" w:space="0" w:color="auto"/>
        <w:bottom w:val="none" w:sz="0" w:space="0" w:color="auto"/>
        <w:right w:val="none" w:sz="0" w:space="0" w:color="auto"/>
      </w:divBdr>
    </w:div>
    <w:div w:id="191382098">
      <w:bodyDiv w:val="1"/>
      <w:marLeft w:val="0"/>
      <w:marRight w:val="0"/>
      <w:marTop w:val="0"/>
      <w:marBottom w:val="0"/>
      <w:divBdr>
        <w:top w:val="none" w:sz="0" w:space="0" w:color="auto"/>
        <w:left w:val="none" w:sz="0" w:space="0" w:color="auto"/>
        <w:bottom w:val="none" w:sz="0" w:space="0" w:color="auto"/>
        <w:right w:val="none" w:sz="0" w:space="0" w:color="auto"/>
      </w:divBdr>
    </w:div>
    <w:div w:id="259025618">
      <w:bodyDiv w:val="1"/>
      <w:marLeft w:val="0"/>
      <w:marRight w:val="0"/>
      <w:marTop w:val="0"/>
      <w:marBottom w:val="0"/>
      <w:divBdr>
        <w:top w:val="none" w:sz="0" w:space="0" w:color="auto"/>
        <w:left w:val="none" w:sz="0" w:space="0" w:color="auto"/>
        <w:bottom w:val="none" w:sz="0" w:space="0" w:color="auto"/>
        <w:right w:val="none" w:sz="0" w:space="0" w:color="auto"/>
      </w:divBdr>
    </w:div>
    <w:div w:id="347105592">
      <w:bodyDiv w:val="1"/>
      <w:marLeft w:val="0"/>
      <w:marRight w:val="0"/>
      <w:marTop w:val="0"/>
      <w:marBottom w:val="0"/>
      <w:divBdr>
        <w:top w:val="none" w:sz="0" w:space="0" w:color="auto"/>
        <w:left w:val="none" w:sz="0" w:space="0" w:color="auto"/>
        <w:bottom w:val="none" w:sz="0" w:space="0" w:color="auto"/>
        <w:right w:val="none" w:sz="0" w:space="0" w:color="auto"/>
      </w:divBdr>
    </w:div>
    <w:div w:id="663977597">
      <w:bodyDiv w:val="1"/>
      <w:marLeft w:val="0"/>
      <w:marRight w:val="0"/>
      <w:marTop w:val="0"/>
      <w:marBottom w:val="0"/>
      <w:divBdr>
        <w:top w:val="none" w:sz="0" w:space="0" w:color="auto"/>
        <w:left w:val="none" w:sz="0" w:space="0" w:color="auto"/>
        <w:bottom w:val="none" w:sz="0" w:space="0" w:color="auto"/>
        <w:right w:val="none" w:sz="0" w:space="0" w:color="auto"/>
      </w:divBdr>
    </w:div>
    <w:div w:id="767312351">
      <w:bodyDiv w:val="1"/>
      <w:marLeft w:val="0"/>
      <w:marRight w:val="0"/>
      <w:marTop w:val="0"/>
      <w:marBottom w:val="0"/>
      <w:divBdr>
        <w:top w:val="none" w:sz="0" w:space="0" w:color="auto"/>
        <w:left w:val="none" w:sz="0" w:space="0" w:color="auto"/>
        <w:bottom w:val="none" w:sz="0" w:space="0" w:color="auto"/>
        <w:right w:val="none" w:sz="0" w:space="0" w:color="auto"/>
      </w:divBdr>
    </w:div>
    <w:div w:id="780998933">
      <w:bodyDiv w:val="1"/>
      <w:marLeft w:val="0"/>
      <w:marRight w:val="0"/>
      <w:marTop w:val="0"/>
      <w:marBottom w:val="0"/>
      <w:divBdr>
        <w:top w:val="none" w:sz="0" w:space="0" w:color="auto"/>
        <w:left w:val="none" w:sz="0" w:space="0" w:color="auto"/>
        <w:bottom w:val="none" w:sz="0" w:space="0" w:color="auto"/>
        <w:right w:val="none" w:sz="0" w:space="0" w:color="auto"/>
      </w:divBdr>
    </w:div>
    <w:div w:id="844319930">
      <w:bodyDiv w:val="1"/>
      <w:marLeft w:val="0"/>
      <w:marRight w:val="0"/>
      <w:marTop w:val="0"/>
      <w:marBottom w:val="0"/>
      <w:divBdr>
        <w:top w:val="none" w:sz="0" w:space="0" w:color="auto"/>
        <w:left w:val="none" w:sz="0" w:space="0" w:color="auto"/>
        <w:bottom w:val="none" w:sz="0" w:space="0" w:color="auto"/>
        <w:right w:val="none" w:sz="0" w:space="0" w:color="auto"/>
      </w:divBdr>
    </w:div>
    <w:div w:id="1053506460">
      <w:bodyDiv w:val="1"/>
      <w:marLeft w:val="0"/>
      <w:marRight w:val="0"/>
      <w:marTop w:val="0"/>
      <w:marBottom w:val="0"/>
      <w:divBdr>
        <w:top w:val="none" w:sz="0" w:space="0" w:color="auto"/>
        <w:left w:val="none" w:sz="0" w:space="0" w:color="auto"/>
        <w:bottom w:val="none" w:sz="0" w:space="0" w:color="auto"/>
        <w:right w:val="none" w:sz="0" w:space="0" w:color="auto"/>
      </w:divBdr>
    </w:div>
    <w:div w:id="1124735208">
      <w:bodyDiv w:val="1"/>
      <w:marLeft w:val="0"/>
      <w:marRight w:val="0"/>
      <w:marTop w:val="0"/>
      <w:marBottom w:val="0"/>
      <w:divBdr>
        <w:top w:val="none" w:sz="0" w:space="0" w:color="auto"/>
        <w:left w:val="none" w:sz="0" w:space="0" w:color="auto"/>
        <w:bottom w:val="none" w:sz="0" w:space="0" w:color="auto"/>
        <w:right w:val="none" w:sz="0" w:space="0" w:color="auto"/>
      </w:divBdr>
    </w:div>
    <w:div w:id="1168865339">
      <w:bodyDiv w:val="1"/>
      <w:marLeft w:val="0"/>
      <w:marRight w:val="0"/>
      <w:marTop w:val="0"/>
      <w:marBottom w:val="0"/>
      <w:divBdr>
        <w:top w:val="none" w:sz="0" w:space="0" w:color="auto"/>
        <w:left w:val="none" w:sz="0" w:space="0" w:color="auto"/>
        <w:bottom w:val="none" w:sz="0" w:space="0" w:color="auto"/>
        <w:right w:val="none" w:sz="0" w:space="0" w:color="auto"/>
      </w:divBdr>
    </w:div>
    <w:div w:id="1261331591">
      <w:bodyDiv w:val="1"/>
      <w:marLeft w:val="0"/>
      <w:marRight w:val="0"/>
      <w:marTop w:val="0"/>
      <w:marBottom w:val="0"/>
      <w:divBdr>
        <w:top w:val="none" w:sz="0" w:space="0" w:color="auto"/>
        <w:left w:val="none" w:sz="0" w:space="0" w:color="auto"/>
        <w:bottom w:val="none" w:sz="0" w:space="0" w:color="auto"/>
        <w:right w:val="none" w:sz="0" w:space="0" w:color="auto"/>
      </w:divBdr>
    </w:div>
    <w:div w:id="1345283937">
      <w:bodyDiv w:val="1"/>
      <w:marLeft w:val="0"/>
      <w:marRight w:val="0"/>
      <w:marTop w:val="0"/>
      <w:marBottom w:val="0"/>
      <w:divBdr>
        <w:top w:val="none" w:sz="0" w:space="0" w:color="auto"/>
        <w:left w:val="none" w:sz="0" w:space="0" w:color="auto"/>
        <w:bottom w:val="none" w:sz="0" w:space="0" w:color="auto"/>
        <w:right w:val="none" w:sz="0" w:space="0" w:color="auto"/>
      </w:divBdr>
    </w:div>
    <w:div w:id="1350714368">
      <w:bodyDiv w:val="1"/>
      <w:marLeft w:val="0"/>
      <w:marRight w:val="0"/>
      <w:marTop w:val="0"/>
      <w:marBottom w:val="0"/>
      <w:divBdr>
        <w:top w:val="none" w:sz="0" w:space="0" w:color="auto"/>
        <w:left w:val="none" w:sz="0" w:space="0" w:color="auto"/>
        <w:bottom w:val="none" w:sz="0" w:space="0" w:color="auto"/>
        <w:right w:val="none" w:sz="0" w:space="0" w:color="auto"/>
      </w:divBdr>
    </w:div>
    <w:div w:id="1355958626">
      <w:bodyDiv w:val="1"/>
      <w:marLeft w:val="0"/>
      <w:marRight w:val="0"/>
      <w:marTop w:val="0"/>
      <w:marBottom w:val="0"/>
      <w:divBdr>
        <w:top w:val="none" w:sz="0" w:space="0" w:color="auto"/>
        <w:left w:val="none" w:sz="0" w:space="0" w:color="auto"/>
        <w:bottom w:val="none" w:sz="0" w:space="0" w:color="auto"/>
        <w:right w:val="none" w:sz="0" w:space="0" w:color="auto"/>
      </w:divBdr>
    </w:div>
    <w:div w:id="1670792833">
      <w:bodyDiv w:val="1"/>
      <w:marLeft w:val="0"/>
      <w:marRight w:val="0"/>
      <w:marTop w:val="0"/>
      <w:marBottom w:val="0"/>
      <w:divBdr>
        <w:top w:val="none" w:sz="0" w:space="0" w:color="auto"/>
        <w:left w:val="none" w:sz="0" w:space="0" w:color="auto"/>
        <w:bottom w:val="none" w:sz="0" w:space="0" w:color="auto"/>
        <w:right w:val="none" w:sz="0" w:space="0" w:color="auto"/>
      </w:divBdr>
    </w:div>
    <w:div w:id="1693072706">
      <w:bodyDiv w:val="1"/>
      <w:marLeft w:val="0"/>
      <w:marRight w:val="0"/>
      <w:marTop w:val="0"/>
      <w:marBottom w:val="0"/>
      <w:divBdr>
        <w:top w:val="none" w:sz="0" w:space="0" w:color="auto"/>
        <w:left w:val="none" w:sz="0" w:space="0" w:color="auto"/>
        <w:bottom w:val="none" w:sz="0" w:space="0" w:color="auto"/>
        <w:right w:val="none" w:sz="0" w:space="0" w:color="auto"/>
      </w:divBdr>
    </w:div>
    <w:div w:id="1811243898">
      <w:bodyDiv w:val="1"/>
      <w:marLeft w:val="0"/>
      <w:marRight w:val="0"/>
      <w:marTop w:val="0"/>
      <w:marBottom w:val="0"/>
      <w:divBdr>
        <w:top w:val="none" w:sz="0" w:space="0" w:color="auto"/>
        <w:left w:val="none" w:sz="0" w:space="0" w:color="auto"/>
        <w:bottom w:val="none" w:sz="0" w:space="0" w:color="auto"/>
        <w:right w:val="none" w:sz="0" w:space="0" w:color="auto"/>
      </w:divBdr>
    </w:div>
    <w:div w:id="1839690727">
      <w:bodyDiv w:val="1"/>
      <w:marLeft w:val="0"/>
      <w:marRight w:val="0"/>
      <w:marTop w:val="0"/>
      <w:marBottom w:val="0"/>
      <w:divBdr>
        <w:top w:val="none" w:sz="0" w:space="0" w:color="auto"/>
        <w:left w:val="none" w:sz="0" w:space="0" w:color="auto"/>
        <w:bottom w:val="none" w:sz="0" w:space="0" w:color="auto"/>
        <w:right w:val="none" w:sz="0" w:space="0" w:color="auto"/>
      </w:divBdr>
    </w:div>
    <w:div w:id="211544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85F09-7A18-4487-B047-210D3361E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1752</Words>
  <Characters>9637</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dc:creator>
  <cp:lastModifiedBy>cegaip</cp:lastModifiedBy>
  <cp:revision>3</cp:revision>
  <cp:lastPrinted>2022-09-22T19:07:00Z</cp:lastPrinted>
  <dcterms:created xsi:type="dcterms:W3CDTF">2022-09-22T19:07:00Z</dcterms:created>
  <dcterms:modified xsi:type="dcterms:W3CDTF">2022-09-22T19:11:00Z</dcterms:modified>
</cp:coreProperties>
</file>