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24ED" w:rsidRPr="001F410D" w:rsidRDefault="001F410D" w:rsidP="001F410D">
      <w:pPr>
        <w:jc w:val="both"/>
        <w:rPr>
          <w:rFonts w:ascii="Verdana" w:hAnsi="Verdana"/>
          <w:sz w:val="24"/>
          <w:szCs w:val="24"/>
        </w:rPr>
      </w:pPr>
      <w:r w:rsidRPr="001F410D">
        <w:rPr>
          <w:rFonts w:ascii="Verdana" w:hAnsi="Verdana"/>
          <w:sz w:val="24"/>
          <w:szCs w:val="24"/>
        </w:rPr>
        <w:t>Se informa que en presente periodo</w:t>
      </w:r>
      <w:r>
        <w:rPr>
          <w:rFonts w:ascii="Verdana" w:hAnsi="Verdana"/>
          <w:sz w:val="24"/>
          <w:szCs w:val="24"/>
        </w:rPr>
        <w:t>,</w:t>
      </w:r>
      <w:r w:rsidRPr="001F410D">
        <w:rPr>
          <w:rFonts w:ascii="Verdana" w:hAnsi="Verdana"/>
          <w:sz w:val="24"/>
          <w:szCs w:val="24"/>
        </w:rPr>
        <w:t xml:space="preserve"> no se generaron actas ni resoluciones del Comité de Transparencia, lo anterior, conforme a lo establecido en los artículos 18, 19 y 151 de la Ley de Transparencia Estatal, referente a que los entes obligados, se encuentran obligados a entregar la información localizada en sus archivos en conformidad a sus facultades, funciones y/o atribuciones, sin que en el presente periodo se haya generado información al respecto. </w:t>
      </w:r>
      <w:r>
        <w:rPr>
          <w:rFonts w:ascii="Verdana" w:hAnsi="Verdana"/>
          <w:sz w:val="24"/>
          <w:szCs w:val="24"/>
        </w:rPr>
        <w:t>Por lo que, en conformidad</w:t>
      </w:r>
      <w:r w:rsidRPr="001F410D">
        <w:rPr>
          <w:rFonts w:ascii="Verdana" w:hAnsi="Verdana"/>
          <w:sz w:val="24"/>
          <w:szCs w:val="24"/>
        </w:rPr>
        <w:t xml:space="preserve"> a las funciones establecidas para el Comité de Transparencia</w:t>
      </w:r>
      <w:r>
        <w:rPr>
          <w:rFonts w:ascii="Verdana" w:hAnsi="Verdana"/>
          <w:sz w:val="24"/>
          <w:szCs w:val="24"/>
        </w:rPr>
        <w:t>, establecidas en el artículo 52 de la Ley de Transparencia Estatal antes referida, no se generó</w:t>
      </w:r>
      <w:bookmarkStart w:id="0" w:name="_GoBack"/>
      <w:bookmarkEnd w:id="0"/>
      <w:r>
        <w:rPr>
          <w:rFonts w:ascii="Verdana" w:hAnsi="Verdana"/>
          <w:sz w:val="24"/>
          <w:szCs w:val="24"/>
        </w:rPr>
        <w:t xml:space="preserve"> ningún acta o resolución.</w:t>
      </w:r>
    </w:p>
    <w:sectPr w:rsidR="000424ED" w:rsidRPr="001F41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10D"/>
    <w:rsid w:val="000424ED"/>
    <w:rsid w:val="001F4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1B2EFB"/>
  <w15:chartTrackingRefBased/>
  <w15:docId w15:val="{826EDFCD-F8AF-4554-9C8A-68A50ACCD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NeuronA</dc:creator>
  <cp:keywords/>
  <dc:description/>
  <cp:lastModifiedBy>NeuronA</cp:lastModifiedBy>
  <cp:revision>1</cp:revision>
  <dcterms:created xsi:type="dcterms:W3CDTF">2022-06-05T18:42:00Z</dcterms:created>
  <dcterms:modified xsi:type="dcterms:W3CDTF">2022-06-05T18:46:00Z</dcterms:modified>
</cp:coreProperties>
</file>