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AAB" w:rsidRPr="00F377AC" w:rsidRDefault="004173D6" w:rsidP="00EE0AAB">
      <w:pPr>
        <w:jc w:val="both"/>
        <w:rPr>
          <w:rFonts w:ascii="Arial" w:hAnsi="Arial" w:cs="Arial"/>
          <w:b/>
          <w:bCs/>
          <w:color w:val="1F3864" w:themeColor="accent1" w:themeShade="80"/>
          <w:sz w:val="20"/>
        </w:rPr>
      </w:pPr>
      <w:r w:rsidRPr="00D127E4">
        <w:rPr>
          <w:rFonts w:ascii="Arial" w:hAnsi="Arial" w:cs="Arial"/>
          <w:b/>
          <w:color w:val="1F3864" w:themeColor="accent1" w:themeShade="80"/>
        </w:rPr>
        <w:tab/>
      </w:r>
      <w:r w:rsidR="004D758A" w:rsidRPr="00F377AC">
        <w:rPr>
          <w:rFonts w:ascii="Arial" w:hAnsi="Arial" w:cs="Arial"/>
          <w:b/>
          <w:color w:val="1F3864" w:themeColor="accent1" w:themeShade="80"/>
          <w:sz w:val="20"/>
          <w:u w:val="single"/>
        </w:rPr>
        <w:t xml:space="preserve">JASR- </w:t>
      </w:r>
      <w:r w:rsidR="00A63460" w:rsidRPr="00F377AC">
        <w:rPr>
          <w:rFonts w:ascii="Arial" w:hAnsi="Arial" w:cs="Arial"/>
          <w:b/>
          <w:color w:val="1F3864" w:themeColor="accent1" w:themeShade="80"/>
          <w:sz w:val="20"/>
          <w:u w:val="single"/>
        </w:rPr>
        <w:t>30</w:t>
      </w:r>
      <w:r w:rsidR="009775B2" w:rsidRPr="00F377AC">
        <w:rPr>
          <w:rFonts w:ascii="Arial" w:hAnsi="Arial" w:cs="Arial"/>
          <w:b/>
          <w:color w:val="1F3864" w:themeColor="accent1" w:themeShade="80"/>
          <w:sz w:val="20"/>
          <w:u w:val="single"/>
        </w:rPr>
        <w:t>60</w:t>
      </w:r>
      <w:r w:rsidR="0049650D" w:rsidRPr="00F377AC">
        <w:rPr>
          <w:rFonts w:ascii="Arial" w:hAnsi="Arial" w:cs="Arial"/>
          <w:b/>
          <w:color w:val="1F3864" w:themeColor="accent1" w:themeShade="80"/>
          <w:sz w:val="20"/>
          <w:u w:val="single"/>
        </w:rPr>
        <w:t>/2022</w:t>
      </w:r>
      <w:r w:rsidR="004D758A" w:rsidRPr="00F377AC">
        <w:rPr>
          <w:rFonts w:ascii="Arial" w:hAnsi="Arial" w:cs="Arial"/>
          <w:b/>
          <w:color w:val="1F3864" w:themeColor="accent1" w:themeShade="80"/>
          <w:sz w:val="20"/>
          <w:u w:val="single"/>
        </w:rPr>
        <w:t>.-</w:t>
      </w:r>
      <w:r w:rsidR="006755C6" w:rsidRPr="00F377AC">
        <w:rPr>
          <w:rFonts w:ascii="Arial" w:hAnsi="Arial" w:cs="Arial"/>
          <w:color w:val="1F3864" w:themeColor="accent1" w:themeShade="80"/>
          <w:sz w:val="20"/>
          <w:shd w:val="clear" w:color="auto" w:fill="FFFFFF"/>
        </w:rPr>
        <w:t xml:space="preserve"> </w:t>
      </w:r>
      <w:bookmarkStart w:id="0" w:name="_Hlk83641269"/>
      <w:r w:rsidR="00D03369" w:rsidRPr="00F377AC">
        <w:rPr>
          <w:rFonts w:ascii="Arial" w:hAnsi="Arial" w:cs="Arial"/>
          <w:b/>
          <w:color w:val="1F3864" w:themeColor="accent1" w:themeShade="80"/>
          <w:sz w:val="20"/>
        </w:rPr>
        <w:t xml:space="preserve">PRESIDENTE MUNICIPAL DEL H. </w:t>
      </w:r>
      <w:r w:rsidR="00392A2E" w:rsidRPr="00F377AC">
        <w:rPr>
          <w:rFonts w:ascii="Arial" w:hAnsi="Arial" w:cs="Arial"/>
          <w:b/>
          <w:color w:val="1F3864" w:themeColor="accent1" w:themeShade="80"/>
          <w:sz w:val="20"/>
        </w:rPr>
        <w:t xml:space="preserve">AYUNTAMIENTO DE </w:t>
      </w:r>
      <w:r w:rsidR="00A63460" w:rsidRPr="00F377AC">
        <w:rPr>
          <w:rFonts w:ascii="Arial" w:hAnsi="Arial" w:cs="Arial"/>
          <w:b/>
          <w:color w:val="1F3864" w:themeColor="accent1" w:themeShade="80"/>
          <w:sz w:val="20"/>
        </w:rPr>
        <w:t>CERRO DE</w:t>
      </w:r>
      <w:r w:rsidR="009775B2" w:rsidRPr="00F377AC">
        <w:rPr>
          <w:rFonts w:ascii="Arial" w:hAnsi="Arial" w:cs="Arial"/>
          <w:b/>
          <w:color w:val="1F3864" w:themeColor="accent1" w:themeShade="80"/>
          <w:sz w:val="20"/>
        </w:rPr>
        <w:t xml:space="preserve"> CEDRAL</w:t>
      </w:r>
      <w:r w:rsidR="00A63460" w:rsidRPr="00F377AC">
        <w:rPr>
          <w:rFonts w:ascii="Arial" w:hAnsi="Arial" w:cs="Arial"/>
          <w:b/>
          <w:color w:val="1F3864" w:themeColor="accent1" w:themeShade="80"/>
          <w:sz w:val="20"/>
        </w:rPr>
        <w:t xml:space="preserve">, </w:t>
      </w:r>
      <w:r w:rsidR="00392A2E" w:rsidRPr="00F377AC">
        <w:rPr>
          <w:rFonts w:ascii="Arial" w:hAnsi="Arial" w:cs="Arial"/>
          <w:b/>
          <w:color w:val="1F3864" w:themeColor="accent1" w:themeShade="80"/>
          <w:sz w:val="20"/>
        </w:rPr>
        <w:t>SAN LUIS POTOSÍ</w:t>
      </w:r>
    </w:p>
    <w:bookmarkEnd w:id="0"/>
    <w:p w:rsidR="004D758A" w:rsidRPr="00F377AC" w:rsidRDefault="004D758A" w:rsidP="004D758A">
      <w:pPr>
        <w:jc w:val="both"/>
        <w:rPr>
          <w:rFonts w:ascii="Arial" w:hAnsi="Arial" w:cs="Arial"/>
          <w:b/>
          <w:bCs/>
          <w:color w:val="1F3864" w:themeColor="accent1" w:themeShade="80"/>
          <w:sz w:val="20"/>
        </w:rPr>
      </w:pPr>
      <w:r w:rsidRPr="00F377AC">
        <w:rPr>
          <w:rFonts w:ascii="Arial" w:hAnsi="Arial" w:cs="Arial"/>
          <w:b/>
          <w:bCs/>
          <w:color w:val="1F3864" w:themeColor="accent1" w:themeShade="80"/>
          <w:sz w:val="20"/>
        </w:rPr>
        <w:t>PRESENTE.</w:t>
      </w:r>
    </w:p>
    <w:p w:rsidR="00D03369" w:rsidRPr="00F377AC" w:rsidRDefault="004D758A" w:rsidP="00D03369">
      <w:pPr>
        <w:jc w:val="both"/>
        <w:rPr>
          <w:rFonts w:ascii="Arial" w:hAnsi="Arial" w:cs="Arial"/>
          <w:b/>
          <w:bCs/>
          <w:color w:val="1F3864" w:themeColor="accent1" w:themeShade="80"/>
          <w:sz w:val="20"/>
        </w:rPr>
      </w:pPr>
      <w:r w:rsidRPr="00F377AC">
        <w:rPr>
          <w:rFonts w:ascii="Arial" w:hAnsi="Arial" w:cs="Arial"/>
          <w:b/>
          <w:color w:val="1F3864" w:themeColor="accent1" w:themeShade="80"/>
          <w:sz w:val="20"/>
        </w:rPr>
        <w:tab/>
      </w:r>
      <w:r w:rsidRPr="00F377AC">
        <w:rPr>
          <w:rFonts w:ascii="Arial" w:hAnsi="Arial" w:cs="Arial"/>
          <w:b/>
          <w:color w:val="1F3864" w:themeColor="accent1" w:themeShade="80"/>
          <w:sz w:val="20"/>
          <w:u w:val="single"/>
        </w:rPr>
        <w:t xml:space="preserve">JASR- </w:t>
      </w:r>
      <w:r w:rsidR="009775B2" w:rsidRPr="00F377AC">
        <w:rPr>
          <w:rFonts w:ascii="Arial" w:hAnsi="Arial" w:cs="Arial"/>
          <w:b/>
          <w:color w:val="1F3864" w:themeColor="accent1" w:themeShade="80"/>
          <w:sz w:val="20"/>
          <w:u w:val="single"/>
        </w:rPr>
        <w:t>3061</w:t>
      </w:r>
      <w:r w:rsidR="0049650D" w:rsidRPr="00F377AC">
        <w:rPr>
          <w:rFonts w:ascii="Arial" w:hAnsi="Arial" w:cs="Arial"/>
          <w:b/>
          <w:color w:val="1F3864" w:themeColor="accent1" w:themeShade="80"/>
          <w:sz w:val="20"/>
          <w:u w:val="single"/>
        </w:rPr>
        <w:t>/2022</w:t>
      </w:r>
      <w:r w:rsidRPr="00F377AC">
        <w:rPr>
          <w:rFonts w:ascii="Arial" w:hAnsi="Arial" w:cs="Arial"/>
          <w:b/>
          <w:color w:val="1F3864" w:themeColor="accent1" w:themeShade="80"/>
          <w:sz w:val="20"/>
          <w:u w:val="single"/>
        </w:rPr>
        <w:t>.-</w:t>
      </w:r>
      <w:r w:rsidRPr="00F377AC">
        <w:rPr>
          <w:rFonts w:ascii="Arial" w:hAnsi="Arial" w:cs="Arial"/>
          <w:b/>
          <w:color w:val="1F3864" w:themeColor="accent1" w:themeShade="80"/>
          <w:sz w:val="20"/>
        </w:rPr>
        <w:t xml:space="preserve"> </w:t>
      </w:r>
      <w:bookmarkStart w:id="1" w:name="_Hlk81218232"/>
      <w:r w:rsidRPr="00F377AC">
        <w:rPr>
          <w:rFonts w:ascii="Arial" w:hAnsi="Arial" w:cs="Arial"/>
          <w:b/>
          <w:color w:val="1F3864" w:themeColor="accent1" w:themeShade="80"/>
          <w:sz w:val="20"/>
        </w:rPr>
        <w:t>TITULAR DE LA UNIDAD DE TRANSPARENCIA</w:t>
      </w:r>
      <w:r w:rsidR="00E72DC5" w:rsidRPr="00F377AC">
        <w:rPr>
          <w:rFonts w:ascii="Arial" w:hAnsi="Arial" w:cs="Arial"/>
          <w:b/>
          <w:color w:val="1F3864" w:themeColor="accent1" w:themeShade="80"/>
          <w:sz w:val="20"/>
        </w:rPr>
        <w:t xml:space="preserve"> </w:t>
      </w:r>
      <w:bookmarkEnd w:id="1"/>
      <w:r w:rsidR="00D03369" w:rsidRPr="00F377AC">
        <w:rPr>
          <w:rFonts w:ascii="Arial" w:hAnsi="Arial" w:cs="Arial"/>
          <w:b/>
          <w:color w:val="1F3864" w:themeColor="accent1" w:themeShade="80"/>
          <w:sz w:val="20"/>
        </w:rPr>
        <w:t>DEL H. AYUNTAMIENTO DE</w:t>
      </w:r>
      <w:r w:rsidR="00A63460" w:rsidRPr="00F377AC">
        <w:rPr>
          <w:rFonts w:ascii="Arial" w:hAnsi="Arial" w:cs="Arial"/>
          <w:b/>
          <w:color w:val="1F3864" w:themeColor="accent1" w:themeShade="80"/>
          <w:sz w:val="20"/>
        </w:rPr>
        <w:t xml:space="preserve"> C</w:t>
      </w:r>
      <w:r w:rsidR="009775B2" w:rsidRPr="00F377AC">
        <w:rPr>
          <w:rFonts w:ascii="Arial" w:hAnsi="Arial" w:cs="Arial"/>
          <w:b/>
          <w:color w:val="1F3864" w:themeColor="accent1" w:themeShade="80"/>
          <w:sz w:val="20"/>
        </w:rPr>
        <w:t>EDRAL</w:t>
      </w:r>
      <w:r w:rsidR="00392A2E" w:rsidRPr="00F377AC">
        <w:rPr>
          <w:rFonts w:ascii="Arial" w:hAnsi="Arial" w:cs="Arial"/>
          <w:b/>
          <w:color w:val="1F3864" w:themeColor="accent1" w:themeShade="80"/>
          <w:sz w:val="20"/>
        </w:rPr>
        <w:t>, SAN LUIS POTOSÍ</w:t>
      </w:r>
    </w:p>
    <w:p w:rsidR="00467A35" w:rsidRPr="00F377AC" w:rsidRDefault="0049650D" w:rsidP="00E47BB2">
      <w:pPr>
        <w:jc w:val="both"/>
        <w:rPr>
          <w:rFonts w:ascii="Arial" w:hAnsi="Arial" w:cs="Arial"/>
          <w:b/>
          <w:bCs/>
          <w:color w:val="1F3864" w:themeColor="accent1" w:themeShade="80"/>
          <w:sz w:val="20"/>
        </w:rPr>
      </w:pPr>
      <w:r w:rsidRPr="00F377AC">
        <w:rPr>
          <w:rFonts w:ascii="Arial" w:hAnsi="Arial" w:cs="Arial"/>
          <w:b/>
          <w:bCs/>
          <w:color w:val="1F3864" w:themeColor="accent1" w:themeShade="80"/>
          <w:sz w:val="20"/>
        </w:rPr>
        <w:t>PRESENTE.</w:t>
      </w:r>
    </w:p>
    <w:p w:rsidR="00B763D6" w:rsidRPr="00F377AC" w:rsidRDefault="00791C4C" w:rsidP="00E47BB2">
      <w:pPr>
        <w:jc w:val="both"/>
        <w:rPr>
          <w:rFonts w:ascii="Arial" w:hAnsi="Arial" w:cs="Arial"/>
          <w:color w:val="1F3864" w:themeColor="accent1" w:themeShade="80"/>
          <w:szCs w:val="23"/>
        </w:rPr>
      </w:pPr>
      <w:r w:rsidRPr="00F377AC">
        <w:rPr>
          <w:rFonts w:ascii="Arial" w:hAnsi="Arial" w:cs="Arial"/>
          <w:b/>
          <w:color w:val="1F3864" w:themeColor="accent1" w:themeShade="80"/>
          <w:szCs w:val="23"/>
        </w:rPr>
        <w:t xml:space="preserve">          </w:t>
      </w:r>
      <w:r w:rsidR="004173D6" w:rsidRPr="00F377AC">
        <w:rPr>
          <w:rFonts w:ascii="Arial" w:hAnsi="Arial" w:cs="Arial"/>
          <w:color w:val="1F3864" w:themeColor="accent1" w:themeShade="80"/>
          <w:szCs w:val="23"/>
        </w:rPr>
        <w:tab/>
        <w:t xml:space="preserve">Por medio del presente, hágase del conocimiento que en fecha </w:t>
      </w:r>
      <w:r w:rsidR="00A63460" w:rsidRPr="00F377AC">
        <w:rPr>
          <w:rFonts w:ascii="Arial" w:hAnsi="Arial" w:cs="Arial"/>
          <w:color w:val="1F3864" w:themeColor="accent1" w:themeShade="80"/>
          <w:szCs w:val="23"/>
        </w:rPr>
        <w:t xml:space="preserve">21 veintiuno </w:t>
      </w:r>
      <w:r w:rsidR="009775B2" w:rsidRPr="00F377AC">
        <w:rPr>
          <w:rFonts w:ascii="Arial" w:hAnsi="Arial" w:cs="Arial"/>
          <w:color w:val="1F3864" w:themeColor="accent1" w:themeShade="80"/>
          <w:szCs w:val="23"/>
        </w:rPr>
        <w:t xml:space="preserve">de septiembre </w:t>
      </w:r>
      <w:r w:rsidR="0049650D" w:rsidRPr="00F377AC">
        <w:rPr>
          <w:rFonts w:ascii="Arial" w:eastAsia="Times New Roman" w:hAnsi="Arial" w:cs="Arial"/>
          <w:i/>
          <w:iCs/>
          <w:color w:val="1F3864" w:themeColor="accent1" w:themeShade="80"/>
          <w:sz w:val="20"/>
          <w:lang w:eastAsia="es-MX"/>
        </w:rPr>
        <w:t>de 2022 dos mil veintidós</w:t>
      </w:r>
      <w:r w:rsidR="004173D6" w:rsidRPr="00F377AC">
        <w:rPr>
          <w:rFonts w:ascii="Arial" w:hAnsi="Arial" w:cs="Arial"/>
          <w:color w:val="1F3864" w:themeColor="accent1" w:themeShade="80"/>
          <w:szCs w:val="23"/>
        </w:rPr>
        <w:t xml:space="preserve">, </w:t>
      </w:r>
      <w:r w:rsidR="00E47BB2" w:rsidRPr="00F377AC">
        <w:rPr>
          <w:rFonts w:ascii="Arial" w:hAnsi="Arial" w:cs="Arial"/>
          <w:color w:val="1F3864" w:themeColor="accent1" w:themeShade="80"/>
          <w:szCs w:val="23"/>
        </w:rPr>
        <w:t>esta C</w:t>
      </w:r>
      <w:r w:rsidR="004173D6" w:rsidRPr="00F377AC">
        <w:rPr>
          <w:rFonts w:ascii="Arial" w:hAnsi="Arial" w:cs="Arial"/>
          <w:color w:val="1F3864" w:themeColor="accent1" w:themeShade="80"/>
          <w:szCs w:val="23"/>
        </w:rPr>
        <w:t xml:space="preserve">omisión dicto </w:t>
      </w:r>
      <w:r w:rsidR="00E47BB2" w:rsidRPr="00F377AC">
        <w:rPr>
          <w:rFonts w:ascii="Arial" w:hAnsi="Arial" w:cs="Arial"/>
          <w:color w:val="1F3864" w:themeColor="accent1" w:themeShade="80"/>
          <w:szCs w:val="23"/>
        </w:rPr>
        <w:t>un proveído</w:t>
      </w:r>
      <w:r w:rsidR="00E30071" w:rsidRPr="00F377AC">
        <w:rPr>
          <w:rFonts w:ascii="Arial" w:hAnsi="Arial" w:cs="Arial"/>
          <w:color w:val="1F3864" w:themeColor="accent1" w:themeShade="80"/>
          <w:szCs w:val="23"/>
        </w:rPr>
        <w:t xml:space="preserve"> en el recurso</w:t>
      </w:r>
      <w:r w:rsidR="009878D5" w:rsidRPr="00F377AC">
        <w:rPr>
          <w:rFonts w:ascii="Arial" w:hAnsi="Arial" w:cs="Arial"/>
          <w:color w:val="1F3864" w:themeColor="accent1" w:themeShade="80"/>
          <w:szCs w:val="23"/>
        </w:rPr>
        <w:t xml:space="preserve"> de </w:t>
      </w:r>
      <w:r w:rsidR="00E30071" w:rsidRPr="00F377AC">
        <w:rPr>
          <w:rFonts w:ascii="Arial" w:hAnsi="Arial" w:cs="Arial"/>
          <w:color w:val="1F3864" w:themeColor="accent1" w:themeShade="80"/>
          <w:szCs w:val="23"/>
        </w:rPr>
        <w:t xml:space="preserve">revisión </w:t>
      </w:r>
      <w:r w:rsidR="00E30071" w:rsidRPr="00F377AC">
        <w:rPr>
          <w:rFonts w:ascii="Arial" w:hAnsi="Arial" w:cs="Arial"/>
          <w:b/>
          <w:bCs/>
          <w:color w:val="1F3864" w:themeColor="accent1" w:themeShade="80"/>
          <w:szCs w:val="23"/>
        </w:rPr>
        <w:t>R</w:t>
      </w:r>
      <w:r w:rsidR="00DC25E4" w:rsidRPr="00F377AC">
        <w:rPr>
          <w:rFonts w:ascii="Arial" w:hAnsi="Arial" w:cs="Arial"/>
          <w:b/>
          <w:bCs/>
          <w:color w:val="1F3864" w:themeColor="accent1" w:themeShade="80"/>
          <w:szCs w:val="23"/>
        </w:rPr>
        <w:t>R</w:t>
      </w:r>
      <w:r w:rsidR="0049650D" w:rsidRPr="00F377AC">
        <w:rPr>
          <w:rFonts w:ascii="Arial" w:hAnsi="Arial" w:cs="Arial"/>
          <w:b/>
          <w:bCs/>
          <w:color w:val="1F3864" w:themeColor="accent1" w:themeShade="80"/>
          <w:szCs w:val="23"/>
        </w:rPr>
        <w:t xml:space="preserve"> </w:t>
      </w:r>
      <w:r w:rsidR="009775B2" w:rsidRPr="00F377AC">
        <w:rPr>
          <w:rFonts w:ascii="Arial" w:hAnsi="Arial" w:cs="Arial"/>
          <w:b/>
          <w:bCs/>
          <w:color w:val="1F3864" w:themeColor="accent1" w:themeShade="80"/>
          <w:szCs w:val="23"/>
        </w:rPr>
        <w:t>196</w:t>
      </w:r>
      <w:r w:rsidR="00B67888" w:rsidRPr="00F377AC">
        <w:rPr>
          <w:rFonts w:ascii="Arial" w:hAnsi="Arial" w:cs="Arial"/>
          <w:b/>
          <w:bCs/>
          <w:color w:val="1F3864" w:themeColor="accent1" w:themeShade="80"/>
          <w:szCs w:val="23"/>
        </w:rPr>
        <w:t>/</w:t>
      </w:r>
      <w:r w:rsidR="00E260D7" w:rsidRPr="00F377AC">
        <w:rPr>
          <w:rFonts w:ascii="Arial" w:hAnsi="Arial" w:cs="Arial"/>
          <w:b/>
          <w:bCs/>
          <w:color w:val="1F3864" w:themeColor="accent1" w:themeShade="80"/>
          <w:szCs w:val="23"/>
        </w:rPr>
        <w:t>20</w:t>
      </w:r>
      <w:r w:rsidR="006A3582" w:rsidRPr="00F377AC">
        <w:rPr>
          <w:rFonts w:ascii="Arial" w:hAnsi="Arial" w:cs="Arial"/>
          <w:b/>
          <w:bCs/>
          <w:color w:val="1F3864" w:themeColor="accent1" w:themeShade="80"/>
          <w:szCs w:val="23"/>
        </w:rPr>
        <w:t>1</w:t>
      </w:r>
      <w:r w:rsidR="00A63460" w:rsidRPr="00F377AC">
        <w:rPr>
          <w:rFonts w:ascii="Arial" w:hAnsi="Arial" w:cs="Arial"/>
          <w:b/>
          <w:bCs/>
          <w:color w:val="1F3864" w:themeColor="accent1" w:themeShade="80"/>
          <w:szCs w:val="23"/>
        </w:rPr>
        <w:t>6</w:t>
      </w:r>
      <w:r w:rsidR="00E30071" w:rsidRPr="00F377AC">
        <w:rPr>
          <w:rFonts w:ascii="Arial" w:hAnsi="Arial" w:cs="Arial"/>
          <w:b/>
          <w:bCs/>
          <w:color w:val="1F3864" w:themeColor="accent1" w:themeShade="80"/>
          <w:szCs w:val="23"/>
        </w:rPr>
        <w:t>-2</w:t>
      </w:r>
      <w:r w:rsidR="00E47BB2" w:rsidRPr="00F377AC">
        <w:rPr>
          <w:rFonts w:ascii="Arial" w:hAnsi="Arial" w:cs="Arial"/>
          <w:color w:val="1F3864" w:themeColor="accent1" w:themeShade="80"/>
          <w:szCs w:val="23"/>
        </w:rPr>
        <w:t xml:space="preserve"> que </w:t>
      </w:r>
      <w:r w:rsidR="004173D6" w:rsidRPr="00F377AC">
        <w:rPr>
          <w:rFonts w:ascii="Arial" w:hAnsi="Arial" w:cs="Arial"/>
          <w:color w:val="1F3864" w:themeColor="accent1" w:themeShade="80"/>
          <w:szCs w:val="23"/>
        </w:rPr>
        <w:t>a la letra señala:</w:t>
      </w:r>
      <w:r w:rsidR="00E47BB2" w:rsidRPr="00F377AC">
        <w:rPr>
          <w:rFonts w:ascii="Arial" w:hAnsi="Arial" w:cs="Arial"/>
          <w:color w:val="1F3864" w:themeColor="accent1" w:themeShade="80"/>
          <w:szCs w:val="23"/>
        </w:rPr>
        <w:t xml:space="preserve"> </w:t>
      </w:r>
    </w:p>
    <w:p w:rsidR="009775B2" w:rsidRPr="009775B2" w:rsidRDefault="009775B2" w:rsidP="009775B2">
      <w:pPr>
        <w:pStyle w:val="Sinespaciado"/>
        <w:jc w:val="both"/>
        <w:rPr>
          <w:rFonts w:ascii="Arial" w:hAnsi="Arial" w:cs="Arial"/>
          <w:color w:val="00B0F0"/>
          <w:sz w:val="14"/>
          <w:szCs w:val="14"/>
        </w:rPr>
      </w:pPr>
      <w:bookmarkStart w:id="2" w:name="_Hlk57798855"/>
      <w:r w:rsidRPr="009775B2">
        <w:rPr>
          <w:rFonts w:ascii="Arial" w:hAnsi="Arial" w:cs="Arial"/>
          <w:color w:val="00B0F0"/>
          <w:sz w:val="14"/>
          <w:szCs w:val="14"/>
        </w:rPr>
        <w:t>San Luis Potosí, San Luis Potosí, a 21 veintiuno de septiembre de 2022 dos mil veintidós.</w:t>
      </w:r>
    </w:p>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Téngase por recibidos y agréguense a los autos los oficio número UT1821/100/10/2018 y UT1821/13/02/2019, emitidos el 30 treinta de octubre de 2018 dos mil dieciocho y 12 doce de febrero de 2018 dos mil dieciocho, por al Titula de la Unidad de Transparencia del H. Ayuntamiento de Cedral, a través de los cuales, por el primero, remite el diverso oficio número TM1821/014/2018, emitido por el Tesorero Municipal, por medio del cual manifiesta “</w:t>
      </w:r>
      <w:r w:rsidRPr="009775B2">
        <w:rPr>
          <w:rFonts w:ascii="Arial" w:hAnsi="Arial" w:cs="Arial"/>
          <w:i/>
          <w:iCs/>
          <w:color w:val="00B0F0"/>
          <w:sz w:val="14"/>
          <w:szCs w:val="14"/>
        </w:rPr>
        <w:t xml:space="preserve">DENTRO DE LOS REGISTROS CONTABLES DE TODO EL EJERCICIO 2015 NO SE COBRARON INGRESOS POR ESTE CONCEPTO SIN EXCEPCION EN LOS MESES SEÑALADOS”; </w:t>
      </w:r>
      <w:r w:rsidRPr="009775B2">
        <w:rPr>
          <w:rFonts w:ascii="Arial" w:hAnsi="Arial" w:cs="Arial"/>
          <w:color w:val="00B0F0"/>
          <w:sz w:val="14"/>
          <w:szCs w:val="14"/>
        </w:rPr>
        <w:t>y, por el segundo la Titular de la Unidad de Transparencia, remite las constancias con las que pretende acreditar la  adecuada notificación a la nueva respuesta otorgada a la solicitud de acceso a la información presentada por el ahora recurrente.</w:t>
      </w:r>
    </w:p>
    <w:p w:rsidR="009775B2" w:rsidRPr="009775B2" w:rsidRDefault="009775B2" w:rsidP="009775B2">
      <w:pPr>
        <w:pStyle w:val="Sinespaciado"/>
        <w:jc w:val="both"/>
        <w:rPr>
          <w:rFonts w:ascii="Arial" w:hAnsi="Arial" w:cs="Arial"/>
          <w:i/>
          <w:iCs/>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Ahora bien, 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y 181 de la Ley de Transparencia y Acceso a la Información Pública del Estado, procede a analizar el cumplimiento a la resolución de cinco de agosto de dos mil diecinueve, dictada en el presente asunto, con base en las constancias que obran en autos.</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En la resolución que nos ocupa esta Comisión aplicó el principio de afirmativa ficta, por lo tanto lo conminó para que emitiera una nueva respuesta en la que: </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numPr>
          <w:ilvl w:val="0"/>
          <w:numId w:val="12"/>
        </w:numPr>
        <w:jc w:val="both"/>
        <w:rPr>
          <w:rFonts w:ascii="Arial" w:hAnsi="Arial" w:cs="Arial"/>
          <w:color w:val="00B0F0"/>
          <w:sz w:val="14"/>
          <w:szCs w:val="14"/>
        </w:rPr>
      </w:pPr>
      <w:r w:rsidRPr="009775B2">
        <w:rPr>
          <w:rFonts w:ascii="Arial" w:hAnsi="Arial" w:cs="Arial"/>
          <w:color w:val="00B0F0"/>
          <w:sz w:val="14"/>
          <w:szCs w:val="14"/>
        </w:rPr>
        <w:t>Las cantidades que han ingresado a la Tesorería del ayuntamiento por concepto de multas o infracciones de transito durante septiembre octubre y noviembre de 2015 dos mil quince.</w:t>
      </w:r>
    </w:p>
    <w:p w:rsidR="009775B2" w:rsidRPr="009775B2" w:rsidRDefault="009775B2" w:rsidP="009775B2">
      <w:pPr>
        <w:pStyle w:val="Sinespaciado"/>
        <w:numPr>
          <w:ilvl w:val="0"/>
          <w:numId w:val="12"/>
        </w:numPr>
        <w:jc w:val="both"/>
        <w:rPr>
          <w:rFonts w:ascii="Arial" w:hAnsi="Arial" w:cs="Arial"/>
          <w:color w:val="00B0F0"/>
          <w:sz w:val="14"/>
          <w:szCs w:val="14"/>
        </w:rPr>
      </w:pPr>
      <w:r w:rsidRPr="009775B2">
        <w:rPr>
          <w:rFonts w:ascii="Arial" w:hAnsi="Arial" w:cs="Arial"/>
          <w:color w:val="00B0F0"/>
          <w:sz w:val="14"/>
          <w:szCs w:val="14"/>
        </w:rPr>
        <w:t>La cantidad de multas o infracciones de tránsito emitidas durante septiembre octubre y noviembre y</w:t>
      </w:r>
    </w:p>
    <w:p w:rsidR="009775B2" w:rsidRPr="009775B2" w:rsidRDefault="009775B2" w:rsidP="009775B2">
      <w:pPr>
        <w:pStyle w:val="Sinespaciado"/>
        <w:numPr>
          <w:ilvl w:val="0"/>
          <w:numId w:val="12"/>
        </w:numPr>
        <w:jc w:val="both"/>
        <w:rPr>
          <w:rFonts w:ascii="Arial" w:hAnsi="Arial" w:cs="Arial"/>
          <w:color w:val="00B0F0"/>
          <w:sz w:val="14"/>
          <w:szCs w:val="14"/>
        </w:rPr>
      </w:pPr>
      <w:r w:rsidRPr="009775B2">
        <w:rPr>
          <w:rFonts w:ascii="Arial" w:hAnsi="Arial" w:cs="Arial"/>
          <w:color w:val="00B0F0"/>
          <w:sz w:val="14"/>
          <w:szCs w:val="14"/>
        </w:rPr>
        <w:t>El concepto por los cuales fueron emitidas las multas o infracciones de tránsito durante los mese de septiembre, octubre y noviembre.</w:t>
      </w:r>
    </w:p>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 xml:space="preserve">En atención a lo anterior, mediante oficios de cuenta, el sujeto obligado manifestó </w:t>
      </w:r>
      <w:r w:rsidRPr="009775B2">
        <w:rPr>
          <w:rFonts w:ascii="Arial" w:hAnsi="Arial" w:cs="Arial"/>
          <w:i/>
          <w:iCs/>
          <w:color w:val="00B0F0"/>
          <w:sz w:val="14"/>
          <w:szCs w:val="14"/>
        </w:rPr>
        <w:t>DENTRO DE LOS REGISTROS CONTABLES DE TODO EL EJERCICIO 2015 NO SE COBRARON INGRESOS POR ESTE CONCEPTO SIN EXCEPCION EN LOS MESES SEÑALADOS”;</w:t>
      </w:r>
      <w:r w:rsidRPr="009775B2">
        <w:rPr>
          <w:rFonts w:ascii="Arial" w:hAnsi="Arial" w:cs="Arial"/>
          <w:color w:val="00B0F0"/>
          <w:sz w:val="14"/>
          <w:szCs w:val="14"/>
        </w:rPr>
        <w:t xml:space="preserve"> asimismo, el sujeto obligado remitió las constancias de notificación de las cuales se desprende la entrega de la información en comento.</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Es por ello que resulta necesario analizar lo que los artículos 3°, fracciones XII, XIII, 11, 12, 18, 19, 160, fracciones I, II, IV, y 161 de la Ley de Transparencia y Acceso a la Información Pública, del estado de San Luis Potosí, establecen, mismos que a la letra rezan:</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Artículo 3". Para los efectos de esta Ley se entenderá por: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fracción XIl. Derecho de Acceso a la información pública: derecho humano de las personas para acceder a la información pública en posesión de los sujetos obligados, en los términos de esta Ley;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Fracción XIll.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holográfica, electrónico o digital.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11. </w:t>
      </w:r>
      <w:r w:rsidRPr="009775B2">
        <w:rPr>
          <w:rFonts w:ascii="Arial" w:hAnsi="Arial" w:cs="Arial"/>
          <w:i/>
          <w:iCs/>
          <w:color w:val="00B0F0"/>
          <w:sz w:val="14"/>
          <w:szCs w:val="14"/>
          <w:u w:val="single"/>
        </w:rPr>
        <w:t>Toda la información en posesión de los sujetos obligados será pública, completa, oportuna y accesible</w:t>
      </w:r>
      <w:r w:rsidRPr="009775B2">
        <w:rPr>
          <w:rFonts w:ascii="Arial" w:hAnsi="Arial" w:cs="Arial"/>
          <w:i/>
          <w:iCs/>
          <w:color w:val="00B0F0"/>
          <w:sz w:val="14"/>
          <w:szCs w:val="14"/>
        </w:rPr>
        <w:t>, sujeta a un claro régimen de excepciones que deberán estar definidas y ser además legítimas y estrictamente necesarias en una sociedad democrática.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12. </w:t>
      </w:r>
      <w:r w:rsidRPr="009775B2">
        <w:rPr>
          <w:rFonts w:ascii="Arial" w:hAnsi="Arial" w:cs="Arial"/>
          <w:i/>
          <w:iCs/>
          <w:color w:val="00B0F0"/>
          <w:sz w:val="14"/>
          <w:szCs w:val="14"/>
          <w:u w:val="single"/>
        </w:rPr>
        <w:t>Toda la información pública generada, obtenida, adquirida, transformada o en posesión de los sujetos obligados es pública y será accesible a cualquier persona</w:t>
      </w:r>
      <w:r w:rsidRPr="009775B2">
        <w:rPr>
          <w:rFonts w:ascii="Arial" w:hAnsi="Arial" w:cs="Arial"/>
          <w:i/>
          <w:iCs/>
          <w:color w:val="00B0F0"/>
          <w:sz w:val="14"/>
          <w:szCs w:val="14"/>
        </w:rPr>
        <w:t>, para lo que se deberán habilitar todos los medios, acciones y esfuerzos disponibles en los términos y condiciones que establezca esta ley; La Ley General; así como demás normas aplicables.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18. </w:t>
      </w:r>
      <w:r w:rsidRPr="009775B2">
        <w:rPr>
          <w:rFonts w:ascii="Arial" w:hAnsi="Arial" w:cs="Arial"/>
          <w:b/>
          <w:bCs/>
          <w:i/>
          <w:iCs/>
          <w:color w:val="00B0F0"/>
          <w:sz w:val="14"/>
          <w:szCs w:val="14"/>
        </w:rPr>
        <w:t>Los sujetos obligados deberán documentar todo acto que derive del ejercicio de sus facultades, competencias o funciones</w:t>
      </w:r>
      <w:r w:rsidRPr="009775B2">
        <w:rPr>
          <w:rFonts w:ascii="Arial" w:hAnsi="Arial" w:cs="Arial"/>
          <w:i/>
          <w:iCs/>
          <w:color w:val="00B0F0"/>
          <w:sz w:val="14"/>
          <w:szCs w:val="14"/>
        </w:rPr>
        <w:t>. </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19. </w:t>
      </w:r>
      <w:r w:rsidRPr="009775B2">
        <w:rPr>
          <w:rFonts w:ascii="Arial" w:hAnsi="Arial" w:cs="Arial"/>
          <w:b/>
          <w:bCs/>
          <w:i/>
          <w:iCs/>
          <w:color w:val="00B0F0"/>
          <w:sz w:val="14"/>
          <w:szCs w:val="14"/>
          <w:u w:val="single"/>
        </w:rPr>
        <w:t>Se presume que la información debe existir si se refiere a las facultades, competencias y funciones que los ordenamientos jurídicos aplicables otorgan a los sujetos obligados</w:t>
      </w:r>
      <w:r w:rsidRPr="009775B2">
        <w:rPr>
          <w:rFonts w:ascii="Arial" w:hAnsi="Arial" w:cs="Arial"/>
          <w:i/>
          <w:iCs/>
          <w:color w:val="00B0F0"/>
          <w:sz w:val="14"/>
          <w:szCs w:val="14"/>
        </w:rPr>
        <w:t>, </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52. </w:t>
      </w:r>
      <w:r w:rsidRPr="009775B2">
        <w:rPr>
          <w:rFonts w:ascii="Arial" w:hAnsi="Arial" w:cs="Arial"/>
          <w:b/>
          <w:bCs/>
          <w:i/>
          <w:iCs/>
          <w:color w:val="00B0F0"/>
          <w:sz w:val="14"/>
          <w:szCs w:val="14"/>
        </w:rPr>
        <w:t>Cada Comité de Transparencia tendrá las siguientes funciones</w:t>
      </w: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II. Confirmar, modificar o revocar las determinaciones que en materia de ampliación del plazo de respuesta, clasificación de la información y </w:t>
      </w:r>
      <w:r w:rsidRPr="009775B2">
        <w:rPr>
          <w:rFonts w:ascii="Arial" w:hAnsi="Arial" w:cs="Arial"/>
          <w:b/>
          <w:bCs/>
          <w:i/>
          <w:iCs/>
          <w:color w:val="00B0F0"/>
          <w:sz w:val="14"/>
          <w:szCs w:val="14"/>
        </w:rPr>
        <w:t>declaración de inexistencia</w:t>
      </w:r>
      <w:r w:rsidRPr="009775B2">
        <w:rPr>
          <w:rFonts w:ascii="Arial" w:hAnsi="Arial" w:cs="Arial"/>
          <w:i/>
          <w:iCs/>
          <w:color w:val="00B0F0"/>
          <w:sz w:val="14"/>
          <w:szCs w:val="14"/>
        </w:rPr>
        <w:t xml:space="preserve"> o de incompetencia realicen los titulares de las áreas de los sujetos obligados; </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III. </w:t>
      </w:r>
      <w:r w:rsidRPr="009775B2">
        <w:rPr>
          <w:rFonts w:ascii="Arial" w:hAnsi="Arial" w:cs="Arial"/>
          <w:b/>
          <w:bCs/>
          <w:i/>
          <w:iCs/>
          <w:color w:val="00B0F0"/>
          <w:sz w:val="14"/>
          <w:szCs w:val="14"/>
        </w:rPr>
        <w:t>Ordenar</w:t>
      </w:r>
      <w:r w:rsidRPr="009775B2">
        <w:rPr>
          <w:rFonts w:ascii="Arial" w:hAnsi="Arial" w:cs="Arial"/>
          <w:i/>
          <w:iCs/>
          <w:color w:val="00B0F0"/>
          <w:sz w:val="14"/>
          <w:szCs w:val="14"/>
        </w:rPr>
        <w:t>, en su caso</w:t>
      </w:r>
      <w:r w:rsidRPr="009775B2">
        <w:rPr>
          <w:rFonts w:ascii="Arial" w:hAnsi="Arial" w:cs="Arial"/>
          <w:b/>
          <w:bCs/>
          <w:i/>
          <w:iCs/>
          <w:color w:val="00B0F0"/>
          <w:sz w:val="14"/>
          <w:szCs w:val="14"/>
        </w:rPr>
        <w:t>, a las áreas competentes que generen la información que derivado de sus facultades, competencias y funciones deban tener en posesión</w:t>
      </w:r>
      <w:r w:rsidRPr="009775B2">
        <w:rPr>
          <w:rFonts w:ascii="Arial" w:hAnsi="Arial" w:cs="Arial"/>
          <w:i/>
          <w:iCs/>
          <w:color w:val="00B0F0"/>
          <w:sz w:val="14"/>
          <w:szCs w:val="14"/>
        </w:rPr>
        <w:t xml:space="preserve"> o que previa acreditación de la imposibilidad de su generación, </w:t>
      </w:r>
      <w:r w:rsidRPr="009775B2">
        <w:rPr>
          <w:rFonts w:ascii="Arial" w:hAnsi="Arial" w:cs="Arial"/>
          <w:b/>
          <w:bCs/>
          <w:i/>
          <w:iCs/>
          <w:color w:val="00B0F0"/>
          <w:sz w:val="14"/>
          <w:szCs w:val="14"/>
        </w:rPr>
        <w:t>exponga, de forma fundada y motivada, las razones por las cuales, en el caso particular, no ejercieron dichas facultades, competencias o funciones</w:t>
      </w: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lastRenderedPageBreak/>
        <w:t xml:space="preserve">Artículo 160. </w:t>
      </w:r>
      <w:r w:rsidRPr="009775B2">
        <w:rPr>
          <w:rFonts w:ascii="Arial" w:hAnsi="Arial" w:cs="Arial"/>
          <w:b/>
          <w:bCs/>
          <w:i/>
          <w:iCs/>
          <w:color w:val="00B0F0"/>
          <w:sz w:val="14"/>
          <w:szCs w:val="14"/>
        </w:rPr>
        <w:t>Cuando la información no se encuentre en los archivos del sujeto obligado, el Comité de Transparencia</w:t>
      </w:r>
      <w:r w:rsidRPr="009775B2">
        <w:rPr>
          <w:rFonts w:ascii="Arial" w:hAnsi="Arial" w:cs="Arial"/>
          <w:i/>
          <w:iCs/>
          <w:color w:val="00B0F0"/>
          <w:sz w:val="14"/>
          <w:szCs w:val="14"/>
        </w:rPr>
        <w:t xml:space="preserve">: </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Fracción I. </w:t>
      </w:r>
      <w:r w:rsidRPr="009775B2">
        <w:rPr>
          <w:rFonts w:ascii="Arial" w:hAnsi="Arial" w:cs="Arial"/>
          <w:i/>
          <w:iCs/>
          <w:color w:val="00B0F0"/>
          <w:sz w:val="14"/>
          <w:szCs w:val="14"/>
          <w:u w:val="single"/>
        </w:rPr>
        <w:t>Analizará el caso y tomará las medidas necesarias para localizar la información</w:t>
      </w:r>
      <w:r w:rsidRPr="009775B2">
        <w:rPr>
          <w:rFonts w:ascii="Arial" w:hAnsi="Arial" w:cs="Arial"/>
          <w:i/>
          <w:iCs/>
          <w:color w:val="00B0F0"/>
          <w:sz w:val="14"/>
          <w:szCs w:val="14"/>
        </w:rPr>
        <w:t>; </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Fracción Il. </w:t>
      </w:r>
      <w:r w:rsidRPr="009775B2">
        <w:rPr>
          <w:rFonts w:ascii="Arial" w:hAnsi="Arial" w:cs="Arial"/>
          <w:i/>
          <w:iCs/>
          <w:color w:val="00B0F0"/>
          <w:sz w:val="14"/>
          <w:szCs w:val="14"/>
          <w:u w:val="single"/>
        </w:rPr>
        <w:t>Ordenará, siempre que sea materialmente posible, que se genere o se reponga la información</w:t>
      </w:r>
      <w:r w:rsidRPr="009775B2">
        <w:rPr>
          <w:rFonts w:ascii="Arial" w:hAnsi="Arial" w:cs="Arial"/>
          <w:i/>
          <w:iCs/>
          <w:color w:val="00B0F0"/>
          <w:sz w:val="14"/>
          <w:szCs w:val="14"/>
        </w:rPr>
        <w:t xml:space="preserve"> en caso de que esta tuviera que existir en la medida que deriva del ejercicio de sus facultades, competencias o funciones, </w:t>
      </w:r>
      <w:r w:rsidRPr="009775B2">
        <w:rPr>
          <w:rFonts w:ascii="Arial" w:hAnsi="Arial" w:cs="Arial"/>
          <w:i/>
          <w:iCs/>
          <w:color w:val="00B0F0"/>
          <w:sz w:val="14"/>
          <w:szCs w:val="14"/>
          <w:u w:val="single"/>
        </w:rPr>
        <w:t>o que previa acreditación de la imposibilidad de su generación, exponga de forma fundada y motivada, las razones por las cuales en el caso particular no ejerció dichas facultades, competencias o funciones, lo cual notificará al solicitante a través de la Unidad de Transparencia</w:t>
      </w:r>
      <w:r w:rsidRPr="009775B2">
        <w:rPr>
          <w:rFonts w:ascii="Arial" w:hAnsi="Arial" w:cs="Arial"/>
          <w:i/>
          <w:iCs/>
          <w:color w:val="00B0F0"/>
          <w:sz w:val="14"/>
          <w:szCs w:val="14"/>
        </w:rPr>
        <w:t>, y </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III</w:t>
      </w:r>
      <w:r w:rsidRPr="009775B2">
        <w:rPr>
          <w:rFonts w:ascii="Arial" w:hAnsi="Arial" w:cs="Arial"/>
          <w:i/>
          <w:iCs/>
          <w:color w:val="00B0F0"/>
          <w:sz w:val="14"/>
          <w:szCs w:val="14"/>
          <w:u w:val="single"/>
        </w:rPr>
        <w:t>. Ordenará, siempre que sea materialmente posible, que se genere o se reponga la información en caso de que ésta tuviera que existir en la medida que deriva del ejercicio de sus facultades, competencias o funciones</w:t>
      </w:r>
      <w:r w:rsidRPr="009775B2">
        <w:rPr>
          <w:rFonts w:ascii="Arial" w:hAnsi="Arial" w:cs="Arial"/>
          <w:i/>
          <w:iCs/>
          <w:color w:val="00B0F0"/>
          <w:sz w:val="14"/>
          <w:szCs w:val="14"/>
        </w:rPr>
        <w:t>,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Fracción IV. </w:t>
      </w:r>
      <w:r w:rsidRPr="009775B2">
        <w:rPr>
          <w:rFonts w:ascii="Arial" w:hAnsi="Arial" w:cs="Arial"/>
          <w:i/>
          <w:iCs/>
          <w:color w:val="00B0F0"/>
          <w:sz w:val="14"/>
          <w:szCs w:val="14"/>
          <w:u w:val="single"/>
        </w:rPr>
        <w:t>Notificará al órgano interno de control o equivalente del sujeto obligado quien, en su caso, deberá iniciar el procedimiento de responsabilidad administrativa que corresponda</w:t>
      </w:r>
      <w:r w:rsidRPr="009775B2">
        <w:rPr>
          <w:rFonts w:ascii="Arial" w:hAnsi="Arial" w:cs="Arial"/>
          <w:i/>
          <w:iCs/>
          <w:color w:val="00B0F0"/>
          <w:sz w:val="14"/>
          <w:szCs w:val="14"/>
        </w:rPr>
        <w:t>.</w:t>
      </w:r>
    </w:p>
    <w:p w:rsidR="009775B2" w:rsidRPr="009775B2" w:rsidRDefault="009775B2" w:rsidP="009775B2">
      <w:pPr>
        <w:pStyle w:val="Sinespaciado"/>
        <w:ind w:left="567" w:right="616" w:hanging="1"/>
        <w:jc w:val="both"/>
        <w:rPr>
          <w:rFonts w:ascii="Arial" w:hAnsi="Arial" w:cs="Arial"/>
          <w:i/>
          <w:iCs/>
          <w:color w:val="00B0F0"/>
          <w:sz w:val="14"/>
          <w:szCs w:val="14"/>
        </w:rPr>
      </w:pPr>
    </w:p>
    <w:p w:rsidR="009775B2" w:rsidRPr="009775B2" w:rsidRDefault="009775B2" w:rsidP="009775B2">
      <w:pPr>
        <w:pStyle w:val="Sinespaciado"/>
        <w:ind w:left="567"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ARTÍCULO 161. </w:t>
      </w:r>
      <w:r w:rsidRPr="009775B2">
        <w:rPr>
          <w:rFonts w:ascii="Arial" w:hAnsi="Arial" w:cs="Arial"/>
          <w:i/>
          <w:iCs/>
          <w:color w:val="00B0F0"/>
          <w:sz w:val="14"/>
          <w:szCs w:val="14"/>
          <w:u w:val="single"/>
        </w:rPr>
        <w:t>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r w:rsidRPr="009775B2">
        <w:rPr>
          <w:rFonts w:ascii="Arial" w:hAnsi="Arial" w:cs="Arial"/>
          <w:i/>
          <w:iCs/>
          <w:color w:val="00B0F0"/>
          <w:sz w:val="14"/>
          <w:szCs w:val="14"/>
        </w:rPr>
        <w:t>. </w:t>
      </w:r>
    </w:p>
    <w:p w:rsidR="009775B2" w:rsidRPr="009775B2" w:rsidRDefault="009775B2" w:rsidP="009775B2">
      <w:pPr>
        <w:pStyle w:val="Sinespaciado"/>
        <w:ind w:firstLine="708"/>
        <w:jc w:val="both"/>
        <w:rPr>
          <w:rFonts w:ascii="Arial" w:hAnsi="Arial" w:cs="Arial"/>
          <w:i/>
          <w:iCs/>
          <w:color w:val="00B0F0"/>
          <w:sz w:val="14"/>
          <w:szCs w:val="14"/>
        </w:rPr>
      </w:pPr>
    </w:p>
    <w:p w:rsidR="009775B2" w:rsidRPr="009775B2" w:rsidRDefault="009775B2" w:rsidP="009775B2">
      <w:pPr>
        <w:pStyle w:val="Sinespaciado"/>
        <w:ind w:firstLine="708"/>
        <w:jc w:val="both"/>
        <w:rPr>
          <w:rFonts w:ascii="Arial" w:hAnsi="Arial" w:cs="Arial"/>
          <w:i/>
          <w:iCs/>
          <w:color w:val="00B0F0"/>
          <w:sz w:val="14"/>
          <w:szCs w:val="14"/>
        </w:rPr>
      </w:pPr>
      <w:r w:rsidRPr="009775B2">
        <w:rPr>
          <w:rFonts w:ascii="Arial" w:hAnsi="Arial" w:cs="Arial"/>
          <w:i/>
          <w:iCs/>
          <w:color w:val="00B0F0"/>
          <w:sz w:val="14"/>
          <w:szCs w:val="14"/>
        </w:rPr>
        <w:t>[…]”</w:t>
      </w:r>
    </w:p>
    <w:p w:rsidR="009775B2" w:rsidRPr="009775B2" w:rsidRDefault="009775B2" w:rsidP="009775B2">
      <w:pPr>
        <w:pStyle w:val="Sinespaciado"/>
        <w:spacing w:line="276" w:lineRule="auto"/>
        <w:ind w:firstLine="708"/>
        <w:jc w:val="both"/>
        <w:rPr>
          <w:rFonts w:ascii="Arial" w:hAnsi="Arial" w:cs="Arial"/>
          <w:i/>
          <w:iCs/>
          <w:color w:val="00B0F0"/>
          <w:sz w:val="14"/>
          <w:szCs w:val="14"/>
        </w:rPr>
      </w:pPr>
    </w:p>
    <w:p w:rsidR="009775B2" w:rsidRPr="009775B2" w:rsidRDefault="009775B2" w:rsidP="009775B2">
      <w:pPr>
        <w:pStyle w:val="Sinespaciado"/>
        <w:spacing w:line="276" w:lineRule="auto"/>
        <w:ind w:firstLine="708"/>
        <w:jc w:val="both"/>
        <w:rPr>
          <w:rFonts w:ascii="Arial" w:hAnsi="Arial" w:cs="Arial"/>
          <w:color w:val="00B0F0"/>
          <w:sz w:val="14"/>
          <w:szCs w:val="14"/>
        </w:rPr>
      </w:pPr>
      <w:r w:rsidRPr="009775B2">
        <w:rPr>
          <w:rFonts w:ascii="Arial" w:hAnsi="Arial" w:cs="Arial"/>
          <w:color w:val="00B0F0"/>
          <w:sz w:val="14"/>
          <w:szCs w:val="14"/>
        </w:rPr>
        <w:t>Así entonces, de lo anterior se advierten los conceptos básicos para comprender los alcances de la solicitud de información que en el asunto nos ocupa, las obligaciones con las que cuenta el Sujeto Obligado en cuanto a la generación y publicación de los documentos para dar acceso a la ciudadanía a la información generada por el Sujeto Obligado, los supuestos por los cuales el sujeto obligado debe generar información, así como los procedimientos a realizar en caso de que dicha información se encuentre como “desaparecida”, asimismo, que en caso de que sea necesaria la declaración formal de inexistencia, la resolución que declare la inexistencia de la información, deberá contar con algunas características fundamentales, entre las cuales se encuentra: 1. Realizar las gestiones necesarias para localizar la información; 2. Ordenará la reposición de la información siempre que esto sea posible, o que previa acreditación de la imposibilidad de su reposición exponga de manera fundada y motivada las tazones por las cuales en el caso en concreto no ejerció dichas facultades; 3. Notificará a la unidad administrativa que corresponda, para la posible imposición de una responsabilidad administrativa.</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Así entonces, resulta preciso señalar que toda vez que el sujeto obligado manifestó que la información solicitada no fue generada toda vez que no contaban con un reglamento de tránsito, es preciso citar lo establecido en el artículo 1° de la Ley de Transito del Estado de San Luis Potosí, el cual señala:</w:t>
      </w: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w:t>
      </w:r>
    </w:p>
    <w:p w:rsidR="009775B2" w:rsidRPr="009775B2" w:rsidRDefault="009775B2" w:rsidP="009775B2">
      <w:pPr>
        <w:pStyle w:val="Sinespaciado"/>
        <w:ind w:left="709" w:right="616" w:hanging="1"/>
        <w:jc w:val="both"/>
        <w:rPr>
          <w:rFonts w:ascii="Arial" w:hAnsi="Arial" w:cs="Arial"/>
          <w:i/>
          <w:iCs/>
          <w:color w:val="00B0F0"/>
          <w:sz w:val="14"/>
          <w:szCs w:val="14"/>
        </w:rPr>
      </w:pPr>
      <w:r w:rsidRPr="009775B2">
        <w:rPr>
          <w:rFonts w:ascii="Arial" w:hAnsi="Arial" w:cs="Arial"/>
          <w:i/>
          <w:iCs/>
          <w:color w:val="00B0F0"/>
          <w:sz w:val="14"/>
          <w:szCs w:val="14"/>
        </w:rPr>
        <w:t xml:space="preserve">ARTICULO 1°. La presente Ley es de orden público y de interés general; y </w:t>
      </w:r>
      <w:r w:rsidRPr="009775B2">
        <w:rPr>
          <w:rFonts w:ascii="Arial" w:hAnsi="Arial" w:cs="Arial"/>
          <w:b/>
          <w:bCs/>
          <w:i/>
          <w:iCs/>
          <w:color w:val="00B0F0"/>
          <w:sz w:val="14"/>
          <w:szCs w:val="14"/>
        </w:rPr>
        <w:t>tiene como objeto establecer las bases generales para la regulación del tránsito de vehículos, peatones y semovientes en el Estado</w:t>
      </w:r>
      <w:r w:rsidRPr="009775B2">
        <w:rPr>
          <w:rFonts w:ascii="Arial" w:hAnsi="Arial" w:cs="Arial"/>
          <w:i/>
          <w:iCs/>
          <w:color w:val="00B0F0"/>
          <w:sz w:val="14"/>
          <w:szCs w:val="14"/>
        </w:rPr>
        <w:t>, y del servicio de estacionamientos al público.</w:t>
      </w:r>
    </w:p>
    <w:p w:rsidR="009775B2" w:rsidRPr="009775B2" w:rsidRDefault="009775B2" w:rsidP="009775B2">
      <w:pPr>
        <w:pStyle w:val="Sinespaciado"/>
        <w:ind w:left="709" w:right="616" w:hanging="1"/>
        <w:jc w:val="both"/>
        <w:rPr>
          <w:rFonts w:ascii="Arial" w:hAnsi="Arial" w:cs="Arial"/>
          <w:i/>
          <w:iCs/>
          <w:color w:val="00B0F0"/>
          <w:sz w:val="14"/>
          <w:szCs w:val="14"/>
        </w:rPr>
      </w:pPr>
    </w:p>
    <w:p w:rsidR="009775B2" w:rsidRPr="009775B2" w:rsidRDefault="009775B2" w:rsidP="009775B2">
      <w:pPr>
        <w:pStyle w:val="Sinespaciado"/>
        <w:ind w:left="709" w:right="616" w:hanging="1"/>
        <w:jc w:val="both"/>
        <w:rPr>
          <w:rFonts w:ascii="Arial" w:hAnsi="Arial" w:cs="Arial"/>
          <w:i/>
          <w:iCs/>
          <w:color w:val="00B0F0"/>
          <w:sz w:val="14"/>
          <w:szCs w:val="14"/>
        </w:rPr>
      </w:pPr>
      <w:r w:rsidRPr="009775B2">
        <w:rPr>
          <w:rFonts w:ascii="Arial" w:hAnsi="Arial" w:cs="Arial"/>
          <w:i/>
          <w:iCs/>
          <w:color w:val="00B0F0"/>
          <w:sz w:val="14"/>
          <w:szCs w:val="14"/>
        </w:rPr>
        <w:t>Tiene su fundamento en lo dispuesto por el artículo 115 fracciones II y III de la Constitución Política de los Estados Unidos Mexicanos; y 114 fracciones II y III de la Constitución Política del Estado, por lo que es obligatoria para todas las autoridades estatales y municipales,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9775B2" w:rsidRPr="009775B2" w:rsidRDefault="009775B2" w:rsidP="009775B2">
      <w:pPr>
        <w:pStyle w:val="Sinespaciado"/>
        <w:ind w:left="709" w:right="616" w:hanging="1"/>
        <w:jc w:val="both"/>
        <w:rPr>
          <w:rFonts w:ascii="Arial" w:hAnsi="Arial" w:cs="Arial"/>
          <w:i/>
          <w:iCs/>
          <w:color w:val="00B0F0"/>
          <w:sz w:val="14"/>
          <w:szCs w:val="14"/>
        </w:rPr>
      </w:pPr>
    </w:p>
    <w:p w:rsidR="009775B2" w:rsidRPr="009775B2" w:rsidRDefault="009775B2" w:rsidP="009775B2">
      <w:pPr>
        <w:pStyle w:val="Sinespaciado"/>
        <w:ind w:left="709" w:right="616" w:hanging="1"/>
        <w:jc w:val="both"/>
        <w:rPr>
          <w:rFonts w:ascii="Arial" w:hAnsi="Arial" w:cs="Arial"/>
          <w:i/>
          <w:iCs/>
          <w:color w:val="00B0F0"/>
          <w:sz w:val="14"/>
          <w:szCs w:val="14"/>
        </w:rPr>
      </w:pPr>
      <w:r w:rsidRPr="009775B2">
        <w:rPr>
          <w:rFonts w:ascii="Arial" w:hAnsi="Arial" w:cs="Arial"/>
          <w:i/>
          <w:iCs/>
          <w:color w:val="00B0F0"/>
          <w:sz w:val="14"/>
          <w:szCs w:val="14"/>
        </w:rPr>
        <w:t>El servicio público de tránsito es considerado como una función de seguridad pública en los términos de la Ley de Seguridad Pública del Estado, y le son aplicables, en lo conducente, sus objetivos y principios.</w:t>
      </w:r>
    </w:p>
    <w:p w:rsidR="009775B2" w:rsidRPr="009775B2" w:rsidRDefault="009775B2" w:rsidP="009775B2">
      <w:pPr>
        <w:pStyle w:val="Sinespaciado"/>
        <w:ind w:left="709" w:right="616" w:hanging="1"/>
        <w:jc w:val="both"/>
        <w:rPr>
          <w:rFonts w:ascii="Arial" w:hAnsi="Arial" w:cs="Arial"/>
          <w:i/>
          <w:iCs/>
          <w:color w:val="00B0F0"/>
          <w:sz w:val="14"/>
          <w:szCs w:val="14"/>
        </w:rPr>
      </w:pPr>
    </w:p>
    <w:p w:rsidR="009775B2" w:rsidRPr="009775B2" w:rsidRDefault="009775B2" w:rsidP="009775B2">
      <w:pPr>
        <w:pStyle w:val="Sinespaciado"/>
        <w:ind w:left="709" w:right="616" w:hanging="1"/>
        <w:jc w:val="both"/>
        <w:rPr>
          <w:rFonts w:ascii="Arial" w:hAnsi="Arial" w:cs="Arial"/>
          <w:i/>
          <w:iCs/>
          <w:color w:val="00B0F0"/>
          <w:sz w:val="14"/>
          <w:szCs w:val="14"/>
        </w:rPr>
      </w:pPr>
      <w:r w:rsidRPr="009775B2">
        <w:rPr>
          <w:rFonts w:ascii="Arial" w:hAnsi="Arial" w:cs="Arial"/>
          <w:b/>
          <w:bCs/>
          <w:i/>
          <w:iCs/>
          <w:color w:val="00B0F0"/>
          <w:sz w:val="14"/>
          <w:szCs w:val="14"/>
        </w:rPr>
        <w:t>En los términos del artículo 115 fracción II inciso e) de la Constitución Política de los Estados Unidos Mexicanos, y 114 fracción II de la Constitución Política del Estado, cuando algún municipio de la Entidad no cuente con reglamento municipal, o bando de policía y gobierno que regule el servicio público de tránsito, peatones, y del servicio de estacionamientos al público, aplicará en lo que proceda, lo dispuesto por esta Ley</w:t>
      </w:r>
      <w:r w:rsidRPr="009775B2">
        <w:rPr>
          <w:rFonts w:ascii="Arial" w:hAnsi="Arial" w:cs="Arial"/>
          <w:i/>
          <w:iCs/>
          <w:color w:val="00B0F0"/>
          <w:sz w:val="14"/>
          <w:szCs w:val="14"/>
        </w:rPr>
        <w:t>.</w:t>
      </w:r>
    </w:p>
    <w:p w:rsidR="009775B2" w:rsidRPr="009775B2" w:rsidRDefault="009775B2" w:rsidP="009775B2">
      <w:pPr>
        <w:pStyle w:val="Sinespaciado"/>
        <w:ind w:left="709" w:right="616" w:hanging="1"/>
        <w:jc w:val="both"/>
        <w:rPr>
          <w:rFonts w:ascii="Arial" w:hAnsi="Arial" w:cs="Arial"/>
          <w:i/>
          <w:iCs/>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Conforme a lo anterior, la Ley en cita tiene por objeto establecer las bases generales para la regulación del tránsito en general dentro del Estado de San Luis Potosí, auxiliando en lo general a los municipios, cuando estos no posean un Reglamento, Bando de Policía y Buen Gobierno o alguna disposición que regule el tránsito.</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Así entonces, se advierte que en el caso en específico, el sujeto obligado si contaba con normativa que le auxiliara para la imposición de infracciones de tránsito, por lo cual se encontraba en condiciones de entregar la información solicitada, debiendo demostrar una búsqueda exhaustiva y otorgando una respuesta adecuadamente fundamentada y motivada.</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 xml:space="preserve">Resulta aplicable al caso el </w:t>
      </w:r>
      <w:r w:rsidRPr="009775B2">
        <w:rPr>
          <w:rFonts w:ascii="Arial" w:hAnsi="Arial" w:cs="Arial"/>
          <w:bCs/>
          <w:color w:val="00B0F0"/>
          <w:sz w:val="14"/>
          <w:szCs w:val="14"/>
        </w:rPr>
        <w:t>acuerdo ACT-PUB/11/09/2019.06</w:t>
      </w:r>
      <w:r w:rsidRPr="009775B2">
        <w:rPr>
          <w:rFonts w:ascii="Arial" w:hAnsi="Arial" w:cs="Arial"/>
          <w:color w:val="00B0F0"/>
          <w:sz w:val="14"/>
          <w:szCs w:val="14"/>
        </w:rPr>
        <w:t xml:space="preserve">, emitido por el Instituto Nacional de Transparencia, acceso a la información Pública y Protección de Datos Personales, el cual a la letra dice: </w:t>
      </w:r>
    </w:p>
    <w:p w:rsidR="009775B2" w:rsidRPr="009775B2" w:rsidRDefault="009775B2" w:rsidP="009775B2">
      <w:pPr>
        <w:pStyle w:val="Sinespaciado"/>
        <w:ind w:firstLine="708"/>
        <w:jc w:val="both"/>
        <w:rPr>
          <w:rFonts w:ascii="Arial" w:hAnsi="Arial" w:cs="Arial"/>
          <w:b/>
          <w:color w:val="00B0F0"/>
          <w:sz w:val="14"/>
          <w:szCs w:val="14"/>
        </w:rPr>
      </w:pPr>
    </w:p>
    <w:p w:rsidR="009775B2" w:rsidRPr="009775B2" w:rsidRDefault="009775B2" w:rsidP="009775B2">
      <w:pPr>
        <w:pStyle w:val="Sinespaciado"/>
        <w:ind w:left="709" w:right="616" w:hanging="1"/>
        <w:jc w:val="both"/>
        <w:rPr>
          <w:rFonts w:ascii="Arial" w:hAnsi="Arial" w:cs="Arial"/>
          <w:color w:val="00B0F0"/>
          <w:sz w:val="14"/>
          <w:szCs w:val="14"/>
        </w:rPr>
      </w:pPr>
      <w:r w:rsidRPr="009775B2">
        <w:rPr>
          <w:rFonts w:ascii="Arial" w:hAnsi="Arial" w:cs="Arial"/>
          <w:b/>
          <w:color w:val="00B0F0"/>
          <w:sz w:val="14"/>
          <w:szCs w:val="14"/>
        </w:rPr>
        <w:t xml:space="preserve">Propósito de la declaración formal de inexistencia. </w:t>
      </w:r>
      <w:r w:rsidRPr="009775B2">
        <w:rPr>
          <w:rFonts w:ascii="Arial" w:hAnsi="Arial" w:cs="Arial"/>
          <w:bCs/>
          <w:color w:val="00B0F0"/>
          <w:sz w:val="14"/>
          <w:szCs w:val="1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p>
    <w:p w:rsidR="009775B2" w:rsidRPr="009775B2" w:rsidRDefault="009775B2" w:rsidP="009775B2">
      <w:pPr>
        <w:pStyle w:val="Sinespaciado"/>
        <w:ind w:left="709" w:right="616" w:hanging="1"/>
        <w:jc w:val="both"/>
        <w:rPr>
          <w:rFonts w:ascii="Arial" w:hAnsi="Arial" w:cs="Arial"/>
          <w:color w:val="00B0F0"/>
          <w:sz w:val="14"/>
          <w:szCs w:val="14"/>
        </w:rPr>
      </w:pPr>
    </w:p>
    <w:p w:rsidR="009775B2" w:rsidRPr="009775B2" w:rsidRDefault="009775B2" w:rsidP="009775B2">
      <w:pPr>
        <w:pStyle w:val="Sinespaciado"/>
        <w:ind w:left="709" w:right="616" w:hanging="1"/>
        <w:jc w:val="both"/>
        <w:rPr>
          <w:rFonts w:ascii="Arial" w:hAnsi="Arial" w:cs="Arial"/>
          <w:color w:val="00B0F0"/>
          <w:sz w:val="14"/>
          <w:szCs w:val="14"/>
        </w:rPr>
      </w:pPr>
    </w:p>
    <w:p w:rsidR="009775B2" w:rsidRPr="009775B2" w:rsidRDefault="009775B2" w:rsidP="009775B2">
      <w:pPr>
        <w:pStyle w:val="Sinespaciado"/>
        <w:ind w:right="49" w:firstLine="708"/>
        <w:jc w:val="both"/>
        <w:rPr>
          <w:rFonts w:ascii="Arial" w:hAnsi="Arial" w:cs="Arial"/>
          <w:color w:val="00B0F0"/>
          <w:sz w:val="14"/>
          <w:szCs w:val="14"/>
        </w:rPr>
      </w:pPr>
      <w:r w:rsidRPr="009775B2">
        <w:rPr>
          <w:rFonts w:ascii="Arial" w:hAnsi="Arial" w:cs="Arial"/>
          <w:color w:val="00B0F0"/>
          <w:sz w:val="14"/>
          <w:szCs w:val="14"/>
        </w:rPr>
        <w:t>En ese sentido, la declaración formal de inexistencia tiene como principal objetivo, el salvaguardar el derecho de los solicitantes, estableciendo un procedimiento por el cual el sujeto obligado se encuentre en oportunidad de señalar las circunstancias por las cuales no se generó la información que se encuentra como inexistente; y, con esto, se pueda orientar al recurrente en las razones por las que no le es factible entregarle la información.</w:t>
      </w:r>
    </w:p>
    <w:p w:rsidR="009775B2" w:rsidRPr="009775B2" w:rsidRDefault="009775B2" w:rsidP="009775B2">
      <w:pPr>
        <w:pStyle w:val="Sinespaciado"/>
        <w:ind w:right="49" w:firstLine="708"/>
        <w:jc w:val="both"/>
        <w:rPr>
          <w:rFonts w:ascii="Arial" w:hAnsi="Arial" w:cs="Arial"/>
          <w:color w:val="00B0F0"/>
          <w:sz w:val="14"/>
          <w:szCs w:val="14"/>
        </w:rPr>
      </w:pPr>
    </w:p>
    <w:bookmarkEnd w:id="2"/>
    <w:p w:rsidR="009775B2" w:rsidRPr="009775B2" w:rsidRDefault="009775B2" w:rsidP="009775B2">
      <w:pPr>
        <w:pStyle w:val="Sinespaciado"/>
        <w:spacing w:line="276" w:lineRule="auto"/>
        <w:ind w:firstLine="708"/>
        <w:jc w:val="both"/>
        <w:rPr>
          <w:rFonts w:ascii="Arial" w:hAnsi="Arial" w:cs="Arial"/>
          <w:color w:val="00B0F0"/>
          <w:sz w:val="14"/>
          <w:szCs w:val="14"/>
        </w:rPr>
      </w:pPr>
      <w:r w:rsidRPr="009775B2">
        <w:rPr>
          <w:rFonts w:ascii="Arial" w:hAnsi="Arial" w:cs="Arial"/>
          <w:color w:val="00B0F0"/>
          <w:sz w:val="14"/>
          <w:szCs w:val="14"/>
        </w:rPr>
        <w:t>En tal contexto, el sujeto obligado, al emitir la nueva respuesta, acreditó la gestión realizada ante las Unidades Administrativas competentes para la entrega de la información, asimismo, no obstante que manifestaron la inexistencia de la información, de la normativa transcrita se advierte que la aplicación y cobro de multas, derivadas de hechos de tránsito, es una facultad potestativa de la autoridad que no le obliga de manera directa a la generación de la información en comento, pues, es a discreción de la propia autoridad, los casos en los que procede la misma.</w:t>
      </w:r>
    </w:p>
    <w:p w:rsidR="009775B2" w:rsidRPr="009775B2" w:rsidRDefault="009775B2" w:rsidP="009775B2">
      <w:pPr>
        <w:pStyle w:val="Sinespaciado"/>
        <w:spacing w:line="276" w:lineRule="auto"/>
        <w:ind w:firstLine="708"/>
        <w:jc w:val="both"/>
        <w:rPr>
          <w:rFonts w:ascii="Arial" w:hAnsi="Arial" w:cs="Arial"/>
          <w:color w:val="00B0F0"/>
          <w:sz w:val="14"/>
          <w:szCs w:val="14"/>
        </w:rPr>
      </w:pPr>
    </w:p>
    <w:p w:rsidR="009775B2" w:rsidRPr="009775B2" w:rsidRDefault="009775B2" w:rsidP="009775B2">
      <w:pPr>
        <w:pStyle w:val="Sinespaciado"/>
        <w:ind w:firstLine="567"/>
        <w:jc w:val="both"/>
        <w:rPr>
          <w:rFonts w:ascii="Arial" w:hAnsi="Arial" w:cs="Arial"/>
          <w:color w:val="00B0F0"/>
          <w:sz w:val="14"/>
          <w:szCs w:val="14"/>
        </w:rPr>
      </w:pPr>
      <w:r w:rsidRPr="009775B2">
        <w:rPr>
          <w:rFonts w:ascii="Arial" w:hAnsi="Arial" w:cs="Arial"/>
          <w:color w:val="00B0F0"/>
          <w:sz w:val="14"/>
          <w:szCs w:val="14"/>
        </w:rPr>
        <w:t>Sirve de apoyo a lo anterior, el criterio sostenido por el Instituto Nacional de Transparencia Acceso a la Información y Protección de Datos Personales, con numero de registro SO/007/2017, el cual establece lo siguiente:</w:t>
      </w:r>
    </w:p>
    <w:p w:rsidR="009775B2" w:rsidRPr="009775B2" w:rsidRDefault="009775B2" w:rsidP="009775B2">
      <w:pPr>
        <w:pStyle w:val="Sinespaciado"/>
        <w:ind w:firstLine="567"/>
        <w:jc w:val="both"/>
        <w:rPr>
          <w:rFonts w:ascii="Arial" w:hAnsi="Arial" w:cs="Arial"/>
          <w:color w:val="00B0F0"/>
          <w:sz w:val="14"/>
          <w:szCs w:val="14"/>
        </w:rPr>
      </w:pPr>
    </w:p>
    <w:p w:rsidR="009775B2" w:rsidRPr="009775B2" w:rsidRDefault="009775B2" w:rsidP="009775B2">
      <w:pPr>
        <w:pStyle w:val="Sinespaciado"/>
        <w:ind w:left="709" w:right="616"/>
        <w:jc w:val="both"/>
        <w:rPr>
          <w:rFonts w:ascii="Arial" w:hAnsi="Arial" w:cs="Arial"/>
          <w:i/>
          <w:iCs/>
          <w:color w:val="00B0F0"/>
          <w:sz w:val="14"/>
          <w:szCs w:val="14"/>
        </w:rPr>
      </w:pPr>
      <w:r w:rsidRPr="009775B2">
        <w:rPr>
          <w:rFonts w:ascii="Arial" w:hAnsi="Arial" w:cs="Arial"/>
          <w:b/>
          <w:bCs/>
          <w:i/>
          <w:iCs/>
          <w:color w:val="00B0F0"/>
          <w:sz w:val="14"/>
          <w:szCs w:val="14"/>
        </w:rPr>
        <w:t>Casos en los que no es necesario que el Comité de Transparencia confirme formalmente la inexistencia de la información</w:t>
      </w:r>
      <w:r w:rsidRPr="009775B2">
        <w:rPr>
          <w:rFonts w:ascii="Arial" w:hAnsi="Arial" w:cs="Arial"/>
          <w:i/>
          <w:iCs/>
          <w:color w:val="00B0F0"/>
          <w:sz w:val="14"/>
          <w:szCs w:val="14"/>
        </w:rPr>
        <w:t xml:space="preserve">. La Ley General de Transparencia y Acceso a la Información Pública y la Ley Federal de Transparencia y Acceso a la Información Pública establecen el procedimiento que deben seguir los sujetos obligados cuando la información solicitada no se encuentre en sus archivos; el cual implica, entre otras cosas, que el Comité de Transparencia confirme la inexistencia manifestada por las áreas competentes que hubiesen realizado la búsqueda de la información. </w:t>
      </w:r>
      <w:r w:rsidRPr="009775B2">
        <w:rPr>
          <w:rFonts w:ascii="Arial" w:hAnsi="Arial" w:cs="Arial"/>
          <w:i/>
          <w:iCs/>
          <w:color w:val="00B0F0"/>
          <w:sz w:val="14"/>
          <w:szCs w:val="14"/>
          <w:u w:val="single"/>
        </w:rPr>
        <w:t>No obstante lo anterior, en aquellos casos en que no se advierta obligación alguna de los sujetos obligados para contar con la información, derivado del análisis a la normativa aplicable a la materia de la solicitud; y además no se tengan elementos de convicción que permitan suponer que ésta debe obrar en sus archivos, no será necesario que el Comité de Transparencia emita una resolución que confirme la inexistencia de la información</w:t>
      </w:r>
      <w:r w:rsidRPr="009775B2">
        <w:rPr>
          <w:rFonts w:ascii="Arial" w:hAnsi="Arial" w:cs="Arial"/>
          <w:i/>
          <w:iCs/>
          <w:color w:val="00B0F0"/>
          <w:sz w:val="14"/>
          <w:szCs w:val="14"/>
        </w:rPr>
        <w:t>.</w:t>
      </w:r>
    </w:p>
    <w:p w:rsidR="009775B2" w:rsidRPr="009775B2" w:rsidRDefault="009775B2" w:rsidP="009775B2">
      <w:pPr>
        <w:pStyle w:val="Sinespaciado"/>
        <w:ind w:right="616"/>
        <w:jc w:val="both"/>
        <w:rPr>
          <w:rFonts w:ascii="Arial" w:hAnsi="Arial" w:cs="Arial"/>
          <w:b/>
          <w:bCs/>
          <w:color w:val="00B0F0"/>
          <w:sz w:val="14"/>
          <w:szCs w:val="14"/>
        </w:rPr>
      </w:pPr>
    </w:p>
    <w:p w:rsidR="009775B2" w:rsidRPr="009775B2" w:rsidRDefault="009775B2" w:rsidP="009775B2">
      <w:pPr>
        <w:pStyle w:val="Sinespaciado"/>
        <w:ind w:right="616"/>
        <w:jc w:val="both"/>
        <w:rPr>
          <w:rFonts w:ascii="Arial" w:hAnsi="Arial" w:cs="Arial"/>
          <w:b/>
          <w:bCs/>
          <w:color w:val="00B0F0"/>
          <w:sz w:val="14"/>
          <w:szCs w:val="14"/>
        </w:rPr>
      </w:pPr>
    </w:p>
    <w:p w:rsidR="009775B2" w:rsidRPr="009775B2" w:rsidRDefault="009775B2" w:rsidP="009775B2">
      <w:pPr>
        <w:pStyle w:val="Sinespaciado"/>
        <w:ind w:right="49" w:firstLine="708"/>
        <w:jc w:val="both"/>
        <w:rPr>
          <w:rFonts w:ascii="Arial" w:hAnsi="Arial" w:cs="Arial"/>
          <w:color w:val="00B0F0"/>
          <w:sz w:val="14"/>
          <w:szCs w:val="14"/>
        </w:rPr>
      </w:pPr>
      <w:r w:rsidRPr="009775B2">
        <w:rPr>
          <w:rFonts w:ascii="Arial" w:hAnsi="Arial" w:cs="Arial"/>
          <w:color w:val="00B0F0"/>
          <w:sz w:val="14"/>
          <w:szCs w:val="14"/>
        </w:rPr>
        <w:t>Así, conforme a lo anterior, en aquellas circunstancias en las que, del análisis de la legislación aplicable al sujeto obligado, de manera expresa, no se advierta la obligación directa de contener información especifica y no existan elementos que sirvan como indicio para entender como existente la información solicitada, no será necesaria la declaración formal de inexistencia señalada en los artículos 160 y 161 de la Ley de la materia.</w:t>
      </w:r>
    </w:p>
    <w:p w:rsidR="009775B2" w:rsidRPr="009775B2" w:rsidRDefault="009775B2" w:rsidP="009775B2">
      <w:pPr>
        <w:pStyle w:val="Sinespaciado"/>
        <w:ind w:right="49" w:firstLine="708"/>
        <w:jc w:val="both"/>
        <w:rPr>
          <w:rFonts w:ascii="Arial" w:hAnsi="Arial" w:cs="Arial"/>
          <w:color w:val="00B0F0"/>
          <w:sz w:val="14"/>
          <w:szCs w:val="14"/>
        </w:rPr>
      </w:pPr>
    </w:p>
    <w:p w:rsidR="009775B2" w:rsidRPr="009775B2" w:rsidRDefault="009775B2" w:rsidP="009775B2">
      <w:pPr>
        <w:pStyle w:val="Sinespaciado"/>
        <w:ind w:right="49"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 mayor abundamiento, el Instituto Nacional de Transparencia Acceso a la Información y Protección de Datos Personales, a través del criterio histórico con número de clave SO/018/2013, señaló que, en aquellos casos en que la información solicitada resulte en circunstancias estadísticas o cuantitativas, resulta innecesario realizar la declaración formal de inexistencia; circunstancia que, resulta aplicable por analogía al asunto que hoy nos ocupa.</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Por consiguiente, es de señalar que el sujeto obligado atendió la resolución de mérito con los medios que cuenta, de conformidad con el artículo 175 del Código Procesal Administrativo para el estado de San Luis Potosí, a saber:</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left="709" w:right="616"/>
        <w:jc w:val="both"/>
        <w:rPr>
          <w:rFonts w:ascii="Arial" w:hAnsi="Arial" w:cs="Arial"/>
          <w:i/>
          <w:iCs/>
          <w:color w:val="00B0F0"/>
          <w:sz w:val="14"/>
          <w:szCs w:val="14"/>
        </w:rPr>
      </w:pPr>
      <w:r w:rsidRPr="009775B2">
        <w:rPr>
          <w:rFonts w:ascii="Arial" w:hAnsi="Arial" w:cs="Arial"/>
          <w:i/>
          <w:iCs/>
          <w:color w:val="00B0F0"/>
          <w:sz w:val="14"/>
          <w:szCs w:val="14"/>
        </w:rPr>
        <w:t>“A R TÍC U LO 1 7 5. L a actuación administrativa en el procedimiento se desarrollará con arreglo a los principios de economía, celeridad, eficacia, legalidad, publicidad, audiencia, igualdad y buena fe.</w:t>
      </w:r>
    </w:p>
    <w:p w:rsidR="009775B2" w:rsidRPr="009775B2" w:rsidRDefault="009775B2" w:rsidP="009775B2">
      <w:pPr>
        <w:pStyle w:val="Sinespaciado"/>
        <w:ind w:left="709" w:right="616"/>
        <w:jc w:val="both"/>
        <w:rPr>
          <w:rFonts w:ascii="Arial" w:hAnsi="Arial" w:cs="Arial"/>
          <w:i/>
          <w:iCs/>
          <w:color w:val="00B0F0"/>
          <w:sz w:val="14"/>
          <w:szCs w:val="14"/>
        </w:rPr>
      </w:pPr>
    </w:p>
    <w:p w:rsidR="009775B2" w:rsidRPr="009775B2" w:rsidRDefault="009775B2" w:rsidP="009775B2">
      <w:pPr>
        <w:pStyle w:val="Sinespaciado"/>
        <w:ind w:left="709" w:right="616"/>
        <w:jc w:val="both"/>
        <w:rPr>
          <w:rFonts w:ascii="Arial" w:hAnsi="Arial" w:cs="Arial"/>
          <w:i/>
          <w:iCs/>
          <w:color w:val="00B0F0"/>
          <w:sz w:val="14"/>
          <w:szCs w:val="14"/>
        </w:rPr>
      </w:pPr>
      <w:r w:rsidRPr="009775B2">
        <w:rPr>
          <w:rFonts w:ascii="Arial" w:hAnsi="Arial" w:cs="Arial"/>
          <w:i/>
          <w:iCs/>
          <w:color w:val="00B0F0"/>
          <w:sz w:val="14"/>
          <w:szCs w:val="14"/>
        </w:rPr>
        <w:t xml:space="preserve"> […] ”</w:t>
      </w:r>
    </w:p>
    <w:p w:rsidR="009775B2" w:rsidRPr="009775B2" w:rsidRDefault="009775B2" w:rsidP="009775B2">
      <w:pPr>
        <w:pStyle w:val="Sinespaciado"/>
        <w:ind w:left="709" w:right="616"/>
        <w:jc w:val="both"/>
        <w:rPr>
          <w:rFonts w:ascii="Arial" w:hAnsi="Arial" w:cs="Arial"/>
          <w:i/>
          <w:iCs/>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Así mismo sirve de apoyo la tesis aislada, sostenida por el Segundo Tribunal Colegiado en Materia Administrativa del Cuarto Circuito, con número de registro digital 179660, que a la letra señala:</w:t>
      </w:r>
    </w:p>
    <w:p w:rsidR="009775B2" w:rsidRPr="009775B2" w:rsidRDefault="009775B2" w:rsidP="009775B2">
      <w:pPr>
        <w:pStyle w:val="Sinespaciado"/>
        <w:ind w:firstLine="708"/>
        <w:jc w:val="both"/>
        <w:rPr>
          <w:rFonts w:ascii="Arial" w:hAnsi="Arial" w:cs="Arial"/>
          <w:color w:val="00B0F0"/>
          <w:sz w:val="14"/>
          <w:szCs w:val="14"/>
        </w:rPr>
      </w:pPr>
    </w:p>
    <w:p w:rsidR="009775B2" w:rsidRPr="009775B2" w:rsidRDefault="009775B2" w:rsidP="009775B2">
      <w:pPr>
        <w:pStyle w:val="Sinespaciado"/>
        <w:ind w:left="709" w:right="616"/>
        <w:jc w:val="both"/>
        <w:rPr>
          <w:rFonts w:ascii="Arial" w:hAnsi="Arial" w:cs="Arial"/>
          <w:i/>
          <w:iCs/>
          <w:color w:val="00B0F0"/>
          <w:sz w:val="14"/>
          <w:szCs w:val="14"/>
        </w:rPr>
      </w:pPr>
      <w:r w:rsidRPr="009775B2">
        <w:rPr>
          <w:rFonts w:ascii="Arial" w:hAnsi="Arial" w:cs="Arial"/>
          <w:i/>
          <w:iCs/>
          <w:color w:val="00B0F0"/>
          <w:sz w:val="14"/>
          <w:szCs w:val="14"/>
        </w:rPr>
        <w:t>“BUENA FE EN LAS ACTUACIONES DE AUTORIDADES ADMINISTRATIVAS.</w:t>
      </w:r>
    </w:p>
    <w:p w:rsidR="009775B2" w:rsidRPr="009775B2" w:rsidRDefault="009775B2" w:rsidP="009775B2">
      <w:pPr>
        <w:pStyle w:val="Sinespaciado"/>
        <w:ind w:left="709" w:right="616"/>
        <w:jc w:val="both"/>
        <w:rPr>
          <w:rFonts w:ascii="Arial" w:hAnsi="Arial" w:cs="Arial"/>
          <w:i/>
          <w:iCs/>
          <w:color w:val="00B0F0"/>
          <w:sz w:val="14"/>
          <w:szCs w:val="14"/>
        </w:rPr>
      </w:pPr>
      <w:r w:rsidRPr="009775B2">
        <w:rPr>
          <w:rFonts w:ascii="Arial" w:hAnsi="Arial" w:cs="Arial"/>
          <w:i/>
          <w:iCs/>
          <w:color w:val="00B0F0"/>
          <w:sz w:val="14"/>
          <w:szCs w:val="14"/>
        </w:rPr>
        <w:t>Este principio estriba en que en la actuación administrativa de los órganos de la administración pública y en la de los particulares, no deben utilizarse artificios o artimañas, sea por acción u omisión, que lleven a engaño o a error. La buena fe constituye una limitante al ejercicio de facultades de las autoridades, en cuanto tiene su apoyo en la confianza que debe prevalecer en la actuación administrativa, por lo que el acto, producto del procedimiento administrativo, será ilegal cuando en su emisión no se haya observado la buena fe que lleve al engaño o al error al administrado, e incluso a desarrollar una conducta contraria a su propio interés, lo que se traduciría en una falsa o indebida motivación del acto, que generaría que no se encuentre apegado a derecho.”</w:t>
      </w:r>
    </w:p>
    <w:p w:rsidR="009775B2" w:rsidRPr="009775B2" w:rsidRDefault="009775B2" w:rsidP="009775B2">
      <w:pPr>
        <w:pStyle w:val="Sinespaciado"/>
        <w:ind w:left="709" w:right="616"/>
        <w:jc w:val="both"/>
        <w:rPr>
          <w:rFonts w:ascii="Arial" w:hAnsi="Arial" w:cs="Arial"/>
          <w:i/>
          <w:iCs/>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 xml:space="preserve">Así pues, de lo anterior se advierte que el sujeto obligado hizo llegar al hoy recurrente una nueva respuesta congruente y exhaustiva, por la cual se pronunció respecto de la solicitud de la cual derivó el presente recurso de revisión; Así entonces, de las constancias descritas es dable determinar que se encuentra cumplida la resolución dictada, ya que el ente obligado comprobó haber notificado y entregado al recurrente la información que se ordenó en dicha resolución. </w:t>
      </w:r>
    </w:p>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Lo anterior se asevera, toda vez que del correo electrónico enviado a la parte recurrente por la Titular de la Unidad de Transparencia del Sujeto obligado, se advierte que el sujeto obligado adjuntó diversos archivos digitales; lo anterior en atención a la resolución emitida por esta Comisión, es decir, que el documento adjunto contiene la información que esta Comisión ordenó entregar en la resolución dictada en el presente asunto, archivo que fue enviado precisamente a la dirección electrónica que la parte recurrente señaló en su recurso de revisión pues de la notificación se advierte que coincide con el correo electrónico que la parte recurrente señaló y que después aparece el carácter que separa el usuario y el dominio en las direcciones electrónicas -comúnmente conocido como @ arroba-; y luego aparece el dominio al que pertenece y que es hotmail- que es el nombre de la empresa o institución a la cual pertenece el nombre del usuario-; y por último se observa el “.com”  que es la actividad de la empresa, dicho en otras palabras, el correo electrónico que la parte recurrente señaló para recibir las notificaciones coincide con el que la autoridad le envió a la promovente el correo arriba señalado, circunstancia que otorga certidumbre a esta Comisión de que la parte recurrente tuvo oportuno conocimiento del cumplimiento dado a la resolución de mérito, así como de la información proporcionada y en la modalidad solicitada. </w:t>
      </w:r>
    </w:p>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color w:val="00B0F0"/>
          <w:sz w:val="14"/>
          <w:szCs w:val="14"/>
        </w:rPr>
      </w:pPr>
      <w:r w:rsidRPr="009775B2">
        <w:rPr>
          <w:rFonts w:ascii="Arial" w:hAnsi="Arial" w:cs="Arial"/>
          <w:color w:val="00B0F0"/>
          <w:sz w:val="14"/>
          <w:szCs w:val="14"/>
        </w:rPr>
        <w:t>Así entonces, es dable asentar que la resolución de mérito se encuentra debidamente cumplida, pues el sujeto obligado acreditó de manera fehaciente la entrega de la información, a través del correo electrónico autorizado por el inconforme, esto es en la modalidad por vía electrónica, por lo que esta Comisión posee la certeza de que en efecto se entregó la información aquí ordenada, sin que en su oportunidad el inconforme presentara probanza alguna tendiente a desvirtuar la legalidad de las constancias remitidas por el ente obligado, por lo que a juicio de este Órgano Colegiado el fallo de mérito se encuentra cabalmente cumplido. </w:t>
      </w:r>
    </w:p>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pStyle w:val="Sinespaciado"/>
        <w:ind w:firstLine="708"/>
        <w:jc w:val="both"/>
        <w:rPr>
          <w:rFonts w:ascii="Arial" w:hAnsi="Arial" w:cs="Arial"/>
          <w:b/>
          <w:color w:val="00B0F0"/>
          <w:sz w:val="14"/>
          <w:szCs w:val="14"/>
        </w:rPr>
      </w:pPr>
      <w:r w:rsidRPr="009775B2">
        <w:rPr>
          <w:rFonts w:ascii="Arial" w:hAnsi="Arial" w:cs="Arial"/>
          <w:color w:val="00B0F0"/>
          <w:sz w:val="14"/>
          <w:szCs w:val="14"/>
        </w:rPr>
        <w:t>En consecuencia, con fundamento en los artículos 27, 181 y 185 de la Ley de Transparencia y Acceso a la Información Pública del Estado, se tiene por cumplida la resolución de cinco de agosto de dos mil diecinueve, dictada en el recurso de revisión 196/2016-2 del índice de esta Comisión.</w:t>
      </w:r>
      <w:bookmarkStart w:id="3" w:name="_Hlk57797417"/>
      <w:r w:rsidRPr="009775B2">
        <w:rPr>
          <w:rFonts w:ascii="Arial" w:hAnsi="Arial" w:cs="Arial"/>
          <w:color w:val="00B0F0"/>
          <w:sz w:val="14"/>
          <w:szCs w:val="14"/>
        </w:rPr>
        <w:t xml:space="preserve"> </w:t>
      </w:r>
      <w:r w:rsidRPr="009775B2">
        <w:rPr>
          <w:rFonts w:ascii="Arial" w:hAnsi="Arial" w:cs="Arial"/>
          <w:bCs/>
          <w:color w:val="00B0F0"/>
          <w:sz w:val="14"/>
          <w:szCs w:val="14"/>
        </w:rPr>
        <w:t>Remítase en su oportunidad este expediente al Archivo de Concentración de este Órgano Colegiado</w:t>
      </w:r>
      <w:r w:rsidRPr="009775B2">
        <w:rPr>
          <w:rFonts w:ascii="Arial" w:hAnsi="Arial" w:cs="Arial"/>
          <w:color w:val="00B0F0"/>
          <w:sz w:val="14"/>
          <w:szCs w:val="14"/>
        </w:rPr>
        <w:t xml:space="preserve">. </w:t>
      </w:r>
      <w:r w:rsidRPr="009775B2">
        <w:rPr>
          <w:rFonts w:ascii="Arial" w:hAnsi="Arial" w:cs="Arial"/>
          <w:b/>
          <w:color w:val="00B0F0"/>
          <w:sz w:val="14"/>
          <w:szCs w:val="14"/>
        </w:rPr>
        <w:t xml:space="preserve">Notifíquese personalmente a las partes. </w:t>
      </w:r>
    </w:p>
    <w:bookmarkEnd w:id="3"/>
    <w:p w:rsidR="009775B2" w:rsidRPr="009775B2" w:rsidRDefault="009775B2" w:rsidP="009775B2">
      <w:pPr>
        <w:pStyle w:val="Sinespaciado"/>
        <w:jc w:val="both"/>
        <w:rPr>
          <w:rFonts w:ascii="Arial" w:hAnsi="Arial" w:cs="Arial"/>
          <w:color w:val="00B0F0"/>
          <w:sz w:val="14"/>
          <w:szCs w:val="14"/>
        </w:rPr>
      </w:pPr>
    </w:p>
    <w:p w:rsidR="009775B2" w:rsidRPr="009775B2" w:rsidRDefault="009775B2" w:rsidP="009775B2">
      <w:pPr>
        <w:spacing w:line="240" w:lineRule="auto"/>
        <w:ind w:firstLine="680"/>
        <w:jc w:val="both"/>
        <w:rPr>
          <w:rFonts w:ascii="Arial" w:hAnsi="Arial" w:cs="Arial"/>
          <w:color w:val="00B0F0"/>
          <w:sz w:val="14"/>
          <w:szCs w:val="14"/>
        </w:rPr>
      </w:pPr>
      <w:r w:rsidRPr="009775B2">
        <w:rPr>
          <w:rFonts w:ascii="Arial" w:hAnsi="Arial" w:cs="Arial"/>
          <w:color w:val="00B0F0"/>
          <w:sz w:val="14"/>
          <w:szCs w:val="14"/>
        </w:rPr>
        <w:t>Así lo proveyó y firma el Comisionado ponente de la Comisión Estatal de Garantía de Acceso a la Información Pública José Alfredo Solis Ramírez, que actúa con Licenciada Rosa María Motilla García, Secretaria de Pleno de esta Comisión.</w:t>
      </w:r>
    </w:p>
    <w:p w:rsidR="004173D6" w:rsidRPr="00467A35" w:rsidRDefault="00E22C57" w:rsidP="009878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1F3864" w:themeColor="accent1" w:themeShade="80"/>
        </w:rPr>
      </w:pPr>
      <w:r w:rsidRPr="00467A35">
        <w:rPr>
          <w:rFonts w:ascii="Arial" w:hAnsi="Arial" w:cs="Arial"/>
          <w:b/>
          <w:i/>
          <w:color w:val="1F3864" w:themeColor="accent1" w:themeShade="80"/>
        </w:rPr>
        <w:tab/>
      </w:r>
      <w:r w:rsidRPr="00467A35">
        <w:rPr>
          <w:rFonts w:ascii="Arial" w:eastAsia="Arial Unicode MS" w:hAnsi="Arial" w:cs="Arial"/>
          <w:color w:val="1F3864" w:themeColor="accent1" w:themeShade="80"/>
        </w:rPr>
        <w:t xml:space="preserve"> </w:t>
      </w:r>
      <w:r w:rsidR="004173D6" w:rsidRPr="00467A35">
        <w:rPr>
          <w:rFonts w:ascii="Arial" w:hAnsi="Arial" w:cs="Arial"/>
          <w:color w:val="1F3864" w:themeColor="accent1" w:themeShade="80"/>
        </w:rPr>
        <w:t>Lo que transcribo a Usted para su conocimiento y efectos legales consiguientes en vía de notificación de</w:t>
      </w:r>
      <w:r w:rsidR="00D97EE6" w:rsidRPr="00467A35">
        <w:rPr>
          <w:rFonts w:ascii="Arial" w:hAnsi="Arial" w:cs="Arial"/>
          <w:color w:val="1F3864" w:themeColor="accent1" w:themeShade="80"/>
        </w:rPr>
        <w:t>l presente acuerdo.</w:t>
      </w:r>
    </w:p>
    <w:p w:rsidR="004173D6" w:rsidRDefault="004173D6" w:rsidP="004C5CD4">
      <w:pPr>
        <w:jc w:val="center"/>
        <w:rPr>
          <w:rFonts w:ascii="Arial" w:hAnsi="Arial" w:cs="Arial"/>
          <w:b/>
          <w:color w:val="595959" w:themeColor="text1" w:themeTint="A6"/>
        </w:rPr>
      </w:pPr>
      <w:r w:rsidRPr="001E7686">
        <w:rPr>
          <w:rFonts w:ascii="Arial" w:hAnsi="Arial" w:cs="Arial"/>
          <w:b/>
          <w:color w:val="595959" w:themeColor="text1" w:themeTint="A6"/>
        </w:rPr>
        <w:t>Atentamente</w:t>
      </w:r>
    </w:p>
    <w:p w:rsidR="00F377AC" w:rsidRDefault="00F377AC" w:rsidP="004C5CD4">
      <w:pPr>
        <w:jc w:val="center"/>
        <w:rPr>
          <w:rFonts w:ascii="Arial" w:hAnsi="Arial" w:cs="Arial"/>
          <w:b/>
          <w:color w:val="595959" w:themeColor="text1" w:themeTint="A6"/>
        </w:rPr>
      </w:pPr>
    </w:p>
    <w:p w:rsidR="004173D6" w:rsidRDefault="004173D6" w:rsidP="004173D6">
      <w:pPr>
        <w:jc w:val="center"/>
        <w:rPr>
          <w:rFonts w:ascii="Arial" w:hAnsi="Arial" w:cs="Arial"/>
          <w:b/>
          <w:color w:val="595959" w:themeColor="text1" w:themeTint="A6"/>
        </w:rPr>
      </w:pPr>
      <w:r w:rsidRPr="001E7686">
        <w:rPr>
          <w:rFonts w:ascii="Arial" w:hAnsi="Arial" w:cs="Arial"/>
          <w:b/>
          <w:color w:val="595959" w:themeColor="text1" w:themeTint="A6"/>
        </w:rPr>
        <w:t>Licenciado Javier Pérez Limón</w:t>
      </w:r>
    </w:p>
    <w:p w:rsidR="0030484A" w:rsidRDefault="004173D6" w:rsidP="00E65504">
      <w:pPr>
        <w:ind w:left="708" w:hanging="708"/>
        <w:jc w:val="center"/>
        <w:rPr>
          <w:rFonts w:ascii="Arial" w:hAnsi="Arial" w:cs="Arial"/>
          <w:b/>
          <w:color w:val="595959" w:themeColor="text1" w:themeTint="A6"/>
        </w:rPr>
      </w:pPr>
      <w:r w:rsidRPr="001E7686">
        <w:rPr>
          <w:rFonts w:ascii="Arial" w:hAnsi="Arial" w:cs="Arial"/>
          <w:b/>
          <w:color w:val="595959" w:themeColor="text1" w:themeTint="A6"/>
        </w:rPr>
        <w:t>Notificador</w:t>
      </w:r>
    </w:p>
    <w:p w:rsidR="00F377AC" w:rsidRDefault="00F377AC" w:rsidP="00E65504">
      <w:pPr>
        <w:ind w:left="708" w:hanging="708"/>
        <w:jc w:val="center"/>
        <w:rPr>
          <w:rFonts w:ascii="Arial" w:hAnsi="Arial" w:cs="Arial"/>
          <w:b/>
          <w:color w:val="595959" w:themeColor="text1" w:themeTint="A6"/>
        </w:rPr>
      </w:pPr>
      <w:bookmarkStart w:id="4" w:name="_GoBack"/>
      <w:bookmarkEnd w:id="4"/>
    </w:p>
    <w:sectPr w:rsidR="00F377AC" w:rsidSect="009878D5">
      <w:headerReference w:type="default" r:id="rId8"/>
      <w:pgSz w:w="12240" w:h="20160" w:code="5"/>
      <w:pgMar w:top="2381"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0046" w:rsidRDefault="00860046" w:rsidP="004173D6">
      <w:pPr>
        <w:spacing w:after="0" w:line="240" w:lineRule="auto"/>
      </w:pPr>
      <w:r>
        <w:separator/>
      </w:r>
    </w:p>
  </w:endnote>
  <w:endnote w:type="continuationSeparator" w:id="0">
    <w:p w:rsidR="00860046" w:rsidRDefault="00860046"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0046" w:rsidRDefault="00860046" w:rsidP="004173D6">
      <w:pPr>
        <w:spacing w:after="0" w:line="240" w:lineRule="auto"/>
      </w:pPr>
      <w:r>
        <w:separator/>
      </w:r>
    </w:p>
  </w:footnote>
  <w:footnote w:type="continuationSeparator" w:id="0">
    <w:p w:rsidR="00860046" w:rsidRDefault="00860046" w:rsidP="00417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F377AC" w:rsidRPr="00F377AC">
          <w:rPr>
            <w:noProof/>
            <w:lang w:val="es-ES"/>
          </w:rPr>
          <w:t>4</w:t>
        </w:r>
        <w:r>
          <w:fldChar w:fldCharType="end"/>
        </w:r>
      </w:p>
    </w:sdtContent>
  </w:sdt>
  <w:p w:rsidR="0065491F" w:rsidRDefault="0086004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05A608A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7AE65D7E"/>
    <w:lvl w:ilvl="0">
      <w:start w:val="1"/>
      <w:numFmt w:val="bullet"/>
      <w:pStyle w:val="Listaconvietas2"/>
      <w:lvlText w:val=""/>
      <w:lvlJc w:val="left"/>
      <w:pPr>
        <w:tabs>
          <w:tab w:val="num" w:pos="643"/>
        </w:tabs>
        <w:ind w:left="643" w:hanging="360"/>
      </w:pPr>
      <w:rPr>
        <w:rFonts w:ascii="Symbol" w:hAnsi="Symbol" w:hint="default"/>
      </w:rPr>
    </w:lvl>
  </w:abstractNum>
  <w:abstractNum w:abstractNumId="2" w15:restartNumberingAfterBreak="0">
    <w:nsid w:val="0297021F"/>
    <w:multiLevelType w:val="hybridMultilevel"/>
    <w:tmpl w:val="5BD8C1D0"/>
    <w:lvl w:ilvl="0" w:tplc="F274F5B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1B1D6F35"/>
    <w:multiLevelType w:val="hybridMultilevel"/>
    <w:tmpl w:val="ECFE7AE0"/>
    <w:lvl w:ilvl="0" w:tplc="E1F28BFC">
      <w:start w:val="1"/>
      <w:numFmt w:val="decimal"/>
      <w:lvlText w:val="%1."/>
      <w:lvlJc w:val="left"/>
      <w:pPr>
        <w:ind w:left="1789" w:hanging="360"/>
      </w:pPr>
      <w:rPr>
        <w:rFonts w:hint="default"/>
      </w:rPr>
    </w:lvl>
    <w:lvl w:ilvl="1" w:tplc="080A0019">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4" w15:restartNumberingAfterBreak="0">
    <w:nsid w:val="225C53B7"/>
    <w:multiLevelType w:val="hybridMultilevel"/>
    <w:tmpl w:val="99BC33A8"/>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B3259B6"/>
    <w:multiLevelType w:val="hybridMultilevel"/>
    <w:tmpl w:val="8DD47A5A"/>
    <w:lvl w:ilvl="0" w:tplc="DFE874BA">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6" w15:restartNumberingAfterBreak="0">
    <w:nsid w:val="3AE17835"/>
    <w:multiLevelType w:val="hybridMultilevel"/>
    <w:tmpl w:val="A8509ADE"/>
    <w:lvl w:ilvl="0" w:tplc="4B8CA118">
      <w:start w:val="1"/>
      <w:numFmt w:val="lowerLetter"/>
      <w:lvlText w:val="%1)"/>
      <w:lvlJc w:val="left"/>
      <w:pPr>
        <w:ind w:left="1844" w:hanging="360"/>
      </w:pPr>
      <w:rPr>
        <w:rFonts w:hint="default"/>
      </w:rPr>
    </w:lvl>
    <w:lvl w:ilvl="1" w:tplc="080A0019" w:tentative="1">
      <w:start w:val="1"/>
      <w:numFmt w:val="lowerLetter"/>
      <w:lvlText w:val="%2."/>
      <w:lvlJc w:val="left"/>
      <w:pPr>
        <w:ind w:left="2564" w:hanging="360"/>
      </w:pPr>
    </w:lvl>
    <w:lvl w:ilvl="2" w:tplc="080A001B" w:tentative="1">
      <w:start w:val="1"/>
      <w:numFmt w:val="lowerRoman"/>
      <w:lvlText w:val="%3."/>
      <w:lvlJc w:val="right"/>
      <w:pPr>
        <w:ind w:left="3284" w:hanging="180"/>
      </w:pPr>
    </w:lvl>
    <w:lvl w:ilvl="3" w:tplc="080A000F" w:tentative="1">
      <w:start w:val="1"/>
      <w:numFmt w:val="decimal"/>
      <w:lvlText w:val="%4."/>
      <w:lvlJc w:val="left"/>
      <w:pPr>
        <w:ind w:left="4004" w:hanging="360"/>
      </w:pPr>
    </w:lvl>
    <w:lvl w:ilvl="4" w:tplc="080A0019" w:tentative="1">
      <w:start w:val="1"/>
      <w:numFmt w:val="lowerLetter"/>
      <w:lvlText w:val="%5."/>
      <w:lvlJc w:val="left"/>
      <w:pPr>
        <w:ind w:left="4724" w:hanging="360"/>
      </w:pPr>
    </w:lvl>
    <w:lvl w:ilvl="5" w:tplc="080A001B" w:tentative="1">
      <w:start w:val="1"/>
      <w:numFmt w:val="lowerRoman"/>
      <w:lvlText w:val="%6."/>
      <w:lvlJc w:val="right"/>
      <w:pPr>
        <w:ind w:left="5444" w:hanging="180"/>
      </w:pPr>
    </w:lvl>
    <w:lvl w:ilvl="6" w:tplc="080A000F" w:tentative="1">
      <w:start w:val="1"/>
      <w:numFmt w:val="decimal"/>
      <w:lvlText w:val="%7."/>
      <w:lvlJc w:val="left"/>
      <w:pPr>
        <w:ind w:left="6164" w:hanging="360"/>
      </w:pPr>
    </w:lvl>
    <w:lvl w:ilvl="7" w:tplc="080A0019" w:tentative="1">
      <w:start w:val="1"/>
      <w:numFmt w:val="lowerLetter"/>
      <w:lvlText w:val="%8."/>
      <w:lvlJc w:val="left"/>
      <w:pPr>
        <w:ind w:left="6884" w:hanging="360"/>
      </w:pPr>
    </w:lvl>
    <w:lvl w:ilvl="8" w:tplc="080A001B" w:tentative="1">
      <w:start w:val="1"/>
      <w:numFmt w:val="lowerRoman"/>
      <w:lvlText w:val="%9."/>
      <w:lvlJc w:val="right"/>
      <w:pPr>
        <w:ind w:left="7604" w:hanging="180"/>
      </w:pPr>
    </w:lvl>
  </w:abstractNum>
  <w:abstractNum w:abstractNumId="7" w15:restartNumberingAfterBreak="0">
    <w:nsid w:val="439B4288"/>
    <w:multiLevelType w:val="hybridMultilevel"/>
    <w:tmpl w:val="40BE26F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563F6D31"/>
    <w:multiLevelType w:val="hybridMultilevel"/>
    <w:tmpl w:val="556C74BA"/>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9" w15:restartNumberingAfterBreak="0">
    <w:nsid w:val="5D7F1AB9"/>
    <w:multiLevelType w:val="hybridMultilevel"/>
    <w:tmpl w:val="01D225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B92091B"/>
    <w:multiLevelType w:val="hybridMultilevel"/>
    <w:tmpl w:val="627222B4"/>
    <w:lvl w:ilvl="0" w:tplc="26B2C90C">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1" w15:restartNumberingAfterBreak="0">
    <w:nsid w:val="7C326AE9"/>
    <w:multiLevelType w:val="hybridMultilevel"/>
    <w:tmpl w:val="6532C33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9"/>
  </w:num>
  <w:num w:numId="6">
    <w:abstractNumId w:val="10"/>
  </w:num>
  <w:num w:numId="7">
    <w:abstractNumId w:val="7"/>
  </w:num>
  <w:num w:numId="8">
    <w:abstractNumId w:val="3"/>
  </w:num>
  <w:num w:numId="9">
    <w:abstractNumId w:val="8"/>
  </w:num>
  <w:num w:numId="10">
    <w:abstractNumId w:val="6"/>
  </w:num>
  <w:num w:numId="11">
    <w:abstractNumId w:val="2"/>
  </w:num>
  <w:num w:numId="12">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3D6"/>
    <w:rsid w:val="000030B4"/>
    <w:rsid w:val="0000395E"/>
    <w:rsid w:val="00004044"/>
    <w:rsid w:val="000052D1"/>
    <w:rsid w:val="00007186"/>
    <w:rsid w:val="00015962"/>
    <w:rsid w:val="00021258"/>
    <w:rsid w:val="00026682"/>
    <w:rsid w:val="000334C2"/>
    <w:rsid w:val="0003548F"/>
    <w:rsid w:val="00045923"/>
    <w:rsid w:val="00047945"/>
    <w:rsid w:val="00047E2D"/>
    <w:rsid w:val="00050E56"/>
    <w:rsid w:val="00052DF9"/>
    <w:rsid w:val="00053358"/>
    <w:rsid w:val="00055859"/>
    <w:rsid w:val="00056ED4"/>
    <w:rsid w:val="00065E35"/>
    <w:rsid w:val="00081339"/>
    <w:rsid w:val="00084542"/>
    <w:rsid w:val="00085000"/>
    <w:rsid w:val="00090CCC"/>
    <w:rsid w:val="00095A42"/>
    <w:rsid w:val="000A1D86"/>
    <w:rsid w:val="000A359A"/>
    <w:rsid w:val="000A40D5"/>
    <w:rsid w:val="000B39FC"/>
    <w:rsid w:val="000C3CEA"/>
    <w:rsid w:val="000D07A5"/>
    <w:rsid w:val="000E0719"/>
    <w:rsid w:val="000E0A30"/>
    <w:rsid w:val="000E1C7F"/>
    <w:rsid w:val="000F7310"/>
    <w:rsid w:val="001111C0"/>
    <w:rsid w:val="001148E6"/>
    <w:rsid w:val="0011540B"/>
    <w:rsid w:val="00120774"/>
    <w:rsid w:val="00127140"/>
    <w:rsid w:val="00127E79"/>
    <w:rsid w:val="0013036E"/>
    <w:rsid w:val="00131163"/>
    <w:rsid w:val="00132947"/>
    <w:rsid w:val="00135F42"/>
    <w:rsid w:val="0013726E"/>
    <w:rsid w:val="0014317C"/>
    <w:rsid w:val="00143983"/>
    <w:rsid w:val="001449DF"/>
    <w:rsid w:val="001529A8"/>
    <w:rsid w:val="00157903"/>
    <w:rsid w:val="00173CE6"/>
    <w:rsid w:val="00181CE4"/>
    <w:rsid w:val="0019121B"/>
    <w:rsid w:val="00197380"/>
    <w:rsid w:val="001A1849"/>
    <w:rsid w:val="001C4060"/>
    <w:rsid w:val="001D0213"/>
    <w:rsid w:val="001D7112"/>
    <w:rsid w:val="001D7F63"/>
    <w:rsid w:val="001E1209"/>
    <w:rsid w:val="001E51E0"/>
    <w:rsid w:val="001E7686"/>
    <w:rsid w:val="001F2BCC"/>
    <w:rsid w:val="00204B24"/>
    <w:rsid w:val="00210345"/>
    <w:rsid w:val="00220490"/>
    <w:rsid w:val="00221836"/>
    <w:rsid w:val="00222603"/>
    <w:rsid w:val="002267A7"/>
    <w:rsid w:val="002268E3"/>
    <w:rsid w:val="00230025"/>
    <w:rsid w:val="00232E80"/>
    <w:rsid w:val="00245379"/>
    <w:rsid w:val="002470F5"/>
    <w:rsid w:val="0025117D"/>
    <w:rsid w:val="002623F9"/>
    <w:rsid w:val="00263191"/>
    <w:rsid w:val="002715AD"/>
    <w:rsid w:val="00273A42"/>
    <w:rsid w:val="00282989"/>
    <w:rsid w:val="00285971"/>
    <w:rsid w:val="002912B8"/>
    <w:rsid w:val="002A0601"/>
    <w:rsid w:val="002A0F59"/>
    <w:rsid w:val="002C4194"/>
    <w:rsid w:val="002C4900"/>
    <w:rsid w:val="002C6173"/>
    <w:rsid w:val="002D0475"/>
    <w:rsid w:val="002D1DC4"/>
    <w:rsid w:val="002D60C0"/>
    <w:rsid w:val="002D72D9"/>
    <w:rsid w:val="002E6358"/>
    <w:rsid w:val="002F26AB"/>
    <w:rsid w:val="00300D3F"/>
    <w:rsid w:val="00300EF0"/>
    <w:rsid w:val="0030484A"/>
    <w:rsid w:val="00327438"/>
    <w:rsid w:val="00334F3F"/>
    <w:rsid w:val="00336D34"/>
    <w:rsid w:val="00341DF0"/>
    <w:rsid w:val="0034738B"/>
    <w:rsid w:val="00347E9D"/>
    <w:rsid w:val="003555CC"/>
    <w:rsid w:val="003575B8"/>
    <w:rsid w:val="003577B8"/>
    <w:rsid w:val="00361952"/>
    <w:rsid w:val="00367761"/>
    <w:rsid w:val="00377A47"/>
    <w:rsid w:val="00377CFA"/>
    <w:rsid w:val="00383BD5"/>
    <w:rsid w:val="003866D3"/>
    <w:rsid w:val="0039020D"/>
    <w:rsid w:val="00391CAD"/>
    <w:rsid w:val="00392A2E"/>
    <w:rsid w:val="003C113C"/>
    <w:rsid w:val="003D265F"/>
    <w:rsid w:val="003E1A40"/>
    <w:rsid w:val="003F4A0E"/>
    <w:rsid w:val="00403C64"/>
    <w:rsid w:val="00404610"/>
    <w:rsid w:val="00411EB9"/>
    <w:rsid w:val="004173D6"/>
    <w:rsid w:val="0042237B"/>
    <w:rsid w:val="00436EE1"/>
    <w:rsid w:val="00447511"/>
    <w:rsid w:val="004534B5"/>
    <w:rsid w:val="00453FDC"/>
    <w:rsid w:val="00457AF9"/>
    <w:rsid w:val="00462DDD"/>
    <w:rsid w:val="00467A35"/>
    <w:rsid w:val="00487565"/>
    <w:rsid w:val="00487AA8"/>
    <w:rsid w:val="00491683"/>
    <w:rsid w:val="0049650D"/>
    <w:rsid w:val="004A1882"/>
    <w:rsid w:val="004A38D8"/>
    <w:rsid w:val="004A3E28"/>
    <w:rsid w:val="004A41F1"/>
    <w:rsid w:val="004A64E7"/>
    <w:rsid w:val="004B31A1"/>
    <w:rsid w:val="004C0F6A"/>
    <w:rsid w:val="004C5CD4"/>
    <w:rsid w:val="004C75B1"/>
    <w:rsid w:val="004C77A0"/>
    <w:rsid w:val="004D0939"/>
    <w:rsid w:val="004D58D3"/>
    <w:rsid w:val="004D758A"/>
    <w:rsid w:val="004E6D0B"/>
    <w:rsid w:val="004F0343"/>
    <w:rsid w:val="00502CEC"/>
    <w:rsid w:val="00504E24"/>
    <w:rsid w:val="0052191C"/>
    <w:rsid w:val="00525CC0"/>
    <w:rsid w:val="00531273"/>
    <w:rsid w:val="0053150B"/>
    <w:rsid w:val="00534AE4"/>
    <w:rsid w:val="00537648"/>
    <w:rsid w:val="00553286"/>
    <w:rsid w:val="0056366D"/>
    <w:rsid w:val="005707C1"/>
    <w:rsid w:val="0057208C"/>
    <w:rsid w:val="005758F5"/>
    <w:rsid w:val="00580678"/>
    <w:rsid w:val="005811FB"/>
    <w:rsid w:val="005859FD"/>
    <w:rsid w:val="0059313C"/>
    <w:rsid w:val="0059344C"/>
    <w:rsid w:val="005B28DD"/>
    <w:rsid w:val="005C2ABE"/>
    <w:rsid w:val="005C4975"/>
    <w:rsid w:val="005C6FA1"/>
    <w:rsid w:val="005D2E89"/>
    <w:rsid w:val="005E66D5"/>
    <w:rsid w:val="005F00E0"/>
    <w:rsid w:val="005F44E9"/>
    <w:rsid w:val="005F4C1C"/>
    <w:rsid w:val="006008F1"/>
    <w:rsid w:val="00600E0D"/>
    <w:rsid w:val="00606619"/>
    <w:rsid w:val="00631D28"/>
    <w:rsid w:val="0063206D"/>
    <w:rsid w:val="00634959"/>
    <w:rsid w:val="00634AFF"/>
    <w:rsid w:val="006459D3"/>
    <w:rsid w:val="006706F5"/>
    <w:rsid w:val="00674A8E"/>
    <w:rsid w:val="006755C6"/>
    <w:rsid w:val="006841B7"/>
    <w:rsid w:val="00687060"/>
    <w:rsid w:val="0069436E"/>
    <w:rsid w:val="0069457D"/>
    <w:rsid w:val="006A3582"/>
    <w:rsid w:val="006B0C4B"/>
    <w:rsid w:val="006B6518"/>
    <w:rsid w:val="006C239F"/>
    <w:rsid w:val="006C6DCB"/>
    <w:rsid w:val="006D0C26"/>
    <w:rsid w:val="006D2336"/>
    <w:rsid w:val="006D3B9F"/>
    <w:rsid w:val="006E3382"/>
    <w:rsid w:val="006E634D"/>
    <w:rsid w:val="006E6446"/>
    <w:rsid w:val="006F4003"/>
    <w:rsid w:val="00705A83"/>
    <w:rsid w:val="00716F3D"/>
    <w:rsid w:val="00725F66"/>
    <w:rsid w:val="0073459B"/>
    <w:rsid w:val="00737462"/>
    <w:rsid w:val="00741BFC"/>
    <w:rsid w:val="00751822"/>
    <w:rsid w:val="0076397A"/>
    <w:rsid w:val="00771EE7"/>
    <w:rsid w:val="00780B82"/>
    <w:rsid w:val="00783690"/>
    <w:rsid w:val="00785EF4"/>
    <w:rsid w:val="00791C4C"/>
    <w:rsid w:val="00792056"/>
    <w:rsid w:val="007B0998"/>
    <w:rsid w:val="007B2734"/>
    <w:rsid w:val="007E4EF3"/>
    <w:rsid w:val="007F265B"/>
    <w:rsid w:val="007F5B69"/>
    <w:rsid w:val="00801358"/>
    <w:rsid w:val="00812A4D"/>
    <w:rsid w:val="00830251"/>
    <w:rsid w:val="00836FC8"/>
    <w:rsid w:val="00846FFE"/>
    <w:rsid w:val="008478F4"/>
    <w:rsid w:val="00847E58"/>
    <w:rsid w:val="00860046"/>
    <w:rsid w:val="008754BD"/>
    <w:rsid w:val="008964FD"/>
    <w:rsid w:val="0089795A"/>
    <w:rsid w:val="00897DAD"/>
    <w:rsid w:val="008B10E4"/>
    <w:rsid w:val="008B213E"/>
    <w:rsid w:val="008C0EC3"/>
    <w:rsid w:val="008C47A4"/>
    <w:rsid w:val="008D05D2"/>
    <w:rsid w:val="008E2DBD"/>
    <w:rsid w:val="008F1079"/>
    <w:rsid w:val="008F1352"/>
    <w:rsid w:val="00905318"/>
    <w:rsid w:val="00921DC9"/>
    <w:rsid w:val="0093057F"/>
    <w:rsid w:val="00931C75"/>
    <w:rsid w:val="00933502"/>
    <w:rsid w:val="00933A14"/>
    <w:rsid w:val="00936105"/>
    <w:rsid w:val="00940DAC"/>
    <w:rsid w:val="00952B48"/>
    <w:rsid w:val="009710E7"/>
    <w:rsid w:val="00975705"/>
    <w:rsid w:val="009775B2"/>
    <w:rsid w:val="009776CA"/>
    <w:rsid w:val="00985D4B"/>
    <w:rsid w:val="009878D5"/>
    <w:rsid w:val="0099033F"/>
    <w:rsid w:val="009A34CD"/>
    <w:rsid w:val="009B3215"/>
    <w:rsid w:val="009B45A7"/>
    <w:rsid w:val="009C107A"/>
    <w:rsid w:val="009C1ED7"/>
    <w:rsid w:val="009C51B3"/>
    <w:rsid w:val="009C71B7"/>
    <w:rsid w:val="009E4E05"/>
    <w:rsid w:val="009F1583"/>
    <w:rsid w:val="00A03E61"/>
    <w:rsid w:val="00A0438A"/>
    <w:rsid w:val="00A074F7"/>
    <w:rsid w:val="00A07B72"/>
    <w:rsid w:val="00A24518"/>
    <w:rsid w:val="00A32887"/>
    <w:rsid w:val="00A36679"/>
    <w:rsid w:val="00A44614"/>
    <w:rsid w:val="00A5040F"/>
    <w:rsid w:val="00A566AF"/>
    <w:rsid w:val="00A56EB7"/>
    <w:rsid w:val="00A57266"/>
    <w:rsid w:val="00A577DF"/>
    <w:rsid w:val="00A60F76"/>
    <w:rsid w:val="00A63460"/>
    <w:rsid w:val="00A66FFA"/>
    <w:rsid w:val="00A76F67"/>
    <w:rsid w:val="00AA044C"/>
    <w:rsid w:val="00AA1380"/>
    <w:rsid w:val="00AC27E6"/>
    <w:rsid w:val="00AD35E8"/>
    <w:rsid w:val="00AD3BAF"/>
    <w:rsid w:val="00AF2720"/>
    <w:rsid w:val="00AF3DA0"/>
    <w:rsid w:val="00AF6445"/>
    <w:rsid w:val="00B0283A"/>
    <w:rsid w:val="00B15043"/>
    <w:rsid w:val="00B250D8"/>
    <w:rsid w:val="00B47474"/>
    <w:rsid w:val="00B52DEA"/>
    <w:rsid w:val="00B55D73"/>
    <w:rsid w:val="00B661A3"/>
    <w:rsid w:val="00B67888"/>
    <w:rsid w:val="00B678C1"/>
    <w:rsid w:val="00B71641"/>
    <w:rsid w:val="00B75F0F"/>
    <w:rsid w:val="00B763D6"/>
    <w:rsid w:val="00B87B2E"/>
    <w:rsid w:val="00B95794"/>
    <w:rsid w:val="00B96231"/>
    <w:rsid w:val="00B970E4"/>
    <w:rsid w:val="00BA0B34"/>
    <w:rsid w:val="00BC0166"/>
    <w:rsid w:val="00BC289E"/>
    <w:rsid w:val="00BD11F0"/>
    <w:rsid w:val="00BF1E9E"/>
    <w:rsid w:val="00BF54D2"/>
    <w:rsid w:val="00BF64D6"/>
    <w:rsid w:val="00C04693"/>
    <w:rsid w:val="00C13980"/>
    <w:rsid w:val="00C17651"/>
    <w:rsid w:val="00C17BFD"/>
    <w:rsid w:val="00C23C94"/>
    <w:rsid w:val="00C26412"/>
    <w:rsid w:val="00C27DE2"/>
    <w:rsid w:val="00C320DA"/>
    <w:rsid w:val="00C328CE"/>
    <w:rsid w:val="00C400F5"/>
    <w:rsid w:val="00C50928"/>
    <w:rsid w:val="00C63470"/>
    <w:rsid w:val="00C63F67"/>
    <w:rsid w:val="00C9219A"/>
    <w:rsid w:val="00C92B06"/>
    <w:rsid w:val="00CA33D6"/>
    <w:rsid w:val="00CA7E6F"/>
    <w:rsid w:val="00CB21D0"/>
    <w:rsid w:val="00CC65CC"/>
    <w:rsid w:val="00CD2A5C"/>
    <w:rsid w:val="00CF4217"/>
    <w:rsid w:val="00D03369"/>
    <w:rsid w:val="00D03AF3"/>
    <w:rsid w:val="00D127E4"/>
    <w:rsid w:val="00D12A50"/>
    <w:rsid w:val="00D16D92"/>
    <w:rsid w:val="00D3133D"/>
    <w:rsid w:val="00D31B50"/>
    <w:rsid w:val="00D31D4B"/>
    <w:rsid w:val="00D352FB"/>
    <w:rsid w:val="00D35EB6"/>
    <w:rsid w:val="00D3622C"/>
    <w:rsid w:val="00D45F59"/>
    <w:rsid w:val="00D50BFD"/>
    <w:rsid w:val="00D613B8"/>
    <w:rsid w:val="00D619C5"/>
    <w:rsid w:val="00D64DB9"/>
    <w:rsid w:val="00D97EE6"/>
    <w:rsid w:val="00DA13E6"/>
    <w:rsid w:val="00DA5529"/>
    <w:rsid w:val="00DB108C"/>
    <w:rsid w:val="00DB361C"/>
    <w:rsid w:val="00DB4AB1"/>
    <w:rsid w:val="00DB70DA"/>
    <w:rsid w:val="00DB79C9"/>
    <w:rsid w:val="00DC25E4"/>
    <w:rsid w:val="00DD3B2C"/>
    <w:rsid w:val="00DD55C5"/>
    <w:rsid w:val="00DD7014"/>
    <w:rsid w:val="00DD7CCE"/>
    <w:rsid w:val="00DF1CD6"/>
    <w:rsid w:val="00E02552"/>
    <w:rsid w:val="00E036BF"/>
    <w:rsid w:val="00E1233C"/>
    <w:rsid w:val="00E15412"/>
    <w:rsid w:val="00E210D1"/>
    <w:rsid w:val="00E21EBE"/>
    <w:rsid w:val="00E22C57"/>
    <w:rsid w:val="00E260D7"/>
    <w:rsid w:val="00E27F4A"/>
    <w:rsid w:val="00E30071"/>
    <w:rsid w:val="00E32B45"/>
    <w:rsid w:val="00E33759"/>
    <w:rsid w:val="00E34D17"/>
    <w:rsid w:val="00E3624F"/>
    <w:rsid w:val="00E430FA"/>
    <w:rsid w:val="00E45A6C"/>
    <w:rsid w:val="00E47BB2"/>
    <w:rsid w:val="00E51DE7"/>
    <w:rsid w:val="00E53A0B"/>
    <w:rsid w:val="00E5552C"/>
    <w:rsid w:val="00E65504"/>
    <w:rsid w:val="00E72DC5"/>
    <w:rsid w:val="00E77843"/>
    <w:rsid w:val="00E81855"/>
    <w:rsid w:val="00E926F9"/>
    <w:rsid w:val="00EA1B9E"/>
    <w:rsid w:val="00EC6FF0"/>
    <w:rsid w:val="00EE0AAB"/>
    <w:rsid w:val="00EE1408"/>
    <w:rsid w:val="00EE7793"/>
    <w:rsid w:val="00EF39FB"/>
    <w:rsid w:val="00EF42A5"/>
    <w:rsid w:val="00F031F5"/>
    <w:rsid w:val="00F043D7"/>
    <w:rsid w:val="00F1367C"/>
    <w:rsid w:val="00F30DF9"/>
    <w:rsid w:val="00F377AC"/>
    <w:rsid w:val="00F37A52"/>
    <w:rsid w:val="00F42F6A"/>
    <w:rsid w:val="00F45D02"/>
    <w:rsid w:val="00F57765"/>
    <w:rsid w:val="00F72FB9"/>
    <w:rsid w:val="00F73878"/>
    <w:rsid w:val="00F769D4"/>
    <w:rsid w:val="00F90ABB"/>
    <w:rsid w:val="00FA2BEC"/>
    <w:rsid w:val="00FB422F"/>
    <w:rsid w:val="00FB5017"/>
    <w:rsid w:val="00FC34B0"/>
    <w:rsid w:val="00FD532F"/>
    <w:rsid w:val="00FE4CE8"/>
    <w:rsid w:val="00FE7FA8"/>
    <w:rsid w:val="00FF7C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03E4A"/>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3D6"/>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0E1C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0E1C7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iPriority w:val="99"/>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styleId="Sinespaciado">
    <w:name w:val="No Spacing"/>
    <w:uiPriority w:val="1"/>
    <w:qFormat/>
    <w:rsid w:val="00334F3F"/>
    <w:pPr>
      <w:spacing w:after="0" w:line="240" w:lineRule="auto"/>
    </w:pPr>
  </w:style>
  <w:style w:type="paragraph" w:styleId="Prrafodelista">
    <w:name w:val="List Paragraph"/>
    <w:basedOn w:val="Normal"/>
    <w:uiPriority w:val="34"/>
    <w:qFormat/>
    <w:rsid w:val="00E53A0B"/>
    <w:pPr>
      <w:ind w:left="720"/>
      <w:contextualSpacing/>
    </w:pPr>
  </w:style>
  <w:style w:type="character" w:styleId="Hipervnculo">
    <w:name w:val="Hyperlink"/>
    <w:basedOn w:val="Fuentedeprrafopredeter"/>
    <w:uiPriority w:val="99"/>
    <w:unhideWhenUsed/>
    <w:rsid w:val="002912B8"/>
    <w:rPr>
      <w:color w:val="0563C1" w:themeColor="hyperlink"/>
      <w:u w:val="single"/>
    </w:rPr>
  </w:style>
  <w:style w:type="character" w:customStyle="1" w:styleId="Ttulo1Car">
    <w:name w:val="Título 1 Car"/>
    <w:basedOn w:val="Fuentedeprrafopredeter"/>
    <w:link w:val="Ttulo1"/>
    <w:uiPriority w:val="9"/>
    <w:rsid w:val="000E1C7F"/>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0E1C7F"/>
    <w:rPr>
      <w:rFonts w:asciiTheme="majorHAnsi" w:eastAsiaTheme="majorEastAsia" w:hAnsiTheme="majorHAnsi" w:cstheme="majorBidi"/>
      <w:color w:val="2F5496" w:themeColor="accent1" w:themeShade="BF"/>
      <w:sz w:val="26"/>
      <w:szCs w:val="26"/>
    </w:rPr>
  </w:style>
  <w:style w:type="paragraph" w:styleId="Lista2">
    <w:name w:val="List 2"/>
    <w:basedOn w:val="Normal"/>
    <w:uiPriority w:val="99"/>
    <w:unhideWhenUsed/>
    <w:rsid w:val="000E1C7F"/>
    <w:pPr>
      <w:ind w:left="566" w:hanging="283"/>
      <w:contextualSpacing/>
    </w:pPr>
  </w:style>
  <w:style w:type="paragraph" w:styleId="Listaconvietas2">
    <w:name w:val="List Bullet 2"/>
    <w:basedOn w:val="Normal"/>
    <w:uiPriority w:val="99"/>
    <w:unhideWhenUsed/>
    <w:rsid w:val="000E1C7F"/>
    <w:pPr>
      <w:numPr>
        <w:numId w:val="1"/>
      </w:numPr>
      <w:contextualSpacing/>
    </w:pPr>
  </w:style>
  <w:style w:type="paragraph" w:styleId="Listaconvietas3">
    <w:name w:val="List Bullet 3"/>
    <w:basedOn w:val="Normal"/>
    <w:uiPriority w:val="99"/>
    <w:unhideWhenUsed/>
    <w:rsid w:val="000E1C7F"/>
    <w:pPr>
      <w:numPr>
        <w:numId w:val="2"/>
      </w:numPr>
      <w:contextualSpacing/>
    </w:pPr>
  </w:style>
  <w:style w:type="paragraph" w:styleId="Textoindependiente">
    <w:name w:val="Body Text"/>
    <w:basedOn w:val="Normal"/>
    <w:link w:val="TextoindependienteCar"/>
    <w:uiPriority w:val="99"/>
    <w:unhideWhenUsed/>
    <w:rsid w:val="000E1C7F"/>
    <w:pPr>
      <w:spacing w:after="120"/>
    </w:pPr>
  </w:style>
  <w:style w:type="character" w:customStyle="1" w:styleId="TextoindependienteCar">
    <w:name w:val="Texto independiente Car"/>
    <w:basedOn w:val="Fuentedeprrafopredeter"/>
    <w:link w:val="Textoindependiente"/>
    <w:uiPriority w:val="99"/>
    <w:rsid w:val="000E1C7F"/>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0E1C7F"/>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0E1C7F"/>
    <w:rPr>
      <w:rFonts w:ascii="Calibri" w:eastAsia="Calibri" w:hAnsi="Calibri" w:cs="Times New Roman"/>
    </w:rPr>
  </w:style>
  <w:style w:type="paragraph" w:styleId="Sangradetextonormal">
    <w:name w:val="Body Text Indent"/>
    <w:basedOn w:val="Normal"/>
    <w:link w:val="SangradetextonormalCar"/>
    <w:uiPriority w:val="99"/>
    <w:semiHidden/>
    <w:unhideWhenUsed/>
    <w:rsid w:val="000E1C7F"/>
    <w:pPr>
      <w:spacing w:after="120"/>
      <w:ind w:left="283"/>
    </w:pPr>
  </w:style>
  <w:style w:type="character" w:customStyle="1" w:styleId="SangradetextonormalCar">
    <w:name w:val="Sangría de texto normal Car"/>
    <w:basedOn w:val="Fuentedeprrafopredeter"/>
    <w:link w:val="Sangradetextonormal"/>
    <w:uiPriority w:val="99"/>
    <w:semiHidden/>
    <w:rsid w:val="000E1C7F"/>
    <w:rPr>
      <w:rFonts w:ascii="Calibri" w:eastAsia="Calibri" w:hAnsi="Calibri" w:cs="Times New Roman"/>
    </w:rPr>
  </w:style>
  <w:style w:type="paragraph" w:styleId="Textoindependienteprimerasangra2">
    <w:name w:val="Body Text First Indent 2"/>
    <w:basedOn w:val="Sangradetextonormal"/>
    <w:link w:val="Textoindependienteprimerasangra2Car"/>
    <w:uiPriority w:val="99"/>
    <w:unhideWhenUsed/>
    <w:rsid w:val="000E1C7F"/>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0E1C7F"/>
    <w:rPr>
      <w:rFonts w:ascii="Calibri" w:eastAsia="Calibri" w:hAnsi="Calibri" w:cs="Times New Roman"/>
    </w:rPr>
  </w:style>
  <w:style w:type="paragraph" w:customStyle="1" w:styleId="Textbodyindent">
    <w:name w:val="Text body indent"/>
    <w:basedOn w:val="Normal"/>
    <w:rsid w:val="00F30DF9"/>
    <w:pPr>
      <w:suppressAutoHyphens/>
      <w:autoSpaceDN w:val="0"/>
      <w:spacing w:after="120" w:line="240" w:lineRule="auto"/>
      <w:ind w:left="283"/>
      <w:textAlignment w:val="baseline"/>
    </w:pPr>
    <w:rPr>
      <w:rFonts w:ascii="Arial" w:eastAsia="Times New Roman" w:hAnsi="Arial" w:cs="Arial"/>
      <w:kern w:val="3"/>
      <w:sz w:val="24"/>
      <w:szCs w:val="24"/>
      <w:lang w:eastAsia="es-ES"/>
    </w:rPr>
  </w:style>
  <w:style w:type="paragraph" w:customStyle="1" w:styleId="Estilo">
    <w:name w:val="Estilo"/>
    <w:basedOn w:val="Sinespaciado"/>
    <w:link w:val="EstiloCar"/>
    <w:qFormat/>
    <w:rsid w:val="00467A35"/>
    <w:pPr>
      <w:jc w:val="both"/>
    </w:pPr>
    <w:rPr>
      <w:rFonts w:ascii="Arial" w:hAnsi="Arial"/>
      <w:sz w:val="24"/>
    </w:rPr>
  </w:style>
  <w:style w:type="character" w:customStyle="1" w:styleId="EstiloCar">
    <w:name w:val="Estilo Car"/>
    <w:basedOn w:val="Fuentedeprrafopredeter"/>
    <w:link w:val="Estilo"/>
    <w:rsid w:val="00467A3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51484">
      <w:bodyDiv w:val="1"/>
      <w:marLeft w:val="0"/>
      <w:marRight w:val="0"/>
      <w:marTop w:val="0"/>
      <w:marBottom w:val="0"/>
      <w:divBdr>
        <w:top w:val="none" w:sz="0" w:space="0" w:color="auto"/>
        <w:left w:val="none" w:sz="0" w:space="0" w:color="auto"/>
        <w:bottom w:val="none" w:sz="0" w:space="0" w:color="auto"/>
        <w:right w:val="none" w:sz="0" w:space="0" w:color="auto"/>
      </w:divBdr>
    </w:div>
    <w:div w:id="191382098">
      <w:bodyDiv w:val="1"/>
      <w:marLeft w:val="0"/>
      <w:marRight w:val="0"/>
      <w:marTop w:val="0"/>
      <w:marBottom w:val="0"/>
      <w:divBdr>
        <w:top w:val="none" w:sz="0" w:space="0" w:color="auto"/>
        <w:left w:val="none" w:sz="0" w:space="0" w:color="auto"/>
        <w:bottom w:val="none" w:sz="0" w:space="0" w:color="auto"/>
        <w:right w:val="none" w:sz="0" w:space="0" w:color="auto"/>
      </w:divBdr>
    </w:div>
    <w:div w:id="259025618">
      <w:bodyDiv w:val="1"/>
      <w:marLeft w:val="0"/>
      <w:marRight w:val="0"/>
      <w:marTop w:val="0"/>
      <w:marBottom w:val="0"/>
      <w:divBdr>
        <w:top w:val="none" w:sz="0" w:space="0" w:color="auto"/>
        <w:left w:val="none" w:sz="0" w:space="0" w:color="auto"/>
        <w:bottom w:val="none" w:sz="0" w:space="0" w:color="auto"/>
        <w:right w:val="none" w:sz="0" w:space="0" w:color="auto"/>
      </w:divBdr>
    </w:div>
    <w:div w:id="347105592">
      <w:bodyDiv w:val="1"/>
      <w:marLeft w:val="0"/>
      <w:marRight w:val="0"/>
      <w:marTop w:val="0"/>
      <w:marBottom w:val="0"/>
      <w:divBdr>
        <w:top w:val="none" w:sz="0" w:space="0" w:color="auto"/>
        <w:left w:val="none" w:sz="0" w:space="0" w:color="auto"/>
        <w:bottom w:val="none" w:sz="0" w:space="0" w:color="auto"/>
        <w:right w:val="none" w:sz="0" w:space="0" w:color="auto"/>
      </w:divBdr>
    </w:div>
    <w:div w:id="663977597">
      <w:bodyDiv w:val="1"/>
      <w:marLeft w:val="0"/>
      <w:marRight w:val="0"/>
      <w:marTop w:val="0"/>
      <w:marBottom w:val="0"/>
      <w:divBdr>
        <w:top w:val="none" w:sz="0" w:space="0" w:color="auto"/>
        <w:left w:val="none" w:sz="0" w:space="0" w:color="auto"/>
        <w:bottom w:val="none" w:sz="0" w:space="0" w:color="auto"/>
        <w:right w:val="none" w:sz="0" w:space="0" w:color="auto"/>
      </w:divBdr>
    </w:div>
    <w:div w:id="767312351">
      <w:bodyDiv w:val="1"/>
      <w:marLeft w:val="0"/>
      <w:marRight w:val="0"/>
      <w:marTop w:val="0"/>
      <w:marBottom w:val="0"/>
      <w:divBdr>
        <w:top w:val="none" w:sz="0" w:space="0" w:color="auto"/>
        <w:left w:val="none" w:sz="0" w:space="0" w:color="auto"/>
        <w:bottom w:val="none" w:sz="0" w:space="0" w:color="auto"/>
        <w:right w:val="none" w:sz="0" w:space="0" w:color="auto"/>
      </w:divBdr>
    </w:div>
    <w:div w:id="780998933">
      <w:bodyDiv w:val="1"/>
      <w:marLeft w:val="0"/>
      <w:marRight w:val="0"/>
      <w:marTop w:val="0"/>
      <w:marBottom w:val="0"/>
      <w:divBdr>
        <w:top w:val="none" w:sz="0" w:space="0" w:color="auto"/>
        <w:left w:val="none" w:sz="0" w:space="0" w:color="auto"/>
        <w:bottom w:val="none" w:sz="0" w:space="0" w:color="auto"/>
        <w:right w:val="none" w:sz="0" w:space="0" w:color="auto"/>
      </w:divBdr>
    </w:div>
    <w:div w:id="844319930">
      <w:bodyDiv w:val="1"/>
      <w:marLeft w:val="0"/>
      <w:marRight w:val="0"/>
      <w:marTop w:val="0"/>
      <w:marBottom w:val="0"/>
      <w:divBdr>
        <w:top w:val="none" w:sz="0" w:space="0" w:color="auto"/>
        <w:left w:val="none" w:sz="0" w:space="0" w:color="auto"/>
        <w:bottom w:val="none" w:sz="0" w:space="0" w:color="auto"/>
        <w:right w:val="none" w:sz="0" w:space="0" w:color="auto"/>
      </w:divBdr>
    </w:div>
    <w:div w:id="1053506460">
      <w:bodyDiv w:val="1"/>
      <w:marLeft w:val="0"/>
      <w:marRight w:val="0"/>
      <w:marTop w:val="0"/>
      <w:marBottom w:val="0"/>
      <w:divBdr>
        <w:top w:val="none" w:sz="0" w:space="0" w:color="auto"/>
        <w:left w:val="none" w:sz="0" w:space="0" w:color="auto"/>
        <w:bottom w:val="none" w:sz="0" w:space="0" w:color="auto"/>
        <w:right w:val="none" w:sz="0" w:space="0" w:color="auto"/>
      </w:divBdr>
    </w:div>
    <w:div w:id="1124735208">
      <w:bodyDiv w:val="1"/>
      <w:marLeft w:val="0"/>
      <w:marRight w:val="0"/>
      <w:marTop w:val="0"/>
      <w:marBottom w:val="0"/>
      <w:divBdr>
        <w:top w:val="none" w:sz="0" w:space="0" w:color="auto"/>
        <w:left w:val="none" w:sz="0" w:space="0" w:color="auto"/>
        <w:bottom w:val="none" w:sz="0" w:space="0" w:color="auto"/>
        <w:right w:val="none" w:sz="0" w:space="0" w:color="auto"/>
      </w:divBdr>
    </w:div>
    <w:div w:id="1168865339">
      <w:bodyDiv w:val="1"/>
      <w:marLeft w:val="0"/>
      <w:marRight w:val="0"/>
      <w:marTop w:val="0"/>
      <w:marBottom w:val="0"/>
      <w:divBdr>
        <w:top w:val="none" w:sz="0" w:space="0" w:color="auto"/>
        <w:left w:val="none" w:sz="0" w:space="0" w:color="auto"/>
        <w:bottom w:val="none" w:sz="0" w:space="0" w:color="auto"/>
        <w:right w:val="none" w:sz="0" w:space="0" w:color="auto"/>
      </w:divBdr>
    </w:div>
    <w:div w:id="1261331591">
      <w:bodyDiv w:val="1"/>
      <w:marLeft w:val="0"/>
      <w:marRight w:val="0"/>
      <w:marTop w:val="0"/>
      <w:marBottom w:val="0"/>
      <w:divBdr>
        <w:top w:val="none" w:sz="0" w:space="0" w:color="auto"/>
        <w:left w:val="none" w:sz="0" w:space="0" w:color="auto"/>
        <w:bottom w:val="none" w:sz="0" w:space="0" w:color="auto"/>
        <w:right w:val="none" w:sz="0" w:space="0" w:color="auto"/>
      </w:divBdr>
    </w:div>
    <w:div w:id="1345283937">
      <w:bodyDiv w:val="1"/>
      <w:marLeft w:val="0"/>
      <w:marRight w:val="0"/>
      <w:marTop w:val="0"/>
      <w:marBottom w:val="0"/>
      <w:divBdr>
        <w:top w:val="none" w:sz="0" w:space="0" w:color="auto"/>
        <w:left w:val="none" w:sz="0" w:space="0" w:color="auto"/>
        <w:bottom w:val="none" w:sz="0" w:space="0" w:color="auto"/>
        <w:right w:val="none" w:sz="0" w:space="0" w:color="auto"/>
      </w:divBdr>
    </w:div>
    <w:div w:id="1350714368">
      <w:bodyDiv w:val="1"/>
      <w:marLeft w:val="0"/>
      <w:marRight w:val="0"/>
      <w:marTop w:val="0"/>
      <w:marBottom w:val="0"/>
      <w:divBdr>
        <w:top w:val="none" w:sz="0" w:space="0" w:color="auto"/>
        <w:left w:val="none" w:sz="0" w:space="0" w:color="auto"/>
        <w:bottom w:val="none" w:sz="0" w:space="0" w:color="auto"/>
        <w:right w:val="none" w:sz="0" w:space="0" w:color="auto"/>
      </w:divBdr>
    </w:div>
    <w:div w:id="1355958626">
      <w:bodyDiv w:val="1"/>
      <w:marLeft w:val="0"/>
      <w:marRight w:val="0"/>
      <w:marTop w:val="0"/>
      <w:marBottom w:val="0"/>
      <w:divBdr>
        <w:top w:val="none" w:sz="0" w:space="0" w:color="auto"/>
        <w:left w:val="none" w:sz="0" w:space="0" w:color="auto"/>
        <w:bottom w:val="none" w:sz="0" w:space="0" w:color="auto"/>
        <w:right w:val="none" w:sz="0" w:space="0" w:color="auto"/>
      </w:divBdr>
    </w:div>
    <w:div w:id="1670792833">
      <w:bodyDiv w:val="1"/>
      <w:marLeft w:val="0"/>
      <w:marRight w:val="0"/>
      <w:marTop w:val="0"/>
      <w:marBottom w:val="0"/>
      <w:divBdr>
        <w:top w:val="none" w:sz="0" w:space="0" w:color="auto"/>
        <w:left w:val="none" w:sz="0" w:space="0" w:color="auto"/>
        <w:bottom w:val="none" w:sz="0" w:space="0" w:color="auto"/>
        <w:right w:val="none" w:sz="0" w:space="0" w:color="auto"/>
      </w:divBdr>
    </w:div>
    <w:div w:id="1693072706">
      <w:bodyDiv w:val="1"/>
      <w:marLeft w:val="0"/>
      <w:marRight w:val="0"/>
      <w:marTop w:val="0"/>
      <w:marBottom w:val="0"/>
      <w:divBdr>
        <w:top w:val="none" w:sz="0" w:space="0" w:color="auto"/>
        <w:left w:val="none" w:sz="0" w:space="0" w:color="auto"/>
        <w:bottom w:val="none" w:sz="0" w:space="0" w:color="auto"/>
        <w:right w:val="none" w:sz="0" w:space="0" w:color="auto"/>
      </w:divBdr>
    </w:div>
    <w:div w:id="1811243898">
      <w:bodyDiv w:val="1"/>
      <w:marLeft w:val="0"/>
      <w:marRight w:val="0"/>
      <w:marTop w:val="0"/>
      <w:marBottom w:val="0"/>
      <w:divBdr>
        <w:top w:val="none" w:sz="0" w:space="0" w:color="auto"/>
        <w:left w:val="none" w:sz="0" w:space="0" w:color="auto"/>
        <w:bottom w:val="none" w:sz="0" w:space="0" w:color="auto"/>
        <w:right w:val="none" w:sz="0" w:space="0" w:color="auto"/>
      </w:divBdr>
    </w:div>
    <w:div w:id="1839690727">
      <w:bodyDiv w:val="1"/>
      <w:marLeft w:val="0"/>
      <w:marRight w:val="0"/>
      <w:marTop w:val="0"/>
      <w:marBottom w:val="0"/>
      <w:divBdr>
        <w:top w:val="none" w:sz="0" w:space="0" w:color="auto"/>
        <w:left w:val="none" w:sz="0" w:space="0" w:color="auto"/>
        <w:bottom w:val="none" w:sz="0" w:space="0" w:color="auto"/>
        <w:right w:val="none" w:sz="0" w:space="0" w:color="auto"/>
      </w:divBdr>
    </w:div>
    <w:div w:id="211544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CCDB9-097C-4068-8644-136EF41FF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3105</Words>
  <Characters>17080</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cegaip</cp:lastModifiedBy>
  <cp:revision>4</cp:revision>
  <cp:lastPrinted>2022-09-22T19:25:00Z</cp:lastPrinted>
  <dcterms:created xsi:type="dcterms:W3CDTF">2022-09-22T19:25:00Z</dcterms:created>
  <dcterms:modified xsi:type="dcterms:W3CDTF">2022-09-22T19:26:00Z</dcterms:modified>
</cp:coreProperties>
</file>