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1FD3" w:rsidRDefault="002012E8" w:rsidP="002012E8">
      <w:pPr>
        <w:spacing w:after="0" w:line="276" w:lineRule="auto"/>
        <w:jc w:val="both"/>
        <w:rPr>
          <w:rFonts w:ascii="Arial" w:eastAsia="Calibri" w:hAnsi="Arial" w:cs="Arial"/>
          <w:b/>
          <w:lang w:val="es-MX"/>
        </w:rPr>
      </w:pPr>
      <w:r w:rsidRPr="00FE10DF">
        <w:rPr>
          <w:rFonts w:ascii="Arial" w:eastAsia="Calibri" w:hAnsi="Arial" w:cs="Arial"/>
          <w:b/>
          <w:lang w:val="es-MX"/>
        </w:rPr>
        <w:t>DEMZ-</w:t>
      </w:r>
      <w:r w:rsidR="004610E0">
        <w:rPr>
          <w:rFonts w:ascii="Arial" w:eastAsia="Calibri" w:hAnsi="Arial" w:cs="Arial"/>
          <w:b/>
          <w:lang w:val="es-MX"/>
        </w:rPr>
        <w:t>740</w:t>
      </w:r>
      <w:r>
        <w:rPr>
          <w:rFonts w:ascii="Arial" w:eastAsia="Calibri" w:hAnsi="Arial" w:cs="Arial"/>
          <w:b/>
          <w:lang w:val="es-MX"/>
        </w:rPr>
        <w:t xml:space="preserve">/2022. </w:t>
      </w:r>
      <w:r w:rsidR="004610E0">
        <w:rPr>
          <w:rFonts w:ascii="Arial" w:eastAsia="Calibri" w:hAnsi="Arial" w:cs="Arial"/>
          <w:b/>
          <w:lang w:val="es-MX"/>
        </w:rPr>
        <w:t>TITULAR DEL MUNICIPIO DE TAMUÍN.</w:t>
      </w:r>
    </w:p>
    <w:p w:rsidR="002012E8" w:rsidRDefault="00981FD3" w:rsidP="002012E8">
      <w:pPr>
        <w:spacing w:after="0" w:line="276" w:lineRule="auto"/>
        <w:jc w:val="both"/>
        <w:rPr>
          <w:rFonts w:ascii="Arial" w:eastAsia="Calibri" w:hAnsi="Arial" w:cs="Arial"/>
          <w:b/>
          <w:lang w:val="es-MX"/>
        </w:rPr>
      </w:pPr>
      <w:r w:rsidRPr="00981FD3">
        <w:rPr>
          <w:rFonts w:ascii="Arial" w:eastAsia="Calibri" w:hAnsi="Arial" w:cs="Arial"/>
          <w:b/>
          <w:lang w:val="es-MX"/>
        </w:rPr>
        <w:t xml:space="preserve"> </w:t>
      </w:r>
      <w:r w:rsidR="002012E8" w:rsidRPr="00FE10DF">
        <w:rPr>
          <w:rFonts w:ascii="Arial" w:eastAsia="Calibri" w:hAnsi="Arial" w:cs="Arial"/>
          <w:b/>
          <w:lang w:val="es-MX"/>
        </w:rPr>
        <w:t>PRESENTE.-</w:t>
      </w:r>
    </w:p>
    <w:p w:rsidR="00217971" w:rsidRDefault="00217971" w:rsidP="002012E8">
      <w:pPr>
        <w:spacing w:after="0" w:line="276" w:lineRule="auto"/>
        <w:jc w:val="both"/>
        <w:rPr>
          <w:rFonts w:ascii="Arial" w:eastAsia="Calibri" w:hAnsi="Arial" w:cs="Arial"/>
          <w:b/>
          <w:lang w:val="es-MX"/>
        </w:rPr>
      </w:pPr>
    </w:p>
    <w:p w:rsidR="00217971" w:rsidRDefault="00217971" w:rsidP="002012E8">
      <w:pPr>
        <w:spacing w:after="0" w:line="276" w:lineRule="auto"/>
        <w:jc w:val="both"/>
        <w:rPr>
          <w:rFonts w:ascii="Arial" w:eastAsia="Calibri" w:hAnsi="Arial" w:cs="Arial"/>
          <w:b/>
          <w:lang w:val="es-MX"/>
        </w:rPr>
      </w:pPr>
    </w:p>
    <w:p w:rsidR="00217971" w:rsidRDefault="00217971" w:rsidP="00217971">
      <w:pPr>
        <w:spacing w:after="0" w:line="276" w:lineRule="auto"/>
        <w:jc w:val="both"/>
        <w:rPr>
          <w:rFonts w:ascii="Arial" w:eastAsia="Calibri" w:hAnsi="Arial" w:cs="Arial"/>
          <w:b/>
          <w:lang w:val="es-MX"/>
        </w:rPr>
      </w:pPr>
      <w:r w:rsidRPr="00FE10DF">
        <w:rPr>
          <w:rFonts w:ascii="Arial" w:eastAsia="Calibri" w:hAnsi="Arial" w:cs="Arial"/>
          <w:b/>
          <w:lang w:val="es-MX"/>
        </w:rPr>
        <w:t>DEMZ-</w:t>
      </w:r>
      <w:r w:rsidR="004610E0">
        <w:rPr>
          <w:rFonts w:ascii="Arial" w:eastAsia="Calibri" w:hAnsi="Arial" w:cs="Arial"/>
          <w:b/>
          <w:lang w:val="es-MX"/>
        </w:rPr>
        <w:t>741</w:t>
      </w:r>
      <w:r w:rsidR="000B32A6">
        <w:rPr>
          <w:rFonts w:ascii="Arial" w:eastAsia="Calibri" w:hAnsi="Arial" w:cs="Arial"/>
          <w:b/>
          <w:lang w:val="es-MX"/>
        </w:rPr>
        <w:t>/2022. TITULAR DE UNIDAD DE TRANSPARENCIA DEL MUNICIPIO DE TAMUÍN</w:t>
      </w:r>
    </w:p>
    <w:p w:rsidR="00217971" w:rsidRPr="00FE10DF" w:rsidRDefault="00217971" w:rsidP="00217971">
      <w:pPr>
        <w:spacing w:after="0" w:line="276" w:lineRule="auto"/>
        <w:jc w:val="both"/>
        <w:rPr>
          <w:rFonts w:ascii="Arial" w:eastAsia="Calibri" w:hAnsi="Arial" w:cs="Arial"/>
          <w:b/>
          <w:lang w:val="es-MX"/>
        </w:rPr>
      </w:pPr>
      <w:r w:rsidRPr="00981FD3">
        <w:rPr>
          <w:rFonts w:ascii="Arial" w:eastAsia="Calibri" w:hAnsi="Arial" w:cs="Arial"/>
          <w:b/>
          <w:lang w:val="es-MX"/>
        </w:rPr>
        <w:t xml:space="preserve"> </w:t>
      </w:r>
      <w:proofErr w:type="gramStart"/>
      <w:r w:rsidRPr="00FE10DF">
        <w:rPr>
          <w:rFonts w:ascii="Arial" w:eastAsia="Calibri" w:hAnsi="Arial" w:cs="Arial"/>
          <w:b/>
          <w:lang w:val="es-MX"/>
        </w:rPr>
        <w:t>PRESENTE.-</w:t>
      </w:r>
      <w:proofErr w:type="gramEnd"/>
    </w:p>
    <w:p w:rsidR="00217971" w:rsidRPr="00FE10DF" w:rsidRDefault="00217971" w:rsidP="002012E8">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E22421" w:rsidRDefault="00E22421" w:rsidP="005A47D6">
      <w:pPr>
        <w:spacing w:after="200" w:line="276" w:lineRule="auto"/>
        <w:jc w:val="both"/>
        <w:rPr>
          <w:rFonts w:ascii="Arial" w:eastAsia="Calibri" w:hAnsi="Arial" w:cs="Arial"/>
          <w:b/>
          <w:lang w:val="es-MX"/>
        </w:rPr>
      </w:pPr>
    </w:p>
    <w:p w:rsidR="000B32A6" w:rsidRPr="00FE10DF" w:rsidRDefault="000B32A6" w:rsidP="005A47D6">
      <w:pPr>
        <w:spacing w:after="200" w:line="276" w:lineRule="auto"/>
        <w:jc w:val="both"/>
        <w:rPr>
          <w:rFonts w:ascii="Arial" w:eastAsia="Calibri" w:hAnsi="Arial" w:cs="Arial"/>
          <w:b/>
          <w:lang w:val="es-MX"/>
        </w:rPr>
      </w:pPr>
    </w:p>
    <w:p w:rsidR="005A47D6" w:rsidRPr="00FE10DF" w:rsidRDefault="005A47D6" w:rsidP="005A47D6">
      <w:pPr>
        <w:spacing w:after="200" w:line="360" w:lineRule="auto"/>
        <w:jc w:val="both"/>
        <w:rPr>
          <w:rFonts w:ascii="Arial" w:eastAsia="Calibri" w:hAnsi="Arial" w:cs="Arial"/>
          <w:bCs/>
          <w:lang w:val="es-MX"/>
        </w:rPr>
      </w:pPr>
      <w:r w:rsidRPr="00FE10DF">
        <w:rPr>
          <w:rFonts w:ascii="Arial" w:eastAsia="Calibri" w:hAnsi="Arial" w:cs="Arial"/>
          <w:lang w:val="es-MX"/>
        </w:rPr>
        <w:t>Por medio del presente hágase del con</w:t>
      </w:r>
      <w:r w:rsidR="007B53A2" w:rsidRPr="00FE10DF">
        <w:rPr>
          <w:rFonts w:ascii="Arial" w:eastAsia="Calibri" w:hAnsi="Arial" w:cs="Arial"/>
          <w:lang w:val="es-MX"/>
        </w:rPr>
        <w:t xml:space="preserve">ocimiento que en </w:t>
      </w:r>
      <w:r w:rsidR="007F50CF">
        <w:rPr>
          <w:rFonts w:ascii="Arial" w:eastAsia="Calibri" w:hAnsi="Arial" w:cs="Arial"/>
          <w:lang w:val="es-MX"/>
        </w:rPr>
        <w:t>02 dos de mayo</w:t>
      </w:r>
      <w:r w:rsidR="0063445C">
        <w:rPr>
          <w:rFonts w:ascii="Arial" w:eastAsia="Calibri" w:hAnsi="Arial" w:cs="Arial"/>
          <w:lang w:val="es-MX"/>
        </w:rPr>
        <w:t xml:space="preserve"> </w:t>
      </w:r>
      <w:r w:rsidR="00E22421" w:rsidRPr="00FE10DF">
        <w:rPr>
          <w:rFonts w:ascii="Arial" w:eastAsia="Calibri" w:hAnsi="Arial" w:cs="Arial"/>
          <w:lang w:val="es-MX"/>
        </w:rPr>
        <w:t>de 2022</w:t>
      </w:r>
      <w:r w:rsidR="00FE10DF" w:rsidRPr="00FE10DF">
        <w:rPr>
          <w:rFonts w:ascii="Arial" w:eastAsia="Calibri" w:hAnsi="Arial" w:cs="Arial"/>
          <w:lang w:val="es-MX"/>
        </w:rPr>
        <w:t xml:space="preserve"> dos mil veintidós</w:t>
      </w:r>
      <w:r w:rsidRPr="00FE10DF">
        <w:rPr>
          <w:rFonts w:ascii="Arial" w:eastAsia="Calibri" w:hAnsi="Arial" w:cs="Arial"/>
          <w:lang w:val="es-MX"/>
        </w:rPr>
        <w:t xml:space="preserve">, se dictó un proveído dentro de los autos que integran el recurso de revisión </w:t>
      </w:r>
      <w:r w:rsidRPr="00FE10DF">
        <w:rPr>
          <w:rFonts w:ascii="Arial" w:eastAsia="Calibri" w:hAnsi="Arial" w:cs="Arial"/>
          <w:b/>
          <w:lang w:val="es-MX"/>
        </w:rPr>
        <w:t>RR-</w:t>
      </w:r>
      <w:r w:rsidR="00127FA7">
        <w:rPr>
          <w:rFonts w:ascii="Arial" w:eastAsia="Calibri" w:hAnsi="Arial" w:cs="Arial"/>
          <w:b/>
          <w:lang w:val="es-MX"/>
        </w:rPr>
        <w:t>2</w:t>
      </w:r>
      <w:r w:rsidR="001C1893">
        <w:rPr>
          <w:rFonts w:ascii="Arial" w:eastAsia="Calibri" w:hAnsi="Arial" w:cs="Arial"/>
          <w:b/>
          <w:lang w:val="es-MX"/>
        </w:rPr>
        <w:t>389</w:t>
      </w:r>
      <w:r w:rsidRPr="00FE10DF">
        <w:rPr>
          <w:rFonts w:ascii="Arial" w:eastAsia="Calibri" w:hAnsi="Arial" w:cs="Arial"/>
          <w:b/>
          <w:lang w:val="es-MX"/>
        </w:rPr>
        <w:t>/202</w:t>
      </w:r>
      <w:r w:rsidR="001C1893">
        <w:rPr>
          <w:rFonts w:ascii="Arial" w:eastAsia="Calibri" w:hAnsi="Arial" w:cs="Arial"/>
          <w:b/>
          <w:lang w:val="es-MX"/>
        </w:rPr>
        <w:t>0</w:t>
      </w:r>
      <w:r w:rsidRPr="00FE10DF">
        <w:rPr>
          <w:rFonts w:ascii="Arial" w:eastAsia="Calibri" w:hAnsi="Arial" w:cs="Arial"/>
          <w:b/>
          <w:lang w:val="es-MX"/>
        </w:rPr>
        <w:t>-1,</w:t>
      </w:r>
      <w:r w:rsidRPr="00FE10DF">
        <w:rPr>
          <w:rFonts w:ascii="Arial" w:eastAsia="Calibri" w:hAnsi="Arial" w:cs="Arial"/>
          <w:bCs/>
          <w:lang w:val="es-MX"/>
        </w:rPr>
        <w:t xml:space="preserve"> mismo que a la letra dice:</w:t>
      </w:r>
    </w:p>
    <w:p w:rsidR="001C1893" w:rsidRPr="001C1893" w:rsidRDefault="001C1893" w:rsidP="000B32A6">
      <w:pPr>
        <w:tabs>
          <w:tab w:val="left" w:pos="6840"/>
        </w:tabs>
        <w:spacing w:line="360" w:lineRule="auto"/>
        <w:ind w:firstLine="708"/>
        <w:outlineLvl w:val="5"/>
        <w:rPr>
          <w:rFonts w:ascii="Arial" w:hAnsi="Arial" w:cs="Arial"/>
          <w:i/>
          <w:color w:val="44546A" w:themeColor="text2"/>
          <w:sz w:val="20"/>
          <w:szCs w:val="20"/>
        </w:rPr>
      </w:pPr>
      <w:bookmarkStart w:id="0" w:name="_Hlk104287846"/>
      <w:r w:rsidRPr="001C1893">
        <w:rPr>
          <w:rFonts w:ascii="Arial" w:hAnsi="Arial" w:cs="Arial"/>
          <w:i/>
          <w:color w:val="44546A" w:themeColor="text2"/>
          <w:sz w:val="20"/>
          <w:szCs w:val="20"/>
        </w:rPr>
        <w:t>San Luis Potosí, San Luis Potosí, a 24 veinticuatro de mayo de 2022 dos mil veintidós.</w:t>
      </w:r>
    </w:p>
    <w:p w:rsidR="001C1893" w:rsidRPr="001C1893" w:rsidRDefault="001C1893" w:rsidP="000B32A6">
      <w:pPr>
        <w:spacing w:line="360" w:lineRule="auto"/>
        <w:ind w:firstLine="708"/>
        <w:jc w:val="both"/>
        <w:rPr>
          <w:rFonts w:ascii="Arial" w:hAnsi="Arial" w:cs="Arial"/>
          <w:i/>
          <w:color w:val="44546A" w:themeColor="text2"/>
          <w:sz w:val="20"/>
          <w:szCs w:val="20"/>
        </w:rPr>
      </w:pPr>
      <w:r w:rsidRPr="001C1893">
        <w:rPr>
          <w:rFonts w:ascii="Arial" w:hAnsi="Arial" w:cs="Arial"/>
          <w:i/>
          <w:color w:val="44546A" w:themeColor="text2"/>
          <w:sz w:val="20"/>
          <w:szCs w:val="20"/>
        </w:rPr>
        <w:t>Visto el estado que guardan los presentes autos y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RR-2389/2020-1.</w:t>
      </w:r>
    </w:p>
    <w:p w:rsidR="001C1893" w:rsidRPr="001C1893" w:rsidRDefault="001C1893" w:rsidP="001C1893">
      <w:pPr>
        <w:spacing w:line="360" w:lineRule="auto"/>
        <w:ind w:firstLine="708"/>
        <w:jc w:val="both"/>
        <w:rPr>
          <w:rFonts w:ascii="Arial" w:hAnsi="Arial" w:cs="Arial"/>
          <w:i/>
          <w:color w:val="44546A" w:themeColor="text2"/>
          <w:sz w:val="20"/>
          <w:szCs w:val="20"/>
        </w:rPr>
      </w:pPr>
      <w:r w:rsidRPr="001C1893">
        <w:rPr>
          <w:rFonts w:ascii="Arial" w:hAnsi="Arial" w:cs="Arial"/>
          <w:i/>
          <w:color w:val="44546A" w:themeColor="text2"/>
          <w:sz w:val="20"/>
          <w:szCs w:val="20"/>
        </w:rPr>
        <w:t>En primer término, resulta necesario insertar los efectos dictados en la resolución:</w:t>
      </w:r>
    </w:p>
    <w:p w:rsidR="001C1893" w:rsidRPr="001C1893" w:rsidRDefault="001C1893" w:rsidP="001C1893">
      <w:pPr>
        <w:pStyle w:val="corte4fondo"/>
        <w:tabs>
          <w:tab w:val="left" w:pos="567"/>
        </w:tabs>
        <w:spacing w:line="240" w:lineRule="auto"/>
        <w:rPr>
          <w:rFonts w:eastAsiaTheme="minorHAnsi" w:cs="Arial"/>
          <w:i/>
          <w:color w:val="44546A" w:themeColor="text2"/>
          <w:sz w:val="20"/>
          <w:szCs w:val="20"/>
        </w:rPr>
      </w:pPr>
    </w:p>
    <w:p w:rsidR="001C1893" w:rsidRPr="001C1893" w:rsidRDefault="001C1893" w:rsidP="001C1893">
      <w:pPr>
        <w:pStyle w:val="corte4fondo"/>
        <w:tabs>
          <w:tab w:val="left" w:pos="567"/>
        </w:tabs>
        <w:spacing w:line="240" w:lineRule="auto"/>
        <w:rPr>
          <w:rFonts w:eastAsiaTheme="minorHAnsi" w:cs="Arial"/>
          <w:i/>
          <w:color w:val="44546A" w:themeColor="text2"/>
          <w:sz w:val="20"/>
          <w:szCs w:val="20"/>
        </w:rPr>
      </w:pPr>
      <w:r w:rsidRPr="001C1893">
        <w:rPr>
          <w:rFonts w:eastAsiaTheme="minorHAnsi" w:cs="Arial"/>
          <w:i/>
          <w:color w:val="44546A" w:themeColor="text2"/>
          <w:sz w:val="20"/>
          <w:szCs w:val="20"/>
        </w:rPr>
        <w:t>“[…]</w:t>
      </w:r>
    </w:p>
    <w:p w:rsidR="001C1893" w:rsidRPr="001C1893" w:rsidRDefault="001C1893" w:rsidP="001C1893">
      <w:pPr>
        <w:pStyle w:val="corte4fondo"/>
        <w:tabs>
          <w:tab w:val="left" w:pos="567"/>
        </w:tabs>
        <w:ind w:left="680"/>
        <w:rPr>
          <w:rFonts w:eastAsiaTheme="minorHAnsi" w:cs="Arial"/>
          <w:i/>
          <w:color w:val="44546A" w:themeColor="text2"/>
          <w:sz w:val="20"/>
          <w:szCs w:val="20"/>
        </w:rPr>
      </w:pPr>
      <w:r w:rsidRPr="001C1893">
        <w:rPr>
          <w:rFonts w:eastAsiaTheme="minorHAnsi" w:cs="Arial"/>
          <w:i/>
          <w:color w:val="44546A" w:themeColor="text2"/>
          <w:sz w:val="20"/>
          <w:szCs w:val="20"/>
        </w:rPr>
        <w:t>6.1. Sentido y efectos de esta resolución.</w:t>
      </w:r>
    </w:p>
    <w:p w:rsidR="001C1893" w:rsidRPr="001C1893" w:rsidRDefault="001C1893" w:rsidP="001C1893">
      <w:pPr>
        <w:pStyle w:val="corte4fondo"/>
        <w:tabs>
          <w:tab w:val="left" w:pos="567"/>
        </w:tabs>
        <w:ind w:left="680"/>
        <w:rPr>
          <w:rFonts w:eastAsiaTheme="minorHAnsi" w:cs="Arial"/>
          <w:i/>
          <w:color w:val="44546A" w:themeColor="text2"/>
          <w:sz w:val="20"/>
          <w:szCs w:val="20"/>
        </w:rPr>
      </w:pPr>
      <w:r w:rsidRPr="001C1893">
        <w:rPr>
          <w:rFonts w:eastAsiaTheme="minorHAnsi" w:cs="Arial"/>
          <w:i/>
          <w:color w:val="44546A" w:themeColor="text2"/>
          <w:sz w:val="20"/>
          <w:szCs w:val="20"/>
        </w:rPr>
        <w:t>Por las consideraciones expuestas, esta Comisión Estatal de Garantía de Acceso a la Información Pública de conformidad con el artículo 164 de la Ley de Transparencia y Acceso a la Información Pública del Estado, APLICA EL PRINCIPIO DE AFIRMATIVA FICTA y conmina al sujeto obligado para que entregue de manera gratuita y por medios electrónicos al particular la información consistente en:</w:t>
      </w:r>
    </w:p>
    <w:p w:rsidR="001C1893" w:rsidRPr="001C1893" w:rsidRDefault="001C1893" w:rsidP="001C1893">
      <w:pPr>
        <w:pStyle w:val="corte4fondo"/>
        <w:tabs>
          <w:tab w:val="left" w:pos="567"/>
        </w:tabs>
        <w:ind w:left="680"/>
        <w:rPr>
          <w:rFonts w:eastAsiaTheme="minorHAnsi" w:cs="Arial"/>
          <w:i/>
          <w:color w:val="44546A" w:themeColor="text2"/>
          <w:sz w:val="20"/>
          <w:szCs w:val="20"/>
        </w:rPr>
      </w:pPr>
      <w:r w:rsidRPr="001C1893">
        <w:rPr>
          <w:rFonts w:eastAsiaTheme="minorHAnsi" w:cs="Arial"/>
          <w:i/>
          <w:color w:val="44546A" w:themeColor="text2"/>
          <w:sz w:val="20"/>
          <w:szCs w:val="20"/>
        </w:rPr>
        <w:t>6.1.1. Evidencia de que el Jefe de Recursos Humanos del Municipio de Tamuín cumple con los requisitos que la ley pone para el puesto.</w:t>
      </w:r>
    </w:p>
    <w:p w:rsidR="001C1893" w:rsidRDefault="001C1893" w:rsidP="000B32A6">
      <w:pPr>
        <w:pStyle w:val="corte4fondo"/>
        <w:tabs>
          <w:tab w:val="left" w:pos="567"/>
        </w:tabs>
        <w:ind w:left="680"/>
        <w:rPr>
          <w:rFonts w:eastAsiaTheme="minorHAnsi" w:cs="Arial"/>
          <w:i/>
          <w:color w:val="44546A" w:themeColor="text2"/>
          <w:sz w:val="20"/>
          <w:szCs w:val="20"/>
        </w:rPr>
      </w:pPr>
      <w:r w:rsidRPr="001C1893">
        <w:rPr>
          <w:rFonts w:eastAsiaTheme="minorHAnsi" w:cs="Arial"/>
          <w:i/>
          <w:color w:val="44546A" w:themeColor="text2"/>
          <w:sz w:val="20"/>
          <w:szCs w:val="20"/>
        </w:rPr>
        <w:t>6.2.1. Copia de su nombramiento</w:t>
      </w:r>
    </w:p>
    <w:p w:rsidR="000B32A6" w:rsidRPr="000B32A6" w:rsidRDefault="000B32A6" w:rsidP="000B32A6">
      <w:pPr>
        <w:pStyle w:val="corte4fondo"/>
        <w:tabs>
          <w:tab w:val="left" w:pos="567"/>
        </w:tabs>
        <w:ind w:left="680"/>
        <w:rPr>
          <w:rFonts w:eastAsiaTheme="minorHAnsi" w:cs="Arial"/>
          <w:i/>
          <w:color w:val="44546A" w:themeColor="text2"/>
          <w:sz w:val="20"/>
          <w:szCs w:val="20"/>
        </w:rPr>
      </w:pPr>
    </w:p>
    <w:p w:rsidR="001C1893" w:rsidRPr="001C1893" w:rsidRDefault="001C1893" w:rsidP="000B32A6">
      <w:pPr>
        <w:spacing w:line="360" w:lineRule="auto"/>
        <w:ind w:firstLine="708"/>
        <w:jc w:val="both"/>
        <w:rPr>
          <w:rFonts w:ascii="Arial" w:hAnsi="Arial" w:cs="Arial"/>
          <w:i/>
          <w:color w:val="44546A" w:themeColor="text2"/>
          <w:sz w:val="20"/>
          <w:szCs w:val="20"/>
        </w:rPr>
      </w:pPr>
      <w:r w:rsidRPr="001C1893">
        <w:rPr>
          <w:rFonts w:ascii="Arial" w:hAnsi="Arial" w:cs="Arial"/>
          <w:i/>
          <w:color w:val="44546A" w:themeColor="text2"/>
          <w:sz w:val="20"/>
          <w:szCs w:val="20"/>
        </w:rPr>
        <w:t xml:space="preserve">Derivado de lo anterior, y de una revisión a las constancias que integran el recurso de revisión en que se actúa, se advierte ha transcurrido el termino otorgado para el cumplimiento a la resolución en mérito, sin que a la fecha conste en autos que los aludidos </w:t>
      </w:r>
      <w:r w:rsidRPr="001C1893">
        <w:rPr>
          <w:rFonts w:ascii="Arial" w:hAnsi="Arial" w:cs="Arial"/>
          <w:i/>
          <w:color w:val="44546A" w:themeColor="text2"/>
          <w:sz w:val="20"/>
          <w:szCs w:val="20"/>
        </w:rPr>
        <w:lastRenderedPageBreak/>
        <w:t>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mérito.</w:t>
      </w:r>
    </w:p>
    <w:p w:rsidR="001C1893" w:rsidRPr="001C1893" w:rsidRDefault="001C1893" w:rsidP="000B32A6">
      <w:pPr>
        <w:spacing w:line="360" w:lineRule="auto"/>
        <w:ind w:firstLine="708"/>
        <w:jc w:val="both"/>
        <w:rPr>
          <w:rFonts w:ascii="Arial" w:hAnsi="Arial" w:cs="Arial"/>
          <w:i/>
          <w:color w:val="44546A" w:themeColor="text2"/>
          <w:sz w:val="20"/>
          <w:szCs w:val="20"/>
        </w:rPr>
      </w:pPr>
      <w:r w:rsidRPr="001C1893">
        <w:rPr>
          <w:rFonts w:ascii="Arial" w:hAnsi="Arial" w:cs="Arial"/>
          <w:i/>
          <w:color w:val="44546A" w:themeColor="text2"/>
          <w:sz w:val="20"/>
          <w:szCs w:val="20"/>
        </w:rPr>
        <w:t>En las condiciones anotadas, de la revisión al citado recurso de revisión se desprende que el sujeto obligado no acredita el cumplimiento a la resolución de mérito.</w:t>
      </w:r>
    </w:p>
    <w:p w:rsidR="001C1893" w:rsidRPr="001C1893" w:rsidRDefault="001C1893" w:rsidP="000B32A6">
      <w:pPr>
        <w:spacing w:line="360" w:lineRule="auto"/>
        <w:ind w:firstLine="680"/>
        <w:jc w:val="both"/>
        <w:rPr>
          <w:rFonts w:ascii="Arial" w:hAnsi="Arial" w:cs="Arial"/>
          <w:i/>
          <w:color w:val="44546A" w:themeColor="text2"/>
          <w:sz w:val="20"/>
          <w:szCs w:val="20"/>
        </w:rPr>
      </w:pPr>
      <w:r w:rsidRPr="001C1893">
        <w:rPr>
          <w:rFonts w:ascii="Arial" w:hAnsi="Arial" w:cs="Arial"/>
          <w:i/>
          <w:color w:val="44546A" w:themeColor="text2"/>
          <w:sz w:val="20"/>
          <w:szCs w:val="20"/>
        </w:rPr>
        <w:t>Consecuentemente, este organismo garante no cuenta con los elementos suficientes para analizar si el sujeto obligado dio o no cumplimiento a la ya citada resolución y por tanto la resolución se encuentra incumplida.</w:t>
      </w:r>
    </w:p>
    <w:p w:rsidR="001C1893" w:rsidRPr="001C1893" w:rsidRDefault="001C1893" w:rsidP="000B32A6">
      <w:pPr>
        <w:spacing w:line="360" w:lineRule="auto"/>
        <w:ind w:firstLine="708"/>
        <w:jc w:val="both"/>
        <w:rPr>
          <w:rFonts w:ascii="Arial" w:hAnsi="Arial" w:cs="Arial"/>
          <w:i/>
          <w:color w:val="44546A" w:themeColor="text2"/>
          <w:sz w:val="20"/>
          <w:szCs w:val="20"/>
        </w:rPr>
      </w:pPr>
      <w:r w:rsidRPr="001C1893">
        <w:rPr>
          <w:rFonts w:ascii="Arial" w:hAnsi="Arial" w:cs="Arial"/>
          <w:i/>
          <w:color w:val="44546A" w:themeColor="text2"/>
          <w:sz w:val="20"/>
          <w:szCs w:val="20"/>
        </w:rPr>
        <w:t>Bajo este contexto, resulta pertinente transcribir lo dispuesto por la Ley de transparencia señala en sus artículos 183 y 184 lo siguiente:</w:t>
      </w:r>
    </w:p>
    <w:p w:rsidR="001C1893" w:rsidRPr="001C1893" w:rsidRDefault="001C1893" w:rsidP="000B32A6">
      <w:pPr>
        <w:spacing w:line="360" w:lineRule="auto"/>
        <w:ind w:left="680"/>
        <w:jc w:val="both"/>
        <w:rPr>
          <w:rFonts w:ascii="Arial" w:hAnsi="Arial" w:cs="Arial"/>
          <w:i/>
          <w:color w:val="44546A" w:themeColor="text2"/>
          <w:sz w:val="20"/>
          <w:szCs w:val="20"/>
        </w:rPr>
      </w:pPr>
      <w:r w:rsidRPr="001C1893">
        <w:rPr>
          <w:rFonts w:ascii="Arial" w:hAnsi="Arial" w:cs="Arial"/>
          <w:i/>
          <w:color w:val="44546A" w:themeColor="text2"/>
          <w:sz w:val="20"/>
          <w:szCs w:val="20"/>
        </w:rPr>
        <w:t>“ARTÍCULO 183. Los sujetos obligados, a través de la Unidad de Transparencia, darán estricto cumplimiento a las resoluciones de la CEGAIP y deberán informar a estos sobre su cumplimiento.”</w:t>
      </w:r>
    </w:p>
    <w:p w:rsidR="001C1893" w:rsidRPr="001C1893" w:rsidRDefault="001C1893" w:rsidP="000B32A6">
      <w:pPr>
        <w:spacing w:line="360" w:lineRule="auto"/>
        <w:ind w:left="680"/>
        <w:jc w:val="both"/>
        <w:rPr>
          <w:rFonts w:ascii="Arial" w:hAnsi="Arial" w:cs="Arial"/>
          <w:i/>
          <w:color w:val="44546A" w:themeColor="text2"/>
          <w:sz w:val="20"/>
          <w:szCs w:val="20"/>
        </w:rPr>
      </w:pPr>
      <w:r w:rsidRPr="001C1893">
        <w:rPr>
          <w:rFonts w:ascii="Arial" w:hAnsi="Arial" w:cs="Arial"/>
          <w:i/>
          <w:color w:val="44546A" w:themeColor="text2"/>
          <w:sz w:val="20"/>
          <w:szCs w:val="20"/>
        </w:rPr>
        <w:t>“ARTÍCULO 184. Transcurrido el plazo señalado en el artículo anterior, el sujeto obligado deberá informar a la CEGAIP sobre el cumplimento de la resolución.</w:t>
      </w:r>
    </w:p>
    <w:p w:rsidR="001C1893" w:rsidRPr="001C1893" w:rsidRDefault="001C1893" w:rsidP="000B32A6">
      <w:pPr>
        <w:spacing w:line="360" w:lineRule="auto"/>
        <w:ind w:left="680"/>
        <w:jc w:val="both"/>
        <w:rPr>
          <w:rFonts w:ascii="Arial" w:hAnsi="Arial" w:cs="Arial"/>
          <w:i/>
          <w:color w:val="44546A" w:themeColor="text2"/>
          <w:sz w:val="20"/>
          <w:szCs w:val="20"/>
        </w:rPr>
      </w:pPr>
      <w:r w:rsidRPr="001C1893">
        <w:rPr>
          <w:rFonts w:ascii="Arial" w:hAnsi="Arial" w:cs="Arial"/>
          <w:i/>
          <w:color w:val="44546A" w:themeColor="text2"/>
          <w:sz w:val="20"/>
          <w:szCs w:val="20"/>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rsidR="001C1893" w:rsidRPr="001C1893" w:rsidRDefault="001C1893" w:rsidP="000B32A6">
      <w:pPr>
        <w:spacing w:line="360" w:lineRule="auto"/>
        <w:ind w:firstLine="709"/>
        <w:jc w:val="both"/>
        <w:rPr>
          <w:rFonts w:ascii="Arial" w:hAnsi="Arial" w:cs="Arial"/>
          <w:i/>
          <w:color w:val="44546A" w:themeColor="text2"/>
          <w:sz w:val="20"/>
          <w:szCs w:val="20"/>
        </w:rPr>
      </w:pPr>
      <w:r w:rsidRPr="001C1893">
        <w:rPr>
          <w:rFonts w:ascii="Arial" w:hAnsi="Arial" w:cs="Arial"/>
          <w:i/>
          <w:color w:val="44546A" w:themeColor="text2"/>
          <w:sz w:val="20"/>
          <w:szCs w:val="20"/>
        </w:rPr>
        <w:t xml:space="preserve">Así las cosas, se tiene por incumplida la resolución del Recurso de Revisión 2389/2020-1; ya que no se cumple con lo establecido en el resolutivo en análisis, en virtud de que como ha quedado visto en el presente acuerdo, el sujeto obligado no rindió informe mediante el cual acredite el cumplimiento a la resolución de mérito, </w:t>
      </w:r>
      <w:proofErr w:type="gramStart"/>
      <w:r w:rsidRPr="001C1893">
        <w:rPr>
          <w:rFonts w:ascii="Arial" w:hAnsi="Arial" w:cs="Arial"/>
          <w:i/>
          <w:color w:val="44546A" w:themeColor="text2"/>
          <w:sz w:val="20"/>
          <w:szCs w:val="20"/>
        </w:rPr>
        <w:t>y</w:t>
      </w:r>
      <w:proofErr w:type="gramEnd"/>
      <w:r w:rsidRPr="001C1893">
        <w:rPr>
          <w:rFonts w:ascii="Arial" w:hAnsi="Arial" w:cs="Arial"/>
          <w:i/>
          <w:color w:val="44546A" w:themeColor="text2"/>
          <w:sz w:val="20"/>
          <w:szCs w:val="20"/>
        </w:rPr>
        <w:t xml:space="preserve"> en consecuencia, se conmina al sujeto obligado a que:</w:t>
      </w:r>
    </w:p>
    <w:p w:rsidR="001C1893" w:rsidRPr="001C1893" w:rsidRDefault="001C1893" w:rsidP="001C1893">
      <w:pPr>
        <w:pStyle w:val="corte4fondo"/>
        <w:numPr>
          <w:ilvl w:val="0"/>
          <w:numId w:val="2"/>
        </w:numPr>
        <w:tabs>
          <w:tab w:val="left" w:pos="567"/>
        </w:tabs>
        <w:rPr>
          <w:rFonts w:eastAsiaTheme="minorHAnsi" w:cs="Arial"/>
          <w:i/>
          <w:color w:val="44546A" w:themeColor="text2"/>
          <w:sz w:val="20"/>
          <w:szCs w:val="20"/>
        </w:rPr>
      </w:pPr>
      <w:r w:rsidRPr="001C1893">
        <w:rPr>
          <w:rFonts w:eastAsiaTheme="minorHAnsi" w:cs="Arial"/>
          <w:i/>
          <w:color w:val="44546A" w:themeColor="text2"/>
          <w:sz w:val="20"/>
          <w:szCs w:val="20"/>
        </w:rPr>
        <w:t>Evidencia de que el Jefe de Recursos Humanos del Municipio de Tamuín cumple con los requisitos que la ley pone para el puesto.</w:t>
      </w:r>
    </w:p>
    <w:p w:rsidR="001C1893" w:rsidRPr="001C1893" w:rsidRDefault="001C1893" w:rsidP="001C1893">
      <w:pPr>
        <w:pStyle w:val="corte4fondo"/>
        <w:tabs>
          <w:tab w:val="left" w:pos="567"/>
        </w:tabs>
        <w:ind w:left="680" w:firstLine="0"/>
        <w:rPr>
          <w:rFonts w:eastAsiaTheme="minorHAnsi" w:cs="Arial"/>
          <w:i/>
          <w:color w:val="44546A" w:themeColor="text2"/>
          <w:sz w:val="20"/>
          <w:szCs w:val="20"/>
        </w:rPr>
      </w:pPr>
      <w:r w:rsidRPr="001C1893">
        <w:rPr>
          <w:rFonts w:eastAsiaTheme="minorHAnsi" w:cs="Arial"/>
          <w:i/>
          <w:color w:val="44546A" w:themeColor="text2"/>
          <w:sz w:val="20"/>
          <w:szCs w:val="20"/>
        </w:rPr>
        <w:t xml:space="preserve">      Copia de su nombramiento.</w:t>
      </w:r>
    </w:p>
    <w:p w:rsidR="001C1893" w:rsidRPr="001C1893" w:rsidRDefault="001C1893" w:rsidP="001C1893">
      <w:pPr>
        <w:pStyle w:val="Prrafodelista"/>
        <w:numPr>
          <w:ilvl w:val="0"/>
          <w:numId w:val="2"/>
        </w:numPr>
        <w:spacing w:line="360" w:lineRule="auto"/>
        <w:jc w:val="both"/>
        <w:rPr>
          <w:rFonts w:eastAsiaTheme="minorHAnsi" w:cs="Arial"/>
          <w:i/>
          <w:color w:val="44546A" w:themeColor="text2"/>
          <w:sz w:val="20"/>
          <w:lang w:eastAsia="en-US"/>
        </w:rPr>
      </w:pPr>
      <w:r w:rsidRPr="001C1893">
        <w:rPr>
          <w:rFonts w:eastAsiaTheme="minorHAnsi" w:cs="Arial"/>
          <w:i/>
          <w:color w:val="44546A" w:themeColor="text2"/>
          <w:sz w:val="20"/>
          <w:lang w:eastAsia="en-US"/>
        </w:rPr>
        <w:t>En la inteligencia de que de lo contrario será acreedor a la medida de apremio consistente en una MULTA, de conformidad con el artículo 190 fracción II y 197 fracción XV de la Ley de Transparencia y Acceso a la Información Pública del Estado.</w:t>
      </w:r>
    </w:p>
    <w:p w:rsidR="001C1893" w:rsidRPr="001C1893" w:rsidRDefault="001C1893" w:rsidP="001C1893">
      <w:pPr>
        <w:pStyle w:val="Prrafodelista"/>
        <w:numPr>
          <w:ilvl w:val="0"/>
          <w:numId w:val="2"/>
        </w:numPr>
        <w:spacing w:line="360" w:lineRule="auto"/>
        <w:jc w:val="both"/>
        <w:rPr>
          <w:rFonts w:eastAsiaTheme="minorHAnsi" w:cs="Arial"/>
          <w:i/>
          <w:color w:val="44546A" w:themeColor="text2"/>
          <w:sz w:val="20"/>
          <w:lang w:eastAsia="en-US"/>
        </w:rPr>
      </w:pPr>
      <w:r w:rsidRPr="001C1893">
        <w:rPr>
          <w:rFonts w:eastAsiaTheme="minorHAnsi" w:cs="Arial"/>
          <w:i/>
          <w:color w:val="44546A" w:themeColor="text2"/>
          <w:sz w:val="20"/>
          <w:lang w:eastAsia="en-US"/>
        </w:rPr>
        <w:t xml:space="preserve">Deberá Remitir a este Órgano Garante, además del Informe de cumplimiento y la gestión para la obtención de la información en las áreas correspondientes, así como, la notificación al recurrente de la totalidad de lo conminado, a través </w:t>
      </w:r>
      <w:r w:rsidRPr="001C1893">
        <w:rPr>
          <w:rFonts w:eastAsiaTheme="minorHAnsi" w:cs="Arial"/>
          <w:i/>
          <w:color w:val="44546A" w:themeColor="text2"/>
          <w:sz w:val="20"/>
          <w:lang w:eastAsia="en-US"/>
        </w:rPr>
        <w:lastRenderedPageBreak/>
        <w:t>del medio que señalo para tal efecto, para que sea llevado a cabo el estudio correspondiente.</w:t>
      </w:r>
    </w:p>
    <w:p w:rsidR="001C1893" w:rsidRPr="001C1893" w:rsidRDefault="001C1893" w:rsidP="001C1893">
      <w:pPr>
        <w:spacing w:line="360" w:lineRule="auto"/>
        <w:jc w:val="both"/>
        <w:rPr>
          <w:rFonts w:ascii="Arial" w:hAnsi="Arial" w:cs="Arial"/>
          <w:i/>
          <w:color w:val="44546A" w:themeColor="text2"/>
          <w:sz w:val="20"/>
          <w:szCs w:val="20"/>
        </w:rPr>
      </w:pPr>
    </w:p>
    <w:p w:rsidR="001C1893" w:rsidRPr="001C1893" w:rsidRDefault="001C1893" w:rsidP="000B32A6">
      <w:pPr>
        <w:spacing w:line="360" w:lineRule="auto"/>
        <w:ind w:firstLine="680"/>
        <w:jc w:val="both"/>
        <w:rPr>
          <w:rFonts w:ascii="Arial" w:hAnsi="Arial" w:cs="Arial"/>
          <w:i/>
          <w:color w:val="44546A" w:themeColor="text2"/>
          <w:sz w:val="20"/>
          <w:szCs w:val="20"/>
        </w:rPr>
      </w:pPr>
      <w:r w:rsidRPr="001C1893">
        <w:rPr>
          <w:rFonts w:ascii="Arial" w:hAnsi="Arial" w:cs="Arial"/>
          <w:i/>
          <w:color w:val="44546A" w:themeColor="text2"/>
          <w:sz w:val="20"/>
          <w:szCs w:val="20"/>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se requiere al Titular del Municipio de Tamuín, en su carácter de superior jerárquico del Titular de la Unidad de Transparencia, para que dentro del término de 03 tres días hábiles contados a partir del día siguiente en que se practique la respectiva notificación, acompañe las constancias necesarias que acrediten el cumplimiento dado a la resolución dictada dentro del recurso de revisión en que se actúa, tomando en cuenta las consideraciones contenidas en el presente proveído, apercibido de que de no hacerlo, se impondrá en su contra la medida de apremio consistente en una MULTA, de conformidad con el artículo 190 fracción II y 197 fracción XV de la Ley de Transparencia y Acceso a la Información Pública del Estado. </w:t>
      </w:r>
    </w:p>
    <w:p w:rsidR="001C1893" w:rsidRPr="001C1893" w:rsidRDefault="001C1893" w:rsidP="000B32A6">
      <w:pPr>
        <w:spacing w:line="360" w:lineRule="auto"/>
        <w:ind w:firstLine="680"/>
        <w:jc w:val="both"/>
        <w:rPr>
          <w:rFonts w:ascii="Arial" w:hAnsi="Arial" w:cs="Arial"/>
          <w:i/>
          <w:color w:val="44546A" w:themeColor="text2"/>
          <w:sz w:val="20"/>
          <w:szCs w:val="20"/>
        </w:rPr>
      </w:pPr>
      <w:r w:rsidRPr="001C1893">
        <w:rPr>
          <w:rFonts w:ascii="Arial" w:hAnsi="Arial" w:cs="Arial"/>
          <w:i/>
          <w:color w:val="44546A" w:themeColor="text2"/>
          <w:sz w:val="20"/>
          <w:szCs w:val="20"/>
        </w:rPr>
        <w:t>De igual modo, se requiere al Titular del Municipio de Tamuín,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p>
    <w:p w:rsidR="001C1893" w:rsidRPr="001C1893" w:rsidRDefault="001C1893" w:rsidP="001C1893">
      <w:pPr>
        <w:spacing w:line="360" w:lineRule="auto"/>
        <w:ind w:left="680"/>
        <w:jc w:val="both"/>
        <w:rPr>
          <w:rFonts w:ascii="Arial" w:hAnsi="Arial" w:cs="Arial"/>
          <w:i/>
          <w:color w:val="44546A" w:themeColor="text2"/>
          <w:sz w:val="20"/>
          <w:szCs w:val="20"/>
        </w:rPr>
      </w:pPr>
      <w:r w:rsidRPr="001C1893">
        <w:rPr>
          <w:rFonts w:ascii="Arial" w:hAnsi="Arial" w:cs="Arial"/>
          <w:i/>
          <w:color w:val="44546A" w:themeColor="text2"/>
          <w:sz w:val="20"/>
          <w:szCs w:val="20"/>
        </w:rPr>
        <w:t>“ARTÍCULO 192.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rsidR="000B32A6" w:rsidRDefault="000B32A6" w:rsidP="000B32A6">
      <w:pPr>
        <w:spacing w:line="360" w:lineRule="auto"/>
        <w:jc w:val="both"/>
        <w:rPr>
          <w:rFonts w:ascii="Arial" w:hAnsi="Arial" w:cs="Arial"/>
          <w:i/>
          <w:color w:val="44546A" w:themeColor="text2"/>
          <w:sz w:val="20"/>
          <w:szCs w:val="20"/>
        </w:rPr>
      </w:pPr>
    </w:p>
    <w:p w:rsidR="000B32A6" w:rsidRDefault="000B32A6" w:rsidP="000B32A6">
      <w:pPr>
        <w:spacing w:line="360" w:lineRule="auto"/>
        <w:jc w:val="both"/>
        <w:rPr>
          <w:rFonts w:ascii="Arial" w:hAnsi="Arial" w:cs="Arial"/>
          <w:i/>
          <w:color w:val="44546A" w:themeColor="text2"/>
          <w:sz w:val="20"/>
          <w:szCs w:val="20"/>
        </w:rPr>
      </w:pPr>
    </w:p>
    <w:p w:rsidR="000B32A6" w:rsidRDefault="000B32A6" w:rsidP="000B32A6">
      <w:pPr>
        <w:spacing w:line="360" w:lineRule="auto"/>
        <w:jc w:val="both"/>
        <w:rPr>
          <w:rFonts w:ascii="Arial" w:hAnsi="Arial" w:cs="Arial"/>
          <w:i/>
          <w:color w:val="44546A" w:themeColor="text2"/>
          <w:sz w:val="20"/>
          <w:szCs w:val="20"/>
        </w:rPr>
      </w:pPr>
    </w:p>
    <w:p w:rsidR="000B32A6" w:rsidRDefault="000B32A6" w:rsidP="000B32A6">
      <w:pPr>
        <w:spacing w:line="360" w:lineRule="auto"/>
        <w:jc w:val="both"/>
        <w:rPr>
          <w:rFonts w:ascii="Arial" w:hAnsi="Arial" w:cs="Arial"/>
          <w:i/>
          <w:color w:val="44546A" w:themeColor="text2"/>
          <w:sz w:val="20"/>
          <w:szCs w:val="20"/>
        </w:rPr>
      </w:pPr>
    </w:p>
    <w:p w:rsidR="001C1893" w:rsidRPr="001C1893" w:rsidRDefault="001C1893" w:rsidP="000B32A6">
      <w:pPr>
        <w:spacing w:line="360" w:lineRule="auto"/>
        <w:jc w:val="both"/>
        <w:rPr>
          <w:rFonts w:ascii="Arial" w:hAnsi="Arial" w:cs="Arial"/>
          <w:i/>
          <w:color w:val="44546A" w:themeColor="text2"/>
          <w:sz w:val="20"/>
          <w:szCs w:val="20"/>
        </w:rPr>
      </w:pPr>
      <w:bookmarkStart w:id="1" w:name="_GoBack"/>
      <w:bookmarkEnd w:id="1"/>
      <w:r w:rsidRPr="001C1893">
        <w:rPr>
          <w:rFonts w:ascii="Arial" w:hAnsi="Arial" w:cs="Arial"/>
          <w:i/>
          <w:color w:val="44546A" w:themeColor="text2"/>
          <w:sz w:val="20"/>
          <w:szCs w:val="20"/>
        </w:rPr>
        <w:lastRenderedPageBreak/>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2" w:name="_Hlk487626562"/>
      <w:r w:rsidRPr="001C1893">
        <w:rPr>
          <w:rFonts w:ascii="Arial" w:hAnsi="Arial" w:cs="Arial"/>
          <w:i/>
          <w:color w:val="44546A" w:themeColor="text2"/>
          <w:sz w:val="20"/>
          <w:szCs w:val="20"/>
        </w:rPr>
        <w:t xml:space="preserve"> Notifíquese por lista y personalmente a las partes.</w:t>
      </w:r>
    </w:p>
    <w:bookmarkEnd w:id="2"/>
    <w:p w:rsidR="001C1893" w:rsidRPr="001C1893" w:rsidRDefault="001C1893" w:rsidP="001C1893">
      <w:pPr>
        <w:rPr>
          <w:rFonts w:ascii="Arial" w:hAnsi="Arial" w:cs="Arial"/>
          <w:i/>
          <w:color w:val="44546A" w:themeColor="text2"/>
          <w:sz w:val="20"/>
          <w:szCs w:val="20"/>
        </w:rPr>
      </w:pPr>
      <w:r w:rsidRPr="000B32A6">
        <w:rPr>
          <w:rFonts w:ascii="Arial" w:hAnsi="Arial" w:cs="Arial"/>
          <w:i/>
          <w:color w:val="44546A" w:themeColor="text2"/>
          <w:sz w:val="14"/>
          <w:szCs w:val="14"/>
        </w:rPr>
        <w:t>HVI</w:t>
      </w:r>
      <w:r w:rsidRPr="001C1893">
        <w:rPr>
          <w:rFonts w:ascii="Arial" w:hAnsi="Arial" w:cs="Arial"/>
          <w:i/>
          <w:color w:val="44546A" w:themeColor="text2"/>
          <w:sz w:val="20"/>
          <w:szCs w:val="20"/>
        </w:rPr>
        <w:t>.</w:t>
      </w:r>
    </w:p>
    <w:p w:rsidR="00FE10DF" w:rsidRPr="000B32A6" w:rsidRDefault="002012E8" w:rsidP="000B32A6">
      <w:pPr>
        <w:spacing w:line="360" w:lineRule="auto"/>
        <w:ind w:firstLine="567"/>
        <w:jc w:val="both"/>
        <w:rPr>
          <w:rFonts w:ascii="Arial" w:hAnsi="Arial" w:cs="Arial"/>
          <w:i/>
          <w:color w:val="44546A" w:themeColor="text2"/>
          <w:sz w:val="20"/>
          <w:szCs w:val="20"/>
        </w:rPr>
      </w:pPr>
      <w:r w:rsidRPr="00AD3AA3">
        <w:rPr>
          <w:rFonts w:ascii="Arial" w:hAnsi="Arial" w:cs="Arial"/>
          <w:i/>
          <w:color w:val="5B9BD5" w:themeColor="accent1"/>
          <w:sz w:val="20"/>
          <w:szCs w:val="20"/>
        </w:rPr>
        <w:t xml:space="preserve"> </w:t>
      </w:r>
      <w:bookmarkEnd w:id="0"/>
      <w:r w:rsidR="00FE10DF" w:rsidRPr="00AD3AA3">
        <w:rPr>
          <w:rFonts w:ascii="Arial" w:hAnsi="Arial" w:cs="Arial"/>
          <w:i/>
          <w:color w:val="5B9BD5" w:themeColor="accent1"/>
          <w:sz w:val="20"/>
          <w:szCs w:val="20"/>
        </w:rPr>
        <w:t>“</w:t>
      </w:r>
      <w:r w:rsidR="00BD4366" w:rsidRPr="00FE10DF">
        <w:rPr>
          <w:rFonts w:ascii="Arial" w:eastAsia="Calibri" w:hAnsi="Arial" w:cs="Arial"/>
          <w:sz w:val="20"/>
          <w:szCs w:val="18"/>
          <w:lang w:val="es-MX"/>
        </w:rPr>
        <w:t xml:space="preserve">       </w:t>
      </w:r>
    </w:p>
    <w:p w:rsidR="00BD4366" w:rsidRPr="00FE10DF" w:rsidRDefault="00BD4366" w:rsidP="00BD4366">
      <w:pPr>
        <w:tabs>
          <w:tab w:val="left" w:pos="932"/>
        </w:tabs>
        <w:spacing w:after="200" w:line="276" w:lineRule="auto"/>
        <w:jc w:val="both"/>
        <w:rPr>
          <w:rFonts w:ascii="Arial" w:eastAsia="Calibri" w:hAnsi="Arial" w:cs="Arial"/>
          <w:szCs w:val="18"/>
          <w:lang w:val="es-MX"/>
        </w:rPr>
      </w:pPr>
      <w:r w:rsidRPr="00FE10DF">
        <w:rPr>
          <w:rFonts w:ascii="Arial" w:eastAsia="Calibri" w:hAnsi="Arial" w:cs="Arial"/>
          <w:szCs w:val="18"/>
          <w:lang w:val="es-MX"/>
        </w:rPr>
        <w:t xml:space="preserve">    Lo que transcribo a Usted para su conocimiento y efectos legales consiguientes en vía de notificación del auto inserto.</w:t>
      </w:r>
    </w:p>
    <w:p w:rsidR="00BD4366" w:rsidRPr="00FE10DF" w:rsidRDefault="00BD4366" w:rsidP="00BD4366">
      <w:pPr>
        <w:spacing w:after="0" w:line="240" w:lineRule="auto"/>
        <w:jc w:val="center"/>
        <w:rPr>
          <w:rFonts w:ascii="Arial" w:eastAsia="Times New Roman" w:hAnsi="Arial" w:cs="Arial"/>
          <w:b/>
          <w:szCs w:val="24"/>
          <w:lang w:val="es-MX" w:eastAsia="es-ES"/>
        </w:rPr>
      </w:pPr>
      <w:r w:rsidRPr="00FE10DF">
        <w:rPr>
          <w:rFonts w:ascii="Arial" w:eastAsia="Times New Roman" w:hAnsi="Arial" w:cs="Arial"/>
          <w:b/>
          <w:szCs w:val="24"/>
          <w:lang w:val="es-MX" w:eastAsia="es-ES"/>
        </w:rPr>
        <w:t>Atentamente.</w:t>
      </w: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BD4366">
      <w:pPr>
        <w:spacing w:after="0" w:line="240" w:lineRule="auto"/>
        <w:rPr>
          <w:rFonts w:ascii="Arial" w:eastAsia="Times New Roman" w:hAnsi="Arial" w:cs="Arial"/>
          <w:b/>
          <w:szCs w:val="24"/>
          <w:lang w:val="es-MX" w:eastAsia="es-ES"/>
        </w:rPr>
      </w:pPr>
    </w:p>
    <w:p w:rsidR="000B32A6" w:rsidRPr="00FE10DF" w:rsidRDefault="000B32A6" w:rsidP="000B32A6">
      <w:pPr>
        <w:spacing w:after="0" w:line="276" w:lineRule="auto"/>
        <w:jc w:val="center"/>
        <w:rPr>
          <w:rFonts w:ascii="Arial" w:eastAsia="Calibri" w:hAnsi="Arial" w:cs="Arial"/>
          <w:b/>
          <w:lang w:val="es-MX"/>
        </w:rPr>
      </w:pPr>
      <w:r>
        <w:rPr>
          <w:rFonts w:ascii="Arial" w:eastAsia="Calibri" w:hAnsi="Arial" w:cs="Arial"/>
          <w:b/>
          <w:lang w:val="es-MX"/>
        </w:rPr>
        <w:t>Javier Pérez Limón</w:t>
      </w:r>
    </w:p>
    <w:p w:rsidR="00BD4366" w:rsidRPr="00FE10DF" w:rsidRDefault="00BD4366" w:rsidP="00FE10DF">
      <w:pPr>
        <w:spacing w:after="0"/>
        <w:jc w:val="center"/>
        <w:rPr>
          <w:lang w:val="es-MX"/>
        </w:rPr>
      </w:pPr>
      <w:r w:rsidRPr="00FE10DF">
        <w:rPr>
          <w:rFonts w:ascii="Arial" w:eastAsia="Calibri" w:hAnsi="Arial" w:cs="Arial"/>
          <w:b/>
          <w:lang w:val="es-MX"/>
        </w:rPr>
        <w:t>Notificador</w:t>
      </w:r>
    </w:p>
    <w:p w:rsidR="00BD4366" w:rsidRPr="00E94495" w:rsidRDefault="00BD4366" w:rsidP="00BD4366">
      <w:pPr>
        <w:rPr>
          <w:lang w:val="es-MX"/>
        </w:rPr>
      </w:pPr>
    </w:p>
    <w:p w:rsidR="000A404C" w:rsidRPr="005A47D6" w:rsidRDefault="003D1CE8">
      <w:pPr>
        <w:rPr>
          <w:lang w:val="es-MX"/>
        </w:rPr>
      </w:pPr>
    </w:p>
    <w:sectPr w:rsidR="000A404C" w:rsidRPr="005A47D6" w:rsidSect="000B32A6">
      <w:headerReference w:type="default" r:id="rId7"/>
      <w:pgSz w:w="12247" w:h="19335" w:code="300"/>
      <w:pgMar w:top="2835" w:right="851" w:bottom="2552"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1CE8" w:rsidRDefault="003D1CE8" w:rsidP="005A47D6">
      <w:pPr>
        <w:spacing w:after="0" w:line="240" w:lineRule="auto"/>
      </w:pPr>
      <w:r>
        <w:separator/>
      </w:r>
    </w:p>
  </w:endnote>
  <w:endnote w:type="continuationSeparator" w:id="0">
    <w:p w:rsidR="003D1CE8" w:rsidRDefault="003D1CE8" w:rsidP="005A4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1CE8" w:rsidRDefault="003D1CE8" w:rsidP="005A47D6">
      <w:pPr>
        <w:spacing w:after="0" w:line="240" w:lineRule="auto"/>
      </w:pPr>
      <w:r>
        <w:separator/>
      </w:r>
    </w:p>
  </w:footnote>
  <w:footnote w:type="continuationSeparator" w:id="0">
    <w:p w:rsidR="003D1CE8" w:rsidRDefault="003D1CE8" w:rsidP="005A47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0DF" w:rsidRPr="00FE10DF" w:rsidRDefault="00E5298F" w:rsidP="00FE10DF">
    <w:pPr>
      <w:pStyle w:val="Piedepgina"/>
      <w:rPr>
        <w:i/>
      </w:rPr>
    </w:pPr>
    <w:r>
      <w:rPr>
        <w:rFonts w:ascii="Arial" w:hAnsi="Arial" w:cs="Arial"/>
        <w:i/>
        <w:color w:val="222222"/>
        <w:shd w:val="clear" w:color="auto" w:fill="FFFFFF"/>
      </w:rPr>
      <w:tab/>
      <w:t xml:space="preserve">                  </w:t>
    </w:r>
    <w:r w:rsidR="00FE10DF" w:rsidRPr="00FE10DF">
      <w:rPr>
        <w:rFonts w:ascii="Arial" w:hAnsi="Arial" w:cs="Arial"/>
        <w:i/>
        <w:color w:val="222222"/>
        <w:shd w:val="clear" w:color="auto" w:fill="FFFFFF"/>
      </w:rPr>
      <w:t>2022, AÑO DE LAS Y LOS MIGRANTES DE SAN LUIS POTOSÍ</w:t>
    </w:r>
  </w:p>
  <w:p w:rsidR="005A47D6" w:rsidRPr="005A47D6" w:rsidRDefault="005A47D6">
    <w:pPr>
      <w:pStyle w:val="Encabezado"/>
      <w:rPr>
        <w:rFonts w:ascii="Arial" w:hAnsi="Arial" w:cs="Arial"/>
        <w:b/>
        <w:sz w:val="24"/>
        <w:szCs w:val="24"/>
        <w:lang w:val="es-MX"/>
      </w:rPr>
    </w:pPr>
    <w:r>
      <w:rPr>
        <w:rFonts w:ascii="Arial" w:hAnsi="Arial" w:cs="Arial"/>
        <w:b/>
        <w:sz w:val="24"/>
        <w:szCs w:val="24"/>
        <w:lang w:val="es-MX"/>
      </w:rPr>
      <w:t xml:space="preserve">                                                                                  </w:t>
    </w:r>
    <w:r w:rsidR="00E5298F">
      <w:rPr>
        <w:rFonts w:ascii="Arial" w:hAnsi="Arial" w:cs="Arial"/>
        <w:b/>
        <w:sz w:val="24"/>
        <w:szCs w:val="24"/>
        <w:lang w:val="es-MX"/>
      </w:rPr>
      <w:tab/>
    </w:r>
    <w:r>
      <w:rPr>
        <w:rFonts w:ascii="Arial" w:hAnsi="Arial" w:cs="Arial"/>
        <w:b/>
        <w:sz w:val="24"/>
        <w:szCs w:val="24"/>
        <w:lang w:val="es-MX"/>
      </w:rPr>
      <w:t>RR-</w:t>
    </w:r>
    <w:r w:rsidR="001C1893">
      <w:rPr>
        <w:rFonts w:ascii="Arial" w:hAnsi="Arial" w:cs="Arial"/>
        <w:b/>
        <w:sz w:val="24"/>
        <w:szCs w:val="24"/>
        <w:lang w:val="es-MX"/>
      </w:rPr>
      <w:t>2389</w:t>
    </w:r>
    <w:r>
      <w:rPr>
        <w:rFonts w:ascii="Arial" w:hAnsi="Arial" w:cs="Arial"/>
        <w:b/>
        <w:sz w:val="24"/>
        <w:szCs w:val="24"/>
        <w:lang w:val="es-MX"/>
      </w:rPr>
      <w:t>/202</w:t>
    </w:r>
    <w:r w:rsidR="001C1893">
      <w:rPr>
        <w:rFonts w:ascii="Arial" w:hAnsi="Arial" w:cs="Arial"/>
        <w:b/>
        <w:sz w:val="24"/>
        <w:szCs w:val="24"/>
        <w:lang w:val="es-MX"/>
      </w:rPr>
      <w:t>0</w:t>
    </w:r>
    <w:r>
      <w:rPr>
        <w:rFonts w:ascii="Arial" w:hAnsi="Arial" w:cs="Arial"/>
        <w:b/>
        <w:sz w:val="24"/>
        <w:szCs w:val="24"/>
        <w:lang w:val="es-MX"/>
      </w:rPr>
      <w:t>-1</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7D6"/>
    <w:rsid w:val="000B32A6"/>
    <w:rsid w:val="000F0B5C"/>
    <w:rsid w:val="00127FA7"/>
    <w:rsid w:val="0014282D"/>
    <w:rsid w:val="00187D95"/>
    <w:rsid w:val="00192149"/>
    <w:rsid w:val="001C1893"/>
    <w:rsid w:val="001F39C4"/>
    <w:rsid w:val="001F64E6"/>
    <w:rsid w:val="002012E8"/>
    <w:rsid w:val="0021399A"/>
    <w:rsid w:val="00217971"/>
    <w:rsid w:val="00217E18"/>
    <w:rsid w:val="003073AA"/>
    <w:rsid w:val="00336320"/>
    <w:rsid w:val="003427A6"/>
    <w:rsid w:val="003679C1"/>
    <w:rsid w:val="00385A2A"/>
    <w:rsid w:val="003B283A"/>
    <w:rsid w:val="003D1CE8"/>
    <w:rsid w:val="003F0712"/>
    <w:rsid w:val="00405767"/>
    <w:rsid w:val="004610E0"/>
    <w:rsid w:val="00525DCB"/>
    <w:rsid w:val="00553665"/>
    <w:rsid w:val="005A47D6"/>
    <w:rsid w:val="005D178C"/>
    <w:rsid w:val="0062064B"/>
    <w:rsid w:val="0063445C"/>
    <w:rsid w:val="006C5C84"/>
    <w:rsid w:val="007753D2"/>
    <w:rsid w:val="007B53A2"/>
    <w:rsid w:val="007F50CF"/>
    <w:rsid w:val="00981FD3"/>
    <w:rsid w:val="009A4425"/>
    <w:rsid w:val="009C0FA5"/>
    <w:rsid w:val="00AD3AA3"/>
    <w:rsid w:val="00B579DD"/>
    <w:rsid w:val="00B80BFB"/>
    <w:rsid w:val="00BA592B"/>
    <w:rsid w:val="00BD4366"/>
    <w:rsid w:val="00C308F1"/>
    <w:rsid w:val="00C523D0"/>
    <w:rsid w:val="00C754A6"/>
    <w:rsid w:val="00C80C1A"/>
    <w:rsid w:val="00D1597D"/>
    <w:rsid w:val="00DC7720"/>
    <w:rsid w:val="00E22421"/>
    <w:rsid w:val="00E5298F"/>
    <w:rsid w:val="00F238FB"/>
    <w:rsid w:val="00F802ED"/>
    <w:rsid w:val="00F90264"/>
    <w:rsid w:val="00F9181C"/>
    <w:rsid w:val="00F96BEE"/>
    <w:rsid w:val="00FC4A5E"/>
    <w:rsid w:val="00FE0120"/>
    <w:rsid w:val="00FE10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1A26CB"/>
  <w15:docId w15:val="{3637E60D-34D6-4C37-9D80-B1187440E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47D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A47D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A47D6"/>
  </w:style>
  <w:style w:type="paragraph" w:styleId="Piedepgina">
    <w:name w:val="footer"/>
    <w:basedOn w:val="Normal"/>
    <w:link w:val="PiedepginaCar"/>
    <w:uiPriority w:val="99"/>
    <w:unhideWhenUsed/>
    <w:rsid w:val="005A47D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47D6"/>
  </w:style>
  <w:style w:type="paragraph" w:styleId="Textodeglobo">
    <w:name w:val="Balloon Text"/>
    <w:basedOn w:val="Normal"/>
    <w:link w:val="TextodegloboCar"/>
    <w:uiPriority w:val="99"/>
    <w:semiHidden/>
    <w:unhideWhenUsed/>
    <w:rsid w:val="003363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36320"/>
    <w:rPr>
      <w:rFonts w:ascii="Segoe UI" w:hAnsi="Segoe UI" w:cs="Segoe UI"/>
      <w:sz w:val="18"/>
      <w:szCs w:val="18"/>
    </w:rPr>
  </w:style>
  <w:style w:type="paragraph" w:customStyle="1" w:styleId="xmsonormal">
    <w:name w:val="x_msonormal"/>
    <w:basedOn w:val="Normal"/>
    <w:rsid w:val="0063445C"/>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Sinespaciado">
    <w:name w:val="No Spacing"/>
    <w:qFormat/>
    <w:rsid w:val="00AD3AA3"/>
    <w:pPr>
      <w:spacing w:after="0" w:line="240" w:lineRule="auto"/>
    </w:pPr>
    <w:rPr>
      <w:rFonts w:ascii="Calibri" w:eastAsia="Calibri" w:hAnsi="Calibri" w:cs="Times New Roman"/>
      <w:lang w:val="es-MX"/>
    </w:rPr>
  </w:style>
  <w:style w:type="paragraph" w:styleId="Prrafodelista">
    <w:name w:val="List Paragraph"/>
    <w:basedOn w:val="Normal"/>
    <w:uiPriority w:val="34"/>
    <w:qFormat/>
    <w:rsid w:val="001C1893"/>
    <w:pPr>
      <w:spacing w:after="0" w:line="240" w:lineRule="auto"/>
      <w:ind w:left="720"/>
      <w:contextualSpacing/>
    </w:pPr>
    <w:rPr>
      <w:rFonts w:ascii="Arial" w:eastAsia="Times New Roman" w:hAnsi="Arial" w:cs="Times New Roman"/>
      <w:sz w:val="24"/>
      <w:szCs w:val="20"/>
      <w:lang w:eastAsia="es-MX"/>
    </w:rPr>
  </w:style>
  <w:style w:type="character" w:customStyle="1" w:styleId="corte4fondoCar1">
    <w:name w:val="corte4 fondo Car1"/>
    <w:link w:val="corte4fondo"/>
    <w:locked/>
    <w:rsid w:val="001C1893"/>
    <w:rPr>
      <w:rFonts w:ascii="Arial" w:eastAsia="Times New Roman" w:hAnsi="Arial"/>
      <w:sz w:val="30"/>
    </w:rPr>
  </w:style>
  <w:style w:type="paragraph" w:customStyle="1" w:styleId="corte4fondo">
    <w:name w:val="corte4 fondo"/>
    <w:basedOn w:val="Normal"/>
    <w:link w:val="corte4fondoCar1"/>
    <w:qFormat/>
    <w:rsid w:val="001C1893"/>
    <w:pPr>
      <w:spacing w:after="0" w:line="360" w:lineRule="auto"/>
      <w:ind w:firstLine="709"/>
      <w:jc w:val="both"/>
    </w:pPr>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1124</Words>
  <Characters>6186</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7296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Leonardo Monsivais</dc:creator>
  <cp:lastModifiedBy>Marcela</cp:lastModifiedBy>
  <cp:revision>3</cp:revision>
  <cp:lastPrinted>2022-06-01T17:42:00Z</cp:lastPrinted>
  <dcterms:created xsi:type="dcterms:W3CDTF">2022-05-24T17:36:00Z</dcterms:created>
  <dcterms:modified xsi:type="dcterms:W3CDTF">2022-06-01T17:46:00Z</dcterms:modified>
</cp:coreProperties>
</file>