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48B8" w:rsidRPr="000D48B8" w:rsidRDefault="000D48B8" w:rsidP="000D48B8">
      <w:pPr>
        <w:jc w:val="center"/>
        <w:rPr>
          <w:sz w:val="40"/>
        </w:rPr>
      </w:pPr>
      <w:r w:rsidRPr="000D48B8">
        <w:rPr>
          <w:sz w:val="40"/>
        </w:rPr>
        <w:t xml:space="preserve">En esta ley, y las leyes locales en materia turísticas, las siguientes atribuciones: Fracción V11, conocer y llevar a través del secretario técnico, un registro de los indicadores y estadísticas en materia del servicio de turismo regional y municipal, NO SE CUENTA CON INFORMACIÓN sobre destino y turísticos ni estadísticas sobre actividades turísticas, ya que nuestro municipio no cuenta con </w:t>
      </w:r>
      <w:bookmarkStart w:id="0" w:name="_GoBack"/>
      <w:bookmarkEnd w:id="0"/>
      <w:r w:rsidRPr="000D48B8">
        <w:rPr>
          <w:sz w:val="40"/>
        </w:rPr>
        <w:t>potencial turístico suficiente a la fecha.</w:t>
      </w:r>
    </w:p>
    <w:sectPr w:rsidR="000D48B8" w:rsidRPr="000D48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8B8"/>
    <w:rsid w:val="000D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34CB8"/>
  <w15:chartTrackingRefBased/>
  <w15:docId w15:val="{CC43B414-6120-4B51-9D8D-819BB1ADE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2022-09-06T18:14:00Z</dcterms:created>
  <dcterms:modified xsi:type="dcterms:W3CDTF">2022-09-06T18:16:00Z</dcterms:modified>
</cp:coreProperties>
</file>