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5167" w:rsidRPr="00222C0E" w:rsidRDefault="00AC5167" w:rsidP="00AC516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AC5167" w:rsidRPr="00222C0E" w:rsidRDefault="00AC5167" w:rsidP="00AC5167">
      <w:pPr>
        <w:pStyle w:val="Sinespaciado"/>
        <w:ind w:left="3969"/>
        <w:jc w:val="both"/>
        <w:rPr>
          <w:rFonts w:ascii="Arial Narrow" w:eastAsia="Arial Unicode MS" w:hAnsi="Arial Narrow" w:cs="Arial Unicode MS"/>
          <w:b/>
          <w:sz w:val="24"/>
          <w:szCs w:val="24"/>
        </w:rPr>
      </w:pPr>
    </w:p>
    <w:p w:rsidR="00AC5167" w:rsidRPr="00222C0E" w:rsidRDefault="00AC5167" w:rsidP="00AC516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AC5167" w:rsidRPr="00222C0E" w:rsidRDefault="00AC5167" w:rsidP="00AC5167">
      <w:pPr>
        <w:pStyle w:val="Sinespaciado"/>
        <w:ind w:left="3969"/>
        <w:jc w:val="both"/>
        <w:rPr>
          <w:rFonts w:ascii="Arial Narrow" w:eastAsia="Arial Unicode MS" w:hAnsi="Arial Narrow" w:cs="Arial Unicode MS"/>
          <w:b/>
          <w:sz w:val="24"/>
          <w:szCs w:val="24"/>
        </w:rPr>
      </w:pPr>
    </w:p>
    <w:p w:rsidR="00AC5167" w:rsidRPr="00222C0E" w:rsidRDefault="00AC5167" w:rsidP="00AC5167">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sidR="00573A41">
        <w:rPr>
          <w:rFonts w:ascii="Arial Narrow" w:eastAsia="Arial Unicode MS" w:hAnsi="Arial Narrow" w:cs="Arial Unicode MS"/>
          <w:b/>
          <w:sz w:val="24"/>
          <w:szCs w:val="24"/>
        </w:rPr>
        <w:t>160</w:t>
      </w:r>
      <w:r>
        <w:rPr>
          <w:rFonts w:ascii="Arial Narrow" w:eastAsia="Arial Unicode MS" w:hAnsi="Arial Narrow" w:cs="Arial Unicode MS"/>
          <w:b/>
          <w:sz w:val="24"/>
          <w:szCs w:val="24"/>
        </w:rPr>
        <w:t>/</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w:t>
      </w:r>
      <w:r w:rsidR="00573A41">
        <w:rPr>
          <w:rFonts w:ascii="Arial Narrow" w:eastAsia="Arial Unicode MS" w:hAnsi="Arial Narrow" w:cs="Arial Unicode MS"/>
          <w:b/>
          <w:sz w:val="24"/>
          <w:szCs w:val="24"/>
        </w:rPr>
        <w:t>0</w:t>
      </w:r>
      <w:r w:rsidRPr="00222C0E">
        <w:rPr>
          <w:rFonts w:ascii="Arial Narrow" w:eastAsia="Arial Unicode MS" w:hAnsi="Arial Narrow" w:cs="Arial Unicode MS"/>
          <w:b/>
          <w:sz w:val="24"/>
          <w:szCs w:val="24"/>
        </w:rPr>
        <w:t xml:space="preserve">-3 </w:t>
      </w:r>
    </w:p>
    <w:p w:rsidR="00AC5167" w:rsidRDefault="00AC5167" w:rsidP="00AC5167">
      <w:pPr>
        <w:pStyle w:val="Sinespaciado"/>
        <w:ind w:left="3969"/>
        <w:jc w:val="both"/>
        <w:rPr>
          <w:rFonts w:ascii="Arial Narrow" w:eastAsia="Arial Unicode MS" w:hAnsi="Arial Narrow" w:cs="Arial Unicode MS"/>
          <w:b/>
          <w:sz w:val="24"/>
          <w:szCs w:val="24"/>
        </w:rPr>
      </w:pPr>
    </w:p>
    <w:p w:rsidR="00AC5167" w:rsidRPr="00222C0E" w:rsidRDefault="00AC5167" w:rsidP="00AC516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573A41" w:rsidRPr="00222C0E" w:rsidRDefault="00A65CCB" w:rsidP="00AC5167">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AC5167" w:rsidRPr="00222C0E" w:rsidRDefault="00AC5167" w:rsidP="00AC516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sidR="00573A41">
        <w:rPr>
          <w:rFonts w:ascii="Arial Narrow" w:eastAsia="Arial Unicode MS" w:hAnsi="Arial Narrow" w:cs="Arial Unicode MS"/>
          <w:b/>
          <w:sz w:val="24"/>
          <w:szCs w:val="24"/>
        </w:rPr>
        <w:t>O</w:t>
      </w:r>
      <w:r w:rsidRPr="00222C0E">
        <w:rPr>
          <w:rFonts w:ascii="Arial Narrow" w:eastAsia="Arial Unicode MS" w:hAnsi="Arial Narrow" w:cs="Arial Unicode MS"/>
          <w:b/>
          <w:sz w:val="24"/>
          <w:szCs w:val="24"/>
        </w:rPr>
        <w:t xml:space="preserve">: </w:t>
      </w:r>
    </w:p>
    <w:p w:rsidR="00AC5167" w:rsidRPr="00222C0E" w:rsidRDefault="00AC5167" w:rsidP="00AC5167">
      <w:pPr>
        <w:pStyle w:val="Sinespaciado"/>
        <w:ind w:left="3969"/>
        <w:jc w:val="both"/>
        <w:rPr>
          <w:rFonts w:ascii="Arial Narrow" w:eastAsia="Arial Unicode MS" w:hAnsi="Arial Narrow" w:cs="Arial Unicode MS"/>
          <w:sz w:val="24"/>
          <w:szCs w:val="24"/>
        </w:rPr>
      </w:pPr>
      <w:r>
        <w:rPr>
          <w:rFonts w:ascii="Arial Narrow" w:eastAsia="Arial Unicode MS" w:hAnsi="Arial Narrow" w:cs="Arial Unicode MS"/>
          <w:sz w:val="24"/>
          <w:szCs w:val="24"/>
        </w:rPr>
        <w:t>LICENCIAD</w:t>
      </w:r>
      <w:r w:rsidR="00573A41">
        <w:rPr>
          <w:rFonts w:ascii="Arial Narrow" w:eastAsia="Arial Unicode MS" w:hAnsi="Arial Narrow" w:cs="Arial Unicode MS"/>
          <w:sz w:val="24"/>
          <w:szCs w:val="24"/>
        </w:rPr>
        <w:t>O JORGE ALEJANDRO VERA NOYOLA</w:t>
      </w:r>
    </w:p>
    <w:p w:rsidR="00AC5167" w:rsidRPr="00222C0E" w:rsidRDefault="00AC5167" w:rsidP="00AC5167">
      <w:pPr>
        <w:pStyle w:val="Sinespaciado"/>
        <w:jc w:val="both"/>
        <w:rPr>
          <w:rFonts w:ascii="Arial Narrow" w:eastAsia="Arial Unicode MS" w:hAnsi="Arial Narrow" w:cs="Arial Unicode MS"/>
          <w:sz w:val="24"/>
          <w:szCs w:val="24"/>
        </w:rPr>
      </w:pPr>
    </w:p>
    <w:p w:rsidR="00AC5167" w:rsidRPr="00222C0E" w:rsidRDefault="00AC5167" w:rsidP="00AC5167">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AC5167" w:rsidRPr="00222C0E" w:rsidRDefault="00AC5167" w:rsidP="00AC5167">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AC5167" w:rsidRDefault="00AC5167" w:rsidP="00AC5167">
      <w:pPr>
        <w:pStyle w:val="Sinespaciado"/>
        <w:spacing w:line="360" w:lineRule="auto"/>
        <w:ind w:firstLine="709"/>
        <w:jc w:val="both"/>
        <w:rPr>
          <w:rFonts w:ascii="Arial Narrow" w:eastAsia="Arial Unicode MS" w:hAnsi="Arial Narrow" w:cs="Arial Unicode MS"/>
          <w:b/>
          <w:sz w:val="28"/>
          <w:szCs w:val="28"/>
        </w:rPr>
      </w:pPr>
    </w:p>
    <w:p w:rsidR="00AC5167" w:rsidRPr="002D6AF1" w:rsidRDefault="00AC5167" w:rsidP="00AC5167">
      <w:pPr>
        <w:pStyle w:val="Sinespaciado"/>
        <w:spacing w:line="360" w:lineRule="auto"/>
        <w:ind w:firstLine="709"/>
        <w:jc w:val="both"/>
        <w:rPr>
          <w:rFonts w:ascii="Arial Narrow" w:eastAsia="Arial Unicode MS" w:hAnsi="Arial Narrow" w:cs="Arial Unicode MS"/>
          <w:sz w:val="28"/>
          <w:szCs w:val="28"/>
        </w:rPr>
      </w:pPr>
      <w:r w:rsidRPr="00272270">
        <w:rPr>
          <w:rFonts w:ascii="Arial Narrow" w:eastAsia="Arial Unicode MS" w:hAnsi="Arial Narrow" w:cs="Arial Unicode MS"/>
          <w:sz w:val="28"/>
          <w:szCs w:val="28"/>
        </w:rPr>
        <w:t xml:space="preserve">San Luis Potosí, S.L.P., a </w:t>
      </w:r>
      <w:r w:rsidR="00D71EFE">
        <w:rPr>
          <w:rFonts w:ascii="Arial Narrow" w:eastAsia="Arial Unicode MS" w:hAnsi="Arial Narrow" w:cs="Arial Unicode MS"/>
          <w:sz w:val="28"/>
          <w:szCs w:val="28"/>
        </w:rPr>
        <w:t>veinticinco</w:t>
      </w:r>
      <w:r w:rsidR="007E4C0F">
        <w:rPr>
          <w:rFonts w:ascii="Arial Narrow" w:eastAsia="Arial Unicode MS" w:hAnsi="Arial Narrow" w:cs="Arial Unicode MS"/>
          <w:sz w:val="28"/>
          <w:szCs w:val="28"/>
        </w:rPr>
        <w:t xml:space="preserve"> de febrero de dos mil veintidós</w:t>
      </w:r>
      <w:r w:rsidRPr="002D6AF1">
        <w:rPr>
          <w:rFonts w:ascii="Arial Narrow" w:eastAsia="Arial Unicode MS" w:hAnsi="Arial Narrow" w:cs="Arial Unicode MS"/>
          <w:sz w:val="28"/>
          <w:szCs w:val="28"/>
        </w:rPr>
        <w:t>.</w:t>
      </w:r>
    </w:p>
    <w:p w:rsidR="00AC5167" w:rsidRDefault="00AC5167" w:rsidP="00AC5167">
      <w:pPr>
        <w:pStyle w:val="Sinespaciado"/>
        <w:spacing w:line="360" w:lineRule="auto"/>
        <w:ind w:firstLine="709"/>
        <w:jc w:val="both"/>
        <w:rPr>
          <w:rFonts w:ascii="Arial Narrow" w:eastAsia="Arial Unicode MS" w:hAnsi="Arial Narrow" w:cs="Arial Unicode MS"/>
          <w:b/>
          <w:sz w:val="28"/>
          <w:szCs w:val="28"/>
        </w:rPr>
      </w:pPr>
    </w:p>
    <w:p w:rsidR="00AC5167" w:rsidRPr="0030542D" w:rsidRDefault="00AC5167" w:rsidP="00AC516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V I S T O S</w:t>
      </w:r>
      <w:r w:rsidRPr="00A226E4">
        <w:rPr>
          <w:rFonts w:ascii="Arial Narrow" w:eastAsia="Arial Unicode MS" w:hAnsi="Arial Narrow" w:cs="Arial Unicode MS"/>
          <w:sz w:val="28"/>
          <w:szCs w:val="28"/>
        </w:rPr>
        <w:t xml:space="preserve"> para resolver en definitiva los autos del Juicio Contencioso Administrativo </w:t>
      </w:r>
      <w:r w:rsidR="00573A41" w:rsidRPr="00573A41">
        <w:rPr>
          <w:rFonts w:ascii="Arial Narrow" w:eastAsia="Arial Unicode MS" w:hAnsi="Arial Narrow" w:cs="Arial Unicode MS"/>
          <w:b/>
          <w:sz w:val="28"/>
          <w:szCs w:val="28"/>
        </w:rPr>
        <w:t>160</w:t>
      </w:r>
      <w:r w:rsidRPr="00573A41">
        <w:rPr>
          <w:rFonts w:ascii="Arial Narrow" w:eastAsia="Arial Unicode MS" w:hAnsi="Arial Narrow" w:cs="Arial Unicode MS"/>
          <w:b/>
          <w:sz w:val="28"/>
          <w:szCs w:val="28"/>
        </w:rPr>
        <w:t>/</w:t>
      </w:r>
      <w:r w:rsidRPr="002377A7">
        <w:rPr>
          <w:rFonts w:ascii="Arial Narrow" w:eastAsia="Arial Unicode MS" w:hAnsi="Arial Narrow" w:cs="Arial Unicode MS"/>
          <w:b/>
          <w:sz w:val="28"/>
          <w:szCs w:val="28"/>
        </w:rPr>
        <w:t>202</w:t>
      </w:r>
      <w:r w:rsidR="00573A41">
        <w:rPr>
          <w:rFonts w:ascii="Arial Narrow" w:eastAsia="Arial Unicode MS" w:hAnsi="Arial Narrow" w:cs="Arial Unicode MS"/>
          <w:b/>
          <w:sz w:val="28"/>
          <w:szCs w:val="28"/>
        </w:rPr>
        <w:t>0</w:t>
      </w:r>
      <w:r w:rsidRPr="00A226E4">
        <w:rPr>
          <w:rFonts w:ascii="Arial Narrow" w:eastAsia="Arial Unicode MS" w:hAnsi="Arial Narrow" w:cs="Arial Unicode MS"/>
          <w:b/>
          <w:sz w:val="28"/>
          <w:szCs w:val="28"/>
        </w:rPr>
        <w:t xml:space="preserve">-3 </w:t>
      </w:r>
      <w:r w:rsidRPr="00A226E4">
        <w:rPr>
          <w:rFonts w:ascii="Arial Narrow" w:eastAsia="Arial Unicode MS" w:hAnsi="Arial Narrow" w:cs="Arial Unicode MS"/>
          <w:sz w:val="28"/>
          <w:szCs w:val="28"/>
        </w:rPr>
        <w:t xml:space="preserve">promovido por </w:t>
      </w:r>
      <w:r w:rsidR="00A65CCB">
        <w:rPr>
          <w:rFonts w:ascii="Arial Narrow" w:eastAsia="Arial Unicode MS" w:hAnsi="Arial Narrow" w:cs="Arial Unicode MS"/>
          <w:b/>
          <w:color w:val="FF0000"/>
          <w:sz w:val="28"/>
          <w:szCs w:val="28"/>
        </w:rPr>
        <w:t>**********</w:t>
      </w:r>
      <w:r w:rsidRPr="00A226E4">
        <w:rPr>
          <w:rFonts w:ascii="Arial Narrow" w:eastAsia="Arial Unicode MS" w:hAnsi="Arial Narrow" w:cs="Arial Unicode MS"/>
          <w:b/>
          <w:sz w:val="28"/>
          <w:szCs w:val="28"/>
        </w:rPr>
        <w:t>,</w:t>
      </w:r>
      <w:r w:rsidRPr="00A226E4">
        <w:rPr>
          <w:rFonts w:ascii="Arial Narrow" w:eastAsia="Arial Unicode MS" w:hAnsi="Arial Narrow" w:cs="Arial Unicode MS"/>
          <w:sz w:val="28"/>
          <w:szCs w:val="28"/>
        </w:rPr>
        <w:t xml:space="preserve"> contra actos de</w:t>
      </w:r>
      <w:r>
        <w:rPr>
          <w:rFonts w:ascii="Arial Narrow" w:eastAsia="Arial Unicode MS" w:hAnsi="Arial Narrow" w:cs="Arial Unicode MS"/>
          <w:sz w:val="28"/>
          <w:szCs w:val="28"/>
        </w:rPr>
        <w:t xml:space="preserve">l </w:t>
      </w:r>
      <w:r w:rsidRPr="0030542D">
        <w:rPr>
          <w:rFonts w:ascii="Arial Narrow" w:eastAsia="Arial Unicode MS" w:hAnsi="Arial Narrow" w:cs="Arial Unicode MS"/>
          <w:b/>
          <w:sz w:val="28"/>
          <w:szCs w:val="28"/>
        </w:rPr>
        <w:t>H. Ayuntamiento de San Luis Potosí</w:t>
      </w:r>
      <w:r w:rsidR="00573A41">
        <w:rPr>
          <w:rFonts w:ascii="Arial Narrow" w:eastAsia="Arial Unicode MS" w:hAnsi="Arial Narrow" w:cs="Arial Unicode MS"/>
          <w:b/>
          <w:sz w:val="28"/>
          <w:szCs w:val="28"/>
        </w:rPr>
        <w:t xml:space="preserve"> y Director de Comercio del Municipio de la capital</w:t>
      </w:r>
      <w:r w:rsidRPr="0030542D">
        <w:rPr>
          <w:rFonts w:ascii="Arial Narrow" w:eastAsia="Arial Unicode MS" w:hAnsi="Arial Narrow" w:cs="Arial Unicode MS"/>
          <w:sz w:val="28"/>
          <w:szCs w:val="28"/>
        </w:rPr>
        <w:t>; y,</w:t>
      </w:r>
    </w:p>
    <w:p w:rsidR="00AC5167" w:rsidRPr="00CA201B" w:rsidRDefault="00AC5167" w:rsidP="00AC5167">
      <w:pPr>
        <w:pStyle w:val="Sinespaciado"/>
        <w:spacing w:line="360" w:lineRule="auto"/>
        <w:ind w:firstLine="709"/>
        <w:jc w:val="both"/>
        <w:rPr>
          <w:rFonts w:ascii="Arial Narrow" w:eastAsia="Arial Unicode MS" w:hAnsi="Arial Narrow" w:cs="Arial Unicode MS"/>
          <w:b/>
          <w:sz w:val="16"/>
          <w:szCs w:val="16"/>
        </w:rPr>
      </w:pPr>
    </w:p>
    <w:p w:rsidR="00AC5167" w:rsidRPr="00A226E4" w:rsidRDefault="00AC5167" w:rsidP="00AC5167">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L T A N D O</w:t>
      </w:r>
    </w:p>
    <w:p w:rsidR="00AC5167" w:rsidRPr="000E35D5" w:rsidRDefault="00AC5167" w:rsidP="00AC5167">
      <w:pPr>
        <w:pStyle w:val="Sinespaciado"/>
        <w:spacing w:line="360" w:lineRule="auto"/>
        <w:ind w:firstLine="709"/>
        <w:jc w:val="both"/>
        <w:rPr>
          <w:rFonts w:ascii="Arial Narrow" w:eastAsia="Arial Unicode MS" w:hAnsi="Arial Narrow" w:cs="Arial Unicode MS"/>
          <w:b/>
          <w:sz w:val="16"/>
          <w:szCs w:val="16"/>
        </w:rPr>
      </w:pPr>
    </w:p>
    <w:p w:rsidR="00AC5167" w:rsidRDefault="00AC5167" w:rsidP="00DB5157">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b/>
          <w:sz w:val="28"/>
          <w:szCs w:val="28"/>
        </w:rPr>
        <w:t xml:space="preserve">ÚNICO.- </w:t>
      </w:r>
      <w:r w:rsidRPr="00A226E4">
        <w:rPr>
          <w:rFonts w:ascii="Arial Narrow" w:eastAsia="Arial Unicode MS" w:hAnsi="Arial Narrow" w:cs="Arial Unicode MS"/>
          <w:sz w:val="28"/>
          <w:szCs w:val="28"/>
        </w:rPr>
        <w:t xml:space="preserve">Mediante acuerdo de </w:t>
      </w:r>
      <w:r w:rsidR="00573A41">
        <w:rPr>
          <w:rFonts w:ascii="Arial Narrow" w:eastAsia="Arial Unicode MS" w:hAnsi="Arial Narrow" w:cs="Arial Unicode MS"/>
          <w:sz w:val="28"/>
          <w:szCs w:val="28"/>
        </w:rPr>
        <w:t>diez de febrero de dos mil veinte</w:t>
      </w:r>
      <w:r>
        <w:rPr>
          <w:rFonts w:ascii="Arial Narrow" w:eastAsia="Arial Unicode MS" w:hAnsi="Arial Narrow" w:cs="Arial Unicode MS"/>
          <w:sz w:val="28"/>
          <w:szCs w:val="28"/>
        </w:rPr>
        <w:t xml:space="preserve">, se tuvo por recibido escrito firmado por </w:t>
      </w:r>
      <w:r w:rsidR="00A65CCB">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xml:space="preserve">, promoviendo juicio contencioso administrativo en contra del </w:t>
      </w:r>
      <w:r w:rsidR="00573A41">
        <w:rPr>
          <w:rFonts w:ascii="Arial Narrow" w:eastAsia="Arial Unicode MS" w:hAnsi="Arial Narrow" w:cs="Arial Unicode MS"/>
          <w:sz w:val="28"/>
          <w:szCs w:val="28"/>
        </w:rPr>
        <w:t>H. Ayuntamiento de San Luis Potosí y del Director de Comercio del mismo de la capital</w:t>
      </w:r>
      <w:r>
        <w:rPr>
          <w:rFonts w:ascii="Arial Narrow" w:eastAsia="Arial Unicode MS" w:hAnsi="Arial Narrow" w:cs="Arial Unicode MS"/>
          <w:sz w:val="28"/>
          <w:szCs w:val="28"/>
        </w:rPr>
        <w:t>;</w:t>
      </w:r>
      <w:r w:rsidRPr="0048079B">
        <w:rPr>
          <w:rFonts w:ascii="Arial Narrow" w:hAnsi="Arial Narrow" w:cs="Arial"/>
          <w:sz w:val="28"/>
          <w:szCs w:val="28"/>
        </w:rPr>
        <w:t xml:space="preserve"> </w:t>
      </w:r>
      <w:r w:rsidRPr="0048079B">
        <w:rPr>
          <w:rFonts w:ascii="Arial Narrow" w:eastAsia="Arial Unicode MS" w:hAnsi="Arial Narrow" w:cs="Arial Unicode MS"/>
          <w:sz w:val="28"/>
          <w:szCs w:val="28"/>
        </w:rPr>
        <w:t>por la n</w:t>
      </w:r>
      <w:r w:rsidRPr="00A226E4">
        <w:rPr>
          <w:rFonts w:ascii="Arial Narrow" w:eastAsia="Arial Unicode MS" w:hAnsi="Arial Narrow" w:cs="Arial Unicode MS"/>
          <w:sz w:val="28"/>
          <w:szCs w:val="28"/>
        </w:rPr>
        <w:t xml:space="preserve">ulidad </w:t>
      </w:r>
      <w:r w:rsidR="00573A41">
        <w:rPr>
          <w:rFonts w:ascii="Arial Narrow" w:eastAsia="Arial Unicode MS" w:hAnsi="Arial Narrow" w:cs="Arial Unicode MS"/>
          <w:sz w:val="28"/>
          <w:szCs w:val="28"/>
        </w:rPr>
        <w:t>de la resolución administrativa de fecha dieciocho de octubre de dos mil diecinueve, signada por el Director de Comercio del H. Ayuntamiento de San Luis Potosí, mediante la cual se le determina una multa por quince unidades de medida y actualización; de lo cual tuvo conocimiento el día veintisiete de enero de dos mil veinte</w:t>
      </w:r>
      <w:r w:rsidRPr="003152D0">
        <w:rPr>
          <w:rFonts w:ascii="Arial Narrow" w:eastAsia="Arial Unicode MS" w:hAnsi="Arial Narrow" w:cs="Arial Unicode MS"/>
          <w:sz w:val="28"/>
          <w:szCs w:val="28"/>
        </w:rPr>
        <w:t>.</w:t>
      </w:r>
      <w:r>
        <w:rPr>
          <w:rFonts w:ascii="Arial Narrow" w:eastAsia="Arial Unicode MS" w:hAnsi="Arial Narrow" w:cs="Arial Unicode MS"/>
          <w:i/>
          <w:sz w:val="28"/>
          <w:szCs w:val="28"/>
        </w:rPr>
        <w:t xml:space="preserve"> </w:t>
      </w:r>
      <w:r>
        <w:rPr>
          <w:rFonts w:ascii="Arial Narrow" w:eastAsia="Arial Unicode MS" w:hAnsi="Arial Narrow" w:cs="Arial Unicode MS"/>
          <w:sz w:val="28"/>
          <w:szCs w:val="28"/>
        </w:rPr>
        <w:t>En el propio auto</w:t>
      </w:r>
      <w:r w:rsidRPr="00A226E4">
        <w:rPr>
          <w:rFonts w:ascii="Arial Narrow" w:eastAsia="Arial Unicode MS" w:hAnsi="Arial Narrow" w:cs="Arial Unicode MS"/>
          <w:sz w:val="28"/>
          <w:szCs w:val="28"/>
        </w:rPr>
        <w:t>, se admitió a trámite la demanda y se ordenó correr traslado a la</w:t>
      </w:r>
      <w:r w:rsidR="004C3C9A">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autoridad</w:t>
      </w:r>
      <w:r w:rsidR="004C3C9A">
        <w:rPr>
          <w:rFonts w:ascii="Arial Narrow" w:eastAsia="Arial Unicode MS" w:hAnsi="Arial Narrow" w:cs="Arial Unicode MS"/>
          <w:sz w:val="28"/>
          <w:szCs w:val="28"/>
        </w:rPr>
        <w:t>es</w:t>
      </w:r>
      <w:r w:rsidRPr="00A226E4">
        <w:rPr>
          <w:rFonts w:ascii="Arial Narrow" w:eastAsia="Arial Unicode MS" w:hAnsi="Arial Narrow" w:cs="Arial Unicode MS"/>
          <w:sz w:val="28"/>
          <w:szCs w:val="28"/>
        </w:rPr>
        <w:t xml:space="preserve"> demandada</w:t>
      </w:r>
      <w:r w:rsidR="004C3C9A">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para que contestara</w:t>
      </w:r>
      <w:r w:rsidR="004C3C9A">
        <w:rPr>
          <w:rFonts w:ascii="Arial Narrow" w:eastAsia="Arial Unicode MS" w:hAnsi="Arial Narrow" w:cs="Arial Unicode MS"/>
          <w:sz w:val="28"/>
          <w:szCs w:val="28"/>
        </w:rPr>
        <w:t>n</w:t>
      </w:r>
      <w:r w:rsidRPr="00A226E4">
        <w:rPr>
          <w:rFonts w:ascii="Arial Narrow" w:eastAsia="Arial Unicode MS" w:hAnsi="Arial Narrow" w:cs="Arial Unicode MS"/>
          <w:sz w:val="28"/>
          <w:szCs w:val="28"/>
        </w:rPr>
        <w:t xml:space="preserve"> dentro del término legal lo que a sus intereses conviniera.</w:t>
      </w:r>
      <w:r w:rsidR="003305AA">
        <w:rPr>
          <w:rFonts w:ascii="Arial Narrow" w:eastAsia="Arial Unicode MS" w:hAnsi="Arial Narrow" w:cs="Arial Unicode MS"/>
          <w:sz w:val="28"/>
          <w:szCs w:val="28"/>
        </w:rPr>
        <w:t xml:space="preserve"> Con auto de veintiuno de febrero de dos mil veinte, </w:t>
      </w:r>
      <w:r w:rsidR="00571D0B">
        <w:rPr>
          <w:rFonts w:ascii="Arial Narrow" w:eastAsia="Arial Unicode MS" w:hAnsi="Arial Narrow" w:cs="Arial Unicode MS"/>
          <w:sz w:val="28"/>
          <w:szCs w:val="28"/>
        </w:rPr>
        <w:t>se tuvo a la parte actora por ampliando sus conceptos de impugnación en contra de la resolución de dieciocho de octubre de dos mil diecinueve y que le fuera notificada al actor el siete de febrero de dos mil veinte. S</w:t>
      </w:r>
      <w:r w:rsidR="003305AA">
        <w:rPr>
          <w:rFonts w:ascii="Arial Narrow" w:eastAsia="Arial Unicode MS" w:hAnsi="Arial Narrow" w:cs="Arial Unicode MS"/>
          <w:sz w:val="28"/>
          <w:szCs w:val="28"/>
        </w:rPr>
        <w:t>e concedió la suspensión del acto impugnado.</w:t>
      </w:r>
      <w:r w:rsidRPr="00A226E4">
        <w:rPr>
          <w:rFonts w:ascii="Arial Narrow" w:eastAsia="Arial Unicode MS" w:hAnsi="Arial Narrow" w:cs="Arial Unicode MS"/>
          <w:sz w:val="28"/>
          <w:szCs w:val="28"/>
        </w:rPr>
        <w:t xml:space="preserve"> </w:t>
      </w:r>
      <w:r w:rsidR="003305AA">
        <w:rPr>
          <w:rFonts w:ascii="Arial Narrow" w:eastAsia="Arial Unicode MS" w:hAnsi="Arial Narrow" w:cs="Arial Unicode MS"/>
          <w:sz w:val="28"/>
          <w:szCs w:val="28"/>
        </w:rPr>
        <w:t xml:space="preserve">Mediante proveído de </w:t>
      </w:r>
      <w:r w:rsidRPr="00A226E4">
        <w:rPr>
          <w:rFonts w:ascii="Arial Narrow" w:eastAsia="Arial Unicode MS" w:hAnsi="Arial Narrow" w:cs="Arial Unicode MS"/>
          <w:sz w:val="28"/>
          <w:szCs w:val="28"/>
        </w:rPr>
        <w:t xml:space="preserve">fecha </w:t>
      </w:r>
      <w:r w:rsidR="003305AA">
        <w:rPr>
          <w:rFonts w:ascii="Arial Narrow" w:eastAsia="Arial Unicode MS" w:hAnsi="Arial Narrow" w:cs="Arial Unicode MS"/>
          <w:sz w:val="28"/>
          <w:szCs w:val="28"/>
        </w:rPr>
        <w:t xml:space="preserve">siete de agosto de </w:t>
      </w:r>
      <w:r w:rsidR="003305AA">
        <w:rPr>
          <w:rFonts w:ascii="Arial Narrow" w:eastAsia="Arial Unicode MS" w:hAnsi="Arial Narrow" w:cs="Arial Unicode MS"/>
          <w:sz w:val="28"/>
          <w:szCs w:val="28"/>
        </w:rPr>
        <w:lastRenderedPageBreak/>
        <w:t>dos mil veinte</w:t>
      </w:r>
      <w:r w:rsidRPr="00A226E4">
        <w:rPr>
          <w:rFonts w:ascii="Arial Narrow" w:eastAsia="Arial Unicode MS" w:hAnsi="Arial Narrow" w:cs="Arial Unicode MS"/>
          <w:sz w:val="28"/>
          <w:szCs w:val="28"/>
        </w:rPr>
        <w:t xml:space="preserve">, se tuvo </w:t>
      </w:r>
      <w:r w:rsidR="003305AA">
        <w:rPr>
          <w:rFonts w:ascii="Arial Narrow" w:eastAsia="Arial Unicode MS" w:hAnsi="Arial Narrow" w:cs="Arial Unicode MS"/>
          <w:sz w:val="28"/>
          <w:szCs w:val="28"/>
        </w:rPr>
        <w:t>a las autoridades por contestada la demanda</w:t>
      </w:r>
      <w:r w:rsidR="00DC0612">
        <w:rPr>
          <w:rFonts w:ascii="Arial Narrow" w:eastAsia="Arial Unicode MS" w:hAnsi="Arial Narrow" w:cs="Arial Unicode MS"/>
          <w:sz w:val="28"/>
          <w:szCs w:val="28"/>
        </w:rPr>
        <w:t xml:space="preserve"> y la ampliación de la misma</w:t>
      </w:r>
      <w:r>
        <w:rPr>
          <w:rFonts w:ascii="Arial Narrow" w:eastAsia="Arial Unicode MS" w:hAnsi="Arial Narrow" w:cs="Arial Unicode MS"/>
          <w:sz w:val="28"/>
          <w:szCs w:val="28"/>
        </w:rPr>
        <w:t xml:space="preserve">, </w:t>
      </w:r>
      <w:r w:rsidR="003305AA">
        <w:rPr>
          <w:rFonts w:ascii="Arial Narrow" w:eastAsia="Arial Unicode MS" w:hAnsi="Arial Narrow" w:cs="Arial Unicode MS"/>
          <w:sz w:val="28"/>
          <w:szCs w:val="28"/>
        </w:rPr>
        <w:t xml:space="preserve">por lo que con la copia simple y anexos, se ordenó correr traslado a la parte actora, para que dentro del término de cinco días hábiles manifestara lo que a su interés conviniera. </w:t>
      </w:r>
      <w:r w:rsidR="00DD320D">
        <w:rPr>
          <w:rFonts w:ascii="Arial Narrow" w:eastAsia="Arial Unicode MS" w:hAnsi="Arial Narrow" w:cs="Arial Unicode MS"/>
          <w:sz w:val="28"/>
          <w:szCs w:val="28"/>
        </w:rPr>
        <w:t xml:space="preserve">En el propio </w:t>
      </w:r>
      <w:r w:rsidR="00DB5157">
        <w:rPr>
          <w:rFonts w:ascii="Arial Narrow" w:eastAsia="Arial Unicode MS" w:hAnsi="Arial Narrow" w:cs="Arial Unicode MS"/>
          <w:sz w:val="28"/>
          <w:szCs w:val="28"/>
        </w:rPr>
        <w:t>auto, se tuvieron por ofrecidas y admitidas las pruebas documentales de las partes, asimismo, se tuvieron por ofrecidas las pruebas supervenientes del actor, con cuya copia se ordenó correr traslado a la autoridad demandada, para que dentro del término de tres días hábiles manifestaran lo que a su interés conviniera</w:t>
      </w:r>
      <w:r w:rsidR="00DE2497">
        <w:rPr>
          <w:rFonts w:ascii="Arial Narrow" w:eastAsia="Arial Unicode MS" w:hAnsi="Arial Narrow" w:cs="Arial Unicode MS"/>
          <w:sz w:val="28"/>
          <w:szCs w:val="28"/>
        </w:rPr>
        <w:t xml:space="preserve">. Mediante auto de diez de junio de dos mil veintiuno, </w:t>
      </w:r>
      <w:r w:rsidRPr="00A226E4">
        <w:rPr>
          <w:rFonts w:ascii="Arial Narrow" w:eastAsia="Arial Unicode MS" w:hAnsi="Arial Narrow" w:cs="Arial Unicode MS"/>
          <w:sz w:val="28"/>
          <w:szCs w:val="28"/>
        </w:rPr>
        <w:t>se fijó fecha y hora para la audiencia final</w:t>
      </w:r>
      <w:r w:rsidR="00DB5157">
        <w:rPr>
          <w:rFonts w:ascii="Arial Narrow" w:eastAsia="Arial Unicode MS" w:hAnsi="Arial Narrow" w:cs="Arial Unicode MS"/>
          <w:sz w:val="28"/>
          <w:szCs w:val="28"/>
        </w:rPr>
        <w:t>, la cual tuvo verificativo</w:t>
      </w:r>
      <w:r w:rsidR="001470C5">
        <w:rPr>
          <w:rFonts w:ascii="Arial Narrow" w:eastAsia="Arial Unicode MS" w:hAnsi="Arial Narrow" w:cs="Arial Unicode MS"/>
          <w:sz w:val="28"/>
          <w:szCs w:val="28"/>
        </w:rPr>
        <w:t xml:space="preserve"> </w:t>
      </w:r>
      <w:r w:rsidR="00DE2497">
        <w:rPr>
          <w:rFonts w:ascii="Arial Narrow" w:eastAsia="Arial Unicode MS" w:hAnsi="Arial Narrow" w:cs="Arial Unicode MS"/>
          <w:sz w:val="28"/>
          <w:szCs w:val="28"/>
        </w:rPr>
        <w:t>el nueve de julio de dos mil veintiuno</w:t>
      </w:r>
      <w:r>
        <w:rPr>
          <w:rFonts w:ascii="Arial Narrow" w:hAnsi="Arial Narrow" w:cs="Arial"/>
          <w:sz w:val="28"/>
          <w:szCs w:val="28"/>
        </w:rPr>
        <w:t>, sin la asistencia de las partes. A</w:t>
      </w:r>
      <w:r w:rsidRPr="00A226E4">
        <w:rPr>
          <w:rFonts w:ascii="Arial Narrow" w:eastAsia="Arial Unicode MS" w:hAnsi="Arial Narrow" w:cs="Arial Unicode MS"/>
          <w:sz w:val="28"/>
          <w:szCs w:val="28"/>
        </w:rPr>
        <w:t>cto continuo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el Secretario de Acuerdos de la Tercera Sala Unitaria, dio cuenta con el escrito de demanda y reseñó las pruebas ofrecidas por la</w:t>
      </w:r>
      <w:r>
        <w:rPr>
          <w:rFonts w:ascii="Arial Narrow" w:eastAsia="Arial Unicode MS" w:hAnsi="Arial Narrow" w:cs="Arial Unicode MS"/>
          <w:sz w:val="28"/>
          <w:szCs w:val="28"/>
        </w:rPr>
        <w:t xml:space="preserve"> parte actora</w:t>
      </w:r>
      <w:r w:rsidRPr="00A226E4">
        <w:rPr>
          <w:rFonts w:ascii="Arial Narrow" w:eastAsia="Arial Unicode MS" w:hAnsi="Arial Narrow" w:cs="Arial Unicode MS"/>
          <w:sz w:val="28"/>
          <w:szCs w:val="28"/>
        </w:rPr>
        <w:t>; en periodo de pruebas, se tuvieron por desahogadas las que así lo ameritaron; en etapa de alegatos</w:t>
      </w:r>
      <w:r>
        <w:rPr>
          <w:rFonts w:ascii="Arial Narrow" w:eastAsia="Arial Unicode MS" w:hAnsi="Arial Narrow" w:cs="Arial Unicode MS"/>
          <w:sz w:val="28"/>
          <w:szCs w:val="28"/>
        </w:rPr>
        <w:t xml:space="preserve">, se dio cuenta con los que por </w:t>
      </w:r>
      <w:r w:rsidR="00DE2497">
        <w:rPr>
          <w:rFonts w:ascii="Arial Narrow" w:eastAsia="Arial Unicode MS" w:hAnsi="Arial Narrow" w:cs="Arial Unicode MS"/>
          <w:sz w:val="28"/>
          <w:szCs w:val="28"/>
        </w:rPr>
        <w:t>escrito formuló la parte actora, no así la demandada</w:t>
      </w:r>
      <w:r w:rsidRPr="00A226E4">
        <w:rPr>
          <w:rFonts w:ascii="Arial Narrow" w:hAnsi="Arial Narrow" w:cs="Arial"/>
          <w:sz w:val="28"/>
          <w:szCs w:val="28"/>
        </w:rPr>
        <w:t xml:space="preserve">; </w:t>
      </w:r>
      <w:r w:rsidRPr="00A226E4">
        <w:rPr>
          <w:rFonts w:ascii="Arial Narrow" w:hAnsi="Arial Narrow"/>
          <w:sz w:val="28"/>
          <w:szCs w:val="28"/>
        </w:rPr>
        <w:t>concluida la audiencia se citó para resolver en definitiva.</w:t>
      </w:r>
    </w:p>
    <w:p w:rsidR="00AC5167" w:rsidRPr="000D106D" w:rsidRDefault="00AC5167" w:rsidP="00AC5167">
      <w:pPr>
        <w:pStyle w:val="Sinespaciado"/>
        <w:spacing w:line="360" w:lineRule="auto"/>
        <w:ind w:firstLine="709"/>
        <w:jc w:val="both"/>
        <w:rPr>
          <w:rFonts w:ascii="Arial Narrow" w:eastAsia="Arial Unicode MS" w:hAnsi="Arial Narrow" w:cs="Arial Unicode MS"/>
          <w:sz w:val="16"/>
          <w:szCs w:val="16"/>
        </w:rPr>
      </w:pPr>
    </w:p>
    <w:p w:rsidR="00AC5167" w:rsidRPr="00A226E4" w:rsidRDefault="00AC5167" w:rsidP="00AC5167">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C O N S I D E R A N D O</w:t>
      </w:r>
    </w:p>
    <w:p w:rsidR="00AC5167" w:rsidRPr="000D106D" w:rsidRDefault="00AC5167" w:rsidP="00AC5167">
      <w:pPr>
        <w:pStyle w:val="Sinespaciado"/>
        <w:tabs>
          <w:tab w:val="left" w:pos="5821"/>
        </w:tabs>
        <w:spacing w:line="360" w:lineRule="auto"/>
        <w:ind w:firstLine="709"/>
        <w:rPr>
          <w:rFonts w:ascii="Arial Narrow" w:eastAsia="Arial Unicode MS" w:hAnsi="Arial Narrow" w:cs="Arial Unicode MS"/>
          <w:sz w:val="16"/>
          <w:szCs w:val="16"/>
        </w:rPr>
      </w:pPr>
      <w:r w:rsidRPr="00A226E4">
        <w:rPr>
          <w:rFonts w:ascii="Arial Narrow" w:eastAsia="Arial Unicode MS" w:hAnsi="Arial Narrow" w:cs="Arial Unicode MS"/>
          <w:sz w:val="28"/>
          <w:szCs w:val="28"/>
        </w:rPr>
        <w:tab/>
      </w:r>
    </w:p>
    <w:p w:rsidR="00AC5167" w:rsidRPr="00A226E4" w:rsidRDefault="00AC5167" w:rsidP="00AC516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AC5167" w:rsidRPr="00A226E4" w:rsidRDefault="00AC5167" w:rsidP="00AC5167">
      <w:pPr>
        <w:pStyle w:val="Sinespaciado"/>
        <w:spacing w:line="360" w:lineRule="auto"/>
        <w:ind w:firstLine="709"/>
        <w:jc w:val="both"/>
        <w:rPr>
          <w:rFonts w:ascii="Arial Narrow" w:eastAsia="Arial Unicode MS" w:hAnsi="Arial Narrow" w:cs="Arial Unicode MS"/>
          <w:sz w:val="28"/>
          <w:szCs w:val="28"/>
        </w:rPr>
      </w:pPr>
    </w:p>
    <w:p w:rsidR="00E7667E" w:rsidRPr="00E7667E" w:rsidRDefault="00AC5167" w:rsidP="00E7667E">
      <w:pPr>
        <w:spacing w:after="0" w:line="360" w:lineRule="auto"/>
        <w:ind w:firstLine="708"/>
        <w:jc w:val="both"/>
        <w:rPr>
          <w:rFonts w:ascii="Arial Narrow" w:eastAsia="Calibri" w:hAnsi="Arial Narrow" w:cs="Arial"/>
          <w:sz w:val="28"/>
          <w:szCs w:val="28"/>
        </w:rPr>
      </w:pPr>
      <w:r w:rsidRPr="0072355A">
        <w:rPr>
          <w:rFonts w:ascii="Arial Narrow" w:hAnsi="Arial Narrow" w:cs="Arial"/>
          <w:b/>
          <w:sz w:val="28"/>
          <w:szCs w:val="28"/>
        </w:rPr>
        <w:t>SEGUNDO.-</w:t>
      </w:r>
      <w:r>
        <w:rPr>
          <w:rFonts w:ascii="Arial Narrow" w:hAnsi="Arial Narrow" w:cs="Arial"/>
          <w:sz w:val="28"/>
          <w:szCs w:val="28"/>
        </w:rPr>
        <w:t xml:space="preserve"> </w:t>
      </w:r>
      <w:r w:rsidR="00E7667E" w:rsidRPr="00E7667E">
        <w:rPr>
          <w:rFonts w:ascii="Arial Narrow" w:eastAsia="Calibri" w:hAnsi="Arial Narrow" w:cs="Arial"/>
          <w:sz w:val="28"/>
          <w:szCs w:val="28"/>
        </w:rPr>
        <w:t>De conformidad con lo establecido en el artículo 221 del Código Procesal Administrativo para el Estado de San Luis Potosí, esta Sala Unitaria procede a analizar la legitimación de los comparecientes en este juicio.</w:t>
      </w:r>
    </w:p>
    <w:p w:rsidR="00E7667E" w:rsidRPr="00E7667E" w:rsidRDefault="00E7667E" w:rsidP="00E7667E">
      <w:pPr>
        <w:spacing w:after="0" w:line="360" w:lineRule="auto"/>
        <w:ind w:firstLine="708"/>
        <w:jc w:val="both"/>
        <w:rPr>
          <w:rFonts w:ascii="Arial Narrow" w:eastAsia="Calibri" w:hAnsi="Arial Narrow" w:cs="Arial"/>
          <w:sz w:val="28"/>
          <w:szCs w:val="28"/>
        </w:rPr>
      </w:pPr>
    </w:p>
    <w:p w:rsidR="00E7667E" w:rsidRPr="00E7667E" w:rsidRDefault="00E7667E" w:rsidP="00E7667E">
      <w:pPr>
        <w:spacing w:after="0" w:line="360" w:lineRule="auto"/>
        <w:ind w:firstLine="708"/>
        <w:jc w:val="both"/>
        <w:rPr>
          <w:rFonts w:ascii="Arial Narrow" w:eastAsia="Calibri" w:hAnsi="Arial Narrow" w:cs="Arial"/>
          <w:sz w:val="28"/>
          <w:szCs w:val="28"/>
        </w:rPr>
      </w:pPr>
      <w:r w:rsidRPr="00E7667E">
        <w:rPr>
          <w:rFonts w:ascii="Arial Narrow" w:eastAsia="Calibri" w:hAnsi="Arial Narrow" w:cs="Arial"/>
          <w:sz w:val="28"/>
          <w:szCs w:val="28"/>
        </w:rPr>
        <w:lastRenderedPageBreak/>
        <w:t>La legitimación en el proceso de la parte actora se encuentra plenamente acreditada, ya que impugna en el presente juicio</w:t>
      </w:r>
      <w:r w:rsidR="000D106D">
        <w:rPr>
          <w:rFonts w:ascii="Arial Narrow" w:eastAsia="Calibri" w:hAnsi="Arial Narrow" w:cs="Arial"/>
          <w:sz w:val="28"/>
          <w:szCs w:val="28"/>
        </w:rPr>
        <w:t>,</w:t>
      </w:r>
      <w:r w:rsidRPr="00E7667E">
        <w:rPr>
          <w:rFonts w:ascii="Arial Narrow" w:eastAsia="Calibri" w:hAnsi="Arial Narrow" w:cs="Arial"/>
          <w:sz w:val="28"/>
          <w:szCs w:val="28"/>
        </w:rPr>
        <w:t xml:space="preserve"> la determinación de multa por </w:t>
      </w:r>
      <w:r w:rsidR="001F42BE">
        <w:rPr>
          <w:rFonts w:ascii="Arial Narrow" w:eastAsia="Calibri" w:hAnsi="Arial Narrow" w:cs="Arial"/>
          <w:sz w:val="28"/>
          <w:szCs w:val="28"/>
        </w:rPr>
        <w:t>quince</w:t>
      </w:r>
      <w:r w:rsidRPr="00E7667E">
        <w:rPr>
          <w:rFonts w:ascii="Arial Narrow" w:eastAsia="Calibri" w:hAnsi="Arial Narrow" w:cs="Arial"/>
          <w:sz w:val="28"/>
          <w:szCs w:val="28"/>
        </w:rPr>
        <w:t xml:space="preserve"> unidades de medida y actualización, la cual fue impuesta a través de la resolución de fecha </w:t>
      </w:r>
      <w:r w:rsidR="001F42BE">
        <w:rPr>
          <w:rFonts w:ascii="Arial Narrow" w:eastAsia="Calibri" w:hAnsi="Arial Narrow" w:cs="Arial"/>
          <w:sz w:val="28"/>
          <w:szCs w:val="28"/>
        </w:rPr>
        <w:t>dieciocho de octubre de dos mil veintiuno</w:t>
      </w:r>
      <w:r w:rsidRPr="00E7667E">
        <w:rPr>
          <w:rFonts w:ascii="Arial Narrow" w:eastAsia="Calibri" w:hAnsi="Arial Narrow" w:cs="Arial"/>
          <w:sz w:val="28"/>
          <w:szCs w:val="28"/>
        </w:rPr>
        <w:t xml:space="preserve">, emitida por el Director de Comercio del Ayuntamiento de San Luis Potosí, la cual obra agregada en </w:t>
      </w:r>
      <w:r w:rsidR="001F42BE">
        <w:rPr>
          <w:rFonts w:ascii="Arial Narrow" w:eastAsia="Calibri" w:hAnsi="Arial Narrow" w:cs="Arial"/>
          <w:sz w:val="28"/>
          <w:szCs w:val="28"/>
        </w:rPr>
        <w:t>copia simple a fojas 21 a 23 de autos y que fue acompañada en copia certificada por la autoridad demandada al producir su contestación de demanda (f. 98 a 100)</w:t>
      </w:r>
      <w:r w:rsidR="001F42BE" w:rsidRPr="00E7667E">
        <w:rPr>
          <w:rFonts w:ascii="Arial Narrow" w:eastAsia="Calibri" w:hAnsi="Arial Narrow" w:cs="Arial"/>
          <w:sz w:val="28"/>
          <w:szCs w:val="28"/>
        </w:rPr>
        <w:t xml:space="preserve"> </w:t>
      </w:r>
      <w:r w:rsidRPr="00E7667E">
        <w:rPr>
          <w:rFonts w:ascii="Arial Narrow" w:eastAsia="Calibri" w:hAnsi="Arial Narrow" w:cs="Arial"/>
          <w:sz w:val="28"/>
          <w:szCs w:val="28"/>
        </w:rPr>
        <w:t xml:space="preserve">por la que se establece una sanción y se tiene al demandante con el carácter de infractor, de ahí que resulta innegable que </w:t>
      </w:r>
      <w:r w:rsidR="001F42BE">
        <w:rPr>
          <w:rFonts w:ascii="Arial Narrow" w:eastAsia="Calibri" w:hAnsi="Arial Narrow" w:cs="Arial"/>
          <w:sz w:val="28"/>
          <w:szCs w:val="28"/>
        </w:rPr>
        <w:t>el</w:t>
      </w:r>
      <w:r w:rsidRPr="00E7667E">
        <w:rPr>
          <w:rFonts w:ascii="Arial Narrow" w:eastAsia="Calibri" w:hAnsi="Arial Narrow" w:cs="Arial"/>
          <w:sz w:val="28"/>
          <w:szCs w:val="28"/>
        </w:rPr>
        <w:t xml:space="preserve"> accionante cuenta con legitimación para demandar dicho acto en el presente juicio, pues en el caso la sanción correspondiente le genera un agravio directo en su patrimonio personal.</w:t>
      </w:r>
    </w:p>
    <w:p w:rsidR="00E7667E" w:rsidRPr="00E7667E" w:rsidRDefault="00E7667E" w:rsidP="00E7667E">
      <w:pPr>
        <w:autoSpaceDE w:val="0"/>
        <w:autoSpaceDN w:val="0"/>
        <w:adjustRightInd w:val="0"/>
        <w:spacing w:after="0" w:line="360" w:lineRule="auto"/>
        <w:jc w:val="both"/>
        <w:rPr>
          <w:rFonts w:ascii="Arial Narrow" w:eastAsia="Calibri" w:hAnsi="Arial Narrow" w:cs="Arial"/>
          <w:sz w:val="28"/>
          <w:szCs w:val="28"/>
        </w:rPr>
      </w:pPr>
    </w:p>
    <w:p w:rsidR="00E7667E" w:rsidRPr="00E7667E" w:rsidRDefault="00E7667E" w:rsidP="00E7667E">
      <w:pPr>
        <w:autoSpaceDE w:val="0"/>
        <w:autoSpaceDN w:val="0"/>
        <w:adjustRightInd w:val="0"/>
        <w:spacing w:after="0" w:line="360" w:lineRule="auto"/>
        <w:ind w:firstLine="708"/>
        <w:jc w:val="both"/>
        <w:rPr>
          <w:rFonts w:ascii="Arial Narrow" w:eastAsia="Calibri" w:hAnsi="Arial Narrow" w:cs="Arial"/>
          <w:sz w:val="28"/>
          <w:szCs w:val="28"/>
        </w:rPr>
      </w:pPr>
      <w:r w:rsidRPr="00E7667E">
        <w:rPr>
          <w:rFonts w:ascii="Arial Narrow" w:eastAsia="Calibri" w:hAnsi="Arial Narrow" w:cs="Arial"/>
          <w:sz w:val="28"/>
          <w:szCs w:val="28"/>
        </w:rPr>
        <w:t>La documentales referidas en supralíneas gozan de valor probatorio  pleno</w:t>
      </w:r>
      <w:r w:rsidR="00640228">
        <w:rPr>
          <w:rFonts w:ascii="Arial Narrow" w:eastAsia="Calibri" w:hAnsi="Arial Narrow" w:cs="Arial"/>
          <w:sz w:val="28"/>
          <w:szCs w:val="28"/>
        </w:rPr>
        <w:t>,</w:t>
      </w:r>
      <w:r w:rsidR="00426955">
        <w:rPr>
          <w:rFonts w:ascii="Arial Narrow" w:eastAsia="Calibri" w:hAnsi="Arial Narrow" w:cs="Arial"/>
          <w:sz w:val="28"/>
          <w:szCs w:val="28"/>
        </w:rPr>
        <w:t xml:space="preserve"> </w:t>
      </w:r>
      <w:r w:rsidRPr="00E7667E">
        <w:rPr>
          <w:rFonts w:ascii="Arial Narrow" w:eastAsia="Calibri" w:hAnsi="Arial Narrow" w:cs="Arial"/>
          <w:sz w:val="28"/>
          <w:szCs w:val="28"/>
        </w:rPr>
        <w:t xml:space="preserve">de conformidad con lo establecido en el artículo 72, fracción I </w:t>
      </w:r>
      <w:r w:rsidRPr="00E7667E">
        <w:rPr>
          <w:rFonts w:ascii="Arial Narrow" w:eastAsia="Calibri" w:hAnsi="Arial Narrow" w:cs="Arial"/>
          <w:sz w:val="28"/>
          <w:szCs w:val="28"/>
          <w:lang w:val="es-ES"/>
        </w:rPr>
        <w:t>del Código Procesal Administrativo para el Estado de San Luis Potosí</w:t>
      </w:r>
      <w:r w:rsidRPr="00E7667E">
        <w:rPr>
          <w:rFonts w:ascii="Arial Narrow" w:eastAsia="Calibri" w:hAnsi="Arial Narrow" w:cs="Arial"/>
          <w:sz w:val="28"/>
          <w:szCs w:val="28"/>
        </w:rPr>
        <w:t>.</w:t>
      </w:r>
    </w:p>
    <w:p w:rsidR="00E7667E" w:rsidRPr="00E7667E" w:rsidRDefault="00E7667E" w:rsidP="00E7667E">
      <w:pPr>
        <w:autoSpaceDE w:val="0"/>
        <w:autoSpaceDN w:val="0"/>
        <w:adjustRightInd w:val="0"/>
        <w:spacing w:after="0" w:line="360" w:lineRule="auto"/>
        <w:ind w:firstLine="708"/>
        <w:jc w:val="both"/>
        <w:rPr>
          <w:rFonts w:ascii="Arial Narrow" w:eastAsia="Calibri" w:hAnsi="Arial Narrow" w:cs="Arial"/>
          <w:sz w:val="28"/>
          <w:szCs w:val="28"/>
        </w:rPr>
      </w:pPr>
    </w:p>
    <w:p w:rsidR="00E7667E" w:rsidRPr="00E7667E" w:rsidRDefault="00E7667E" w:rsidP="00E7667E">
      <w:pPr>
        <w:autoSpaceDE w:val="0"/>
        <w:autoSpaceDN w:val="0"/>
        <w:adjustRightInd w:val="0"/>
        <w:spacing w:after="0" w:line="360" w:lineRule="auto"/>
        <w:ind w:firstLine="708"/>
        <w:jc w:val="both"/>
        <w:rPr>
          <w:rFonts w:ascii="Arial Narrow" w:eastAsia="Calibri" w:hAnsi="Arial Narrow" w:cs="Arial"/>
          <w:sz w:val="28"/>
          <w:szCs w:val="28"/>
        </w:rPr>
      </w:pPr>
      <w:r w:rsidRPr="00E7667E">
        <w:rPr>
          <w:rFonts w:ascii="Arial Narrow" w:eastAsia="Calibri" w:hAnsi="Arial Narrow" w:cs="Arial"/>
          <w:sz w:val="28"/>
          <w:szCs w:val="28"/>
        </w:rPr>
        <w:t>Por lo que hace a la personalidad de quien</w:t>
      </w:r>
      <w:r w:rsidR="00801419">
        <w:rPr>
          <w:rFonts w:ascii="Arial Narrow" w:eastAsia="Calibri" w:hAnsi="Arial Narrow" w:cs="Arial"/>
          <w:sz w:val="28"/>
          <w:szCs w:val="28"/>
        </w:rPr>
        <w:t>es comparecen como autoridades demandadas en el presente juicio, respecto a la Síndico Municipal y Representante Legal del H. Ayuntamiento de San Luis Potosí, se encuentra acreditada de conformidad con el artículo 220 del Código Procesal Administrativo para el Estado de San Luis Potosí, con la edición extraordinaria del Periódico Oficial del Estado, publicada el 30 de septiembre de 2018, en la que consta la integración de los cincuenta y ocho Ayuntamientos del Estado, electos para el periodo comprendido entre el 1 de octubre de 2018 y el 30 de septiembre de 2021 y con relación al Director de Comercio del H. Ayuntamiento de San Luis Potosí, con la copia certificada del nombramiento expedido a su favor, mismo cuya copia certificada obra agregada a fojas 89 de autos</w:t>
      </w:r>
      <w:r w:rsidRPr="00E7667E">
        <w:rPr>
          <w:rFonts w:ascii="Arial Narrow" w:eastAsia="Calibri" w:hAnsi="Arial Narrow" w:cs="Arial"/>
          <w:sz w:val="28"/>
          <w:szCs w:val="28"/>
        </w:rPr>
        <w:t>.</w:t>
      </w:r>
    </w:p>
    <w:p w:rsidR="00E7667E" w:rsidRPr="00E7667E" w:rsidRDefault="00E7667E" w:rsidP="00E7667E">
      <w:pPr>
        <w:autoSpaceDE w:val="0"/>
        <w:autoSpaceDN w:val="0"/>
        <w:adjustRightInd w:val="0"/>
        <w:spacing w:after="0" w:line="360" w:lineRule="auto"/>
        <w:jc w:val="both"/>
        <w:rPr>
          <w:rFonts w:ascii="Arial Narrow" w:eastAsia="Calibri" w:hAnsi="Arial Narrow" w:cs="Arial"/>
          <w:sz w:val="28"/>
          <w:szCs w:val="28"/>
        </w:rPr>
      </w:pPr>
    </w:p>
    <w:p w:rsidR="00E7667E" w:rsidRPr="00E7667E" w:rsidRDefault="00E7667E" w:rsidP="00E7667E">
      <w:pPr>
        <w:spacing w:after="0" w:line="360" w:lineRule="auto"/>
        <w:ind w:firstLine="708"/>
        <w:jc w:val="both"/>
        <w:rPr>
          <w:rFonts w:ascii="Arial Narrow" w:eastAsia="Calibri" w:hAnsi="Arial Narrow" w:cs="Arial"/>
          <w:sz w:val="28"/>
          <w:szCs w:val="28"/>
        </w:rPr>
      </w:pPr>
      <w:r w:rsidRPr="00E7667E">
        <w:rPr>
          <w:rFonts w:ascii="Arial Narrow" w:eastAsia="Calibri" w:hAnsi="Arial Narrow" w:cs="Arial"/>
          <w:b/>
          <w:sz w:val="28"/>
          <w:szCs w:val="28"/>
        </w:rPr>
        <w:t xml:space="preserve">TERCERO.- </w:t>
      </w:r>
      <w:r w:rsidRPr="00E7667E">
        <w:rPr>
          <w:rFonts w:ascii="Arial Narrow" w:eastAsia="Calibri" w:hAnsi="Arial Narrow" w:cs="Arial"/>
          <w:sz w:val="28"/>
          <w:szCs w:val="28"/>
        </w:rPr>
        <w:t xml:space="preserve">La existencia del acto impugnado en el presente procedimiento se encuentra acreditada con la exhibición por parte del accionante con la original de la determinación de multa por </w:t>
      </w:r>
      <w:r w:rsidR="005223AC">
        <w:rPr>
          <w:rFonts w:ascii="Arial Narrow" w:eastAsia="Calibri" w:hAnsi="Arial Narrow" w:cs="Arial"/>
          <w:sz w:val="28"/>
          <w:szCs w:val="28"/>
        </w:rPr>
        <w:t>quince unidades de medida y actualización</w:t>
      </w:r>
      <w:r w:rsidRPr="00E7667E">
        <w:rPr>
          <w:rFonts w:ascii="Arial Narrow" w:eastAsia="Calibri" w:hAnsi="Arial Narrow" w:cs="Arial"/>
          <w:sz w:val="28"/>
          <w:szCs w:val="28"/>
        </w:rPr>
        <w:t xml:space="preserve">, la cual fue impuesta a través de la resolución de fecha </w:t>
      </w:r>
      <w:r w:rsidR="005223AC">
        <w:rPr>
          <w:rFonts w:ascii="Arial Narrow" w:eastAsia="Calibri" w:hAnsi="Arial Narrow" w:cs="Arial"/>
          <w:sz w:val="28"/>
          <w:szCs w:val="28"/>
        </w:rPr>
        <w:t>dieciocho de octubre de dos mil diecinueve</w:t>
      </w:r>
      <w:r w:rsidRPr="00E7667E">
        <w:rPr>
          <w:rFonts w:ascii="Arial Narrow" w:eastAsia="Calibri" w:hAnsi="Arial Narrow" w:cs="Arial"/>
          <w:sz w:val="28"/>
          <w:szCs w:val="28"/>
        </w:rPr>
        <w:t xml:space="preserve">, emitida por el Director de Comercio del </w:t>
      </w:r>
      <w:r w:rsidR="005223AC">
        <w:rPr>
          <w:rFonts w:ascii="Arial Narrow" w:eastAsia="Calibri" w:hAnsi="Arial Narrow" w:cs="Arial"/>
          <w:sz w:val="28"/>
          <w:szCs w:val="28"/>
        </w:rPr>
        <w:t xml:space="preserve">H. </w:t>
      </w:r>
      <w:r w:rsidRPr="00E7667E">
        <w:rPr>
          <w:rFonts w:ascii="Arial Narrow" w:eastAsia="Calibri" w:hAnsi="Arial Narrow" w:cs="Arial"/>
          <w:sz w:val="28"/>
          <w:szCs w:val="28"/>
        </w:rPr>
        <w:t>Ayuntamiento de San Luis Potosí, la cual obra agregada en original a foja 25</w:t>
      </w:r>
      <w:r w:rsidR="005223AC">
        <w:rPr>
          <w:rFonts w:ascii="Arial Narrow" w:eastAsia="Calibri" w:hAnsi="Arial Narrow" w:cs="Arial"/>
          <w:sz w:val="28"/>
          <w:szCs w:val="28"/>
        </w:rPr>
        <w:t xml:space="preserve"> y 24</w:t>
      </w:r>
      <w:r w:rsidRPr="00E7667E">
        <w:rPr>
          <w:rFonts w:ascii="Arial Narrow" w:eastAsia="Calibri" w:hAnsi="Arial Narrow" w:cs="Arial"/>
          <w:sz w:val="28"/>
          <w:szCs w:val="28"/>
        </w:rPr>
        <w:t xml:space="preserve"> de autos</w:t>
      </w:r>
      <w:r w:rsidR="005223AC">
        <w:rPr>
          <w:rFonts w:ascii="Arial Narrow" w:eastAsia="Calibri" w:hAnsi="Arial Narrow" w:cs="Arial"/>
          <w:sz w:val="28"/>
          <w:szCs w:val="28"/>
        </w:rPr>
        <w:t>;</w:t>
      </w:r>
      <w:r w:rsidRPr="00E7667E">
        <w:rPr>
          <w:rFonts w:ascii="Arial Narrow" w:eastAsia="Calibri" w:hAnsi="Arial Narrow" w:cs="Arial"/>
          <w:sz w:val="27"/>
          <w:szCs w:val="27"/>
          <w:lang w:eastAsia="es-MX"/>
        </w:rPr>
        <w:t xml:space="preserve"> </w:t>
      </w:r>
      <w:r w:rsidRPr="00E7667E">
        <w:rPr>
          <w:rFonts w:ascii="Arial Narrow" w:eastAsia="Calibri" w:hAnsi="Arial Narrow" w:cs="Arial"/>
          <w:bCs/>
          <w:sz w:val="28"/>
          <w:szCs w:val="28"/>
        </w:rPr>
        <w:t>documental que goza de valor probatorio pleno</w:t>
      </w:r>
      <w:r w:rsidR="005223AC">
        <w:rPr>
          <w:rFonts w:ascii="Arial Narrow" w:eastAsia="Calibri" w:hAnsi="Arial Narrow" w:cs="Arial"/>
          <w:bCs/>
          <w:sz w:val="28"/>
          <w:szCs w:val="28"/>
        </w:rPr>
        <w:t>,</w:t>
      </w:r>
      <w:r w:rsidRPr="00E7667E">
        <w:rPr>
          <w:rFonts w:ascii="Arial Narrow" w:eastAsia="Calibri" w:hAnsi="Arial Narrow" w:cs="Arial"/>
          <w:bCs/>
          <w:sz w:val="28"/>
          <w:szCs w:val="28"/>
        </w:rPr>
        <w:t xml:space="preserve"> en términos del artículo 72 fracción I, en relación con el diverso 91, ambos del Código Procesal Administrativo para el Estado de San Luis Potosí.</w:t>
      </w:r>
    </w:p>
    <w:p w:rsidR="00E7667E" w:rsidRPr="00E7667E" w:rsidRDefault="00E7667E" w:rsidP="00E7667E">
      <w:pPr>
        <w:spacing w:after="0" w:line="360" w:lineRule="auto"/>
        <w:ind w:firstLine="708"/>
        <w:jc w:val="both"/>
        <w:rPr>
          <w:rFonts w:ascii="Arial Narrow" w:eastAsia="Calibri" w:hAnsi="Arial Narrow" w:cs="Arial"/>
          <w:b/>
          <w:sz w:val="28"/>
          <w:szCs w:val="28"/>
        </w:rPr>
      </w:pPr>
    </w:p>
    <w:p w:rsidR="00E7667E" w:rsidRPr="00E7667E" w:rsidRDefault="00E7667E" w:rsidP="00E7667E">
      <w:pPr>
        <w:spacing w:after="0" w:line="360" w:lineRule="auto"/>
        <w:ind w:firstLine="708"/>
        <w:jc w:val="both"/>
        <w:rPr>
          <w:rFonts w:ascii="Arial Narrow" w:eastAsia="Calibri" w:hAnsi="Arial Narrow" w:cs="Arial"/>
          <w:sz w:val="28"/>
          <w:szCs w:val="28"/>
        </w:rPr>
      </w:pPr>
      <w:r w:rsidRPr="00E7667E">
        <w:rPr>
          <w:rFonts w:ascii="Arial Narrow" w:eastAsia="Calibri" w:hAnsi="Arial Narrow" w:cs="Arial"/>
          <w:sz w:val="28"/>
          <w:szCs w:val="28"/>
        </w:rPr>
        <w:t>En virtud de lo anterior, la litis planteada en el presente Juicio Contencioso Administrativo consiste en analizar y como consecuencia determinar la legalidad o ilegalidad del acto administrativo referido en el párrafo precedente.</w:t>
      </w:r>
    </w:p>
    <w:p w:rsidR="00E7667E" w:rsidRPr="00E7667E" w:rsidRDefault="00E7667E" w:rsidP="00E7667E">
      <w:pPr>
        <w:spacing w:after="0" w:line="360" w:lineRule="auto"/>
        <w:ind w:firstLine="708"/>
        <w:jc w:val="both"/>
        <w:rPr>
          <w:rFonts w:ascii="Arial Narrow" w:eastAsia="Calibri" w:hAnsi="Arial Narrow" w:cs="Arial"/>
          <w:b/>
          <w:sz w:val="28"/>
          <w:szCs w:val="28"/>
        </w:rPr>
      </w:pPr>
    </w:p>
    <w:p w:rsidR="00E7667E" w:rsidRDefault="00E7667E" w:rsidP="00E7667E">
      <w:pPr>
        <w:spacing w:after="0" w:line="360" w:lineRule="auto"/>
        <w:ind w:firstLine="708"/>
        <w:jc w:val="both"/>
        <w:rPr>
          <w:rFonts w:ascii="Arial Narrow" w:eastAsia="Calibri" w:hAnsi="Arial Narrow" w:cs="Arial"/>
          <w:sz w:val="28"/>
          <w:szCs w:val="28"/>
        </w:rPr>
      </w:pPr>
      <w:r w:rsidRPr="00E7667E">
        <w:rPr>
          <w:rFonts w:ascii="Arial Narrow" w:eastAsia="Calibri" w:hAnsi="Arial Narrow" w:cs="Arial"/>
          <w:b/>
          <w:sz w:val="28"/>
          <w:szCs w:val="28"/>
        </w:rPr>
        <w:t xml:space="preserve">CUARTO.- </w:t>
      </w:r>
      <w:r w:rsidRPr="00E7667E">
        <w:rPr>
          <w:rFonts w:ascii="Arial Narrow" w:eastAsia="Calibri" w:hAnsi="Arial Narrow"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w:t>
      </w:r>
      <w:r w:rsidRPr="00E7667E">
        <w:rPr>
          <w:rFonts w:ascii="Arial Narrow" w:eastAsia="Calibri" w:hAnsi="Arial Narrow" w:cs="Arial"/>
          <w:sz w:val="28"/>
          <w:szCs w:val="28"/>
          <w:lang w:val="es-ES"/>
        </w:rPr>
        <w:t>del Código Procesal Administrativo para el Estado de San Luis Potosí</w:t>
      </w:r>
      <w:r w:rsidRPr="00E7667E">
        <w:rPr>
          <w:rFonts w:ascii="Arial Narrow" w:eastAsia="Calibri" w:hAnsi="Arial Narrow"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076E78" w:rsidRPr="00E7667E" w:rsidRDefault="00076E78" w:rsidP="00E7667E">
      <w:pPr>
        <w:spacing w:after="0" w:line="360" w:lineRule="auto"/>
        <w:ind w:firstLine="708"/>
        <w:jc w:val="both"/>
        <w:rPr>
          <w:rFonts w:ascii="Arial Narrow" w:eastAsia="Calibri" w:hAnsi="Arial Narrow" w:cs="Arial"/>
          <w:sz w:val="28"/>
          <w:szCs w:val="28"/>
        </w:rPr>
      </w:pPr>
    </w:p>
    <w:p w:rsidR="001A3340" w:rsidRDefault="001A3340" w:rsidP="001A3340">
      <w:pPr>
        <w:spacing w:before="240" w:after="240" w:line="360" w:lineRule="auto"/>
        <w:ind w:firstLine="709"/>
        <w:jc w:val="both"/>
        <w:rPr>
          <w:rFonts w:ascii="Arial Narrow" w:hAnsi="Arial Narrow" w:cs="Arial"/>
          <w:sz w:val="28"/>
          <w:szCs w:val="28"/>
        </w:rPr>
      </w:pPr>
      <w:r w:rsidRPr="00CD3269">
        <w:rPr>
          <w:rFonts w:ascii="Arial Narrow" w:hAnsi="Arial Narrow" w:cs="Arial"/>
          <w:sz w:val="28"/>
          <w:szCs w:val="28"/>
        </w:rPr>
        <w:t>En ese orden, esta Sala Unitaria estima procedente realizar el estudio de la causal de improcedencia y sobreseimiento del juicio invocada por la Síndico Municipal, en la que medularmente aduce que el presente juicio debe sobreseerse en virtud de que no existe acto material o jurídico que le sea atribuible, al no haber emitido los actos impugnados.</w:t>
      </w:r>
    </w:p>
    <w:p w:rsidR="00076E78" w:rsidRPr="00CD3269" w:rsidRDefault="00076E78" w:rsidP="001A3340">
      <w:pPr>
        <w:spacing w:before="240" w:after="240" w:line="360" w:lineRule="auto"/>
        <w:ind w:firstLine="709"/>
        <w:jc w:val="both"/>
        <w:rPr>
          <w:rFonts w:ascii="Arial Narrow" w:hAnsi="Arial Narrow" w:cs="Arial"/>
          <w:sz w:val="28"/>
          <w:szCs w:val="28"/>
        </w:rPr>
      </w:pPr>
    </w:p>
    <w:p w:rsidR="001A3340" w:rsidRPr="00CD3269" w:rsidRDefault="001A3340" w:rsidP="001A3340">
      <w:pPr>
        <w:spacing w:before="240" w:after="240" w:line="360" w:lineRule="auto"/>
        <w:ind w:firstLine="709"/>
        <w:jc w:val="both"/>
        <w:rPr>
          <w:rFonts w:ascii="Arial Narrow" w:hAnsi="Arial Narrow" w:cs="Arial"/>
          <w:sz w:val="28"/>
          <w:szCs w:val="28"/>
        </w:rPr>
      </w:pPr>
      <w:r w:rsidRPr="00CD3269">
        <w:rPr>
          <w:rFonts w:ascii="Arial Narrow" w:hAnsi="Arial Narrow" w:cs="Arial"/>
          <w:sz w:val="28"/>
          <w:szCs w:val="28"/>
        </w:rPr>
        <w:t xml:space="preserve">Bajo tales argumentos es indispensable tomar en consideración lo dispuesto en el artículo 228 </w:t>
      </w:r>
      <w:proofErr w:type="gramStart"/>
      <w:r w:rsidRPr="00CD3269">
        <w:rPr>
          <w:rFonts w:ascii="Arial Narrow" w:hAnsi="Arial Narrow" w:cs="Arial"/>
          <w:sz w:val="28"/>
          <w:szCs w:val="28"/>
        </w:rPr>
        <w:t>fracción</w:t>
      </w:r>
      <w:proofErr w:type="gramEnd"/>
      <w:r w:rsidRPr="00CD3269">
        <w:rPr>
          <w:rFonts w:ascii="Arial Narrow" w:hAnsi="Arial Narrow" w:cs="Arial"/>
          <w:sz w:val="28"/>
          <w:szCs w:val="28"/>
        </w:rPr>
        <w:t xml:space="preserve"> XI, y lo preceptuado en el 229 fracciones V y VIII, todos del Código Procesal Administrativo para el Estado de San Luis Potosí, los cuales establecen lo siguiente:</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“ARTÍCULO 228. Es improcedente el juicio ante el Tribunal contra actos:</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w:t>
      </w:r>
      <w:r>
        <w:rPr>
          <w:rFonts w:ascii="Arial" w:eastAsia="Times New Roman" w:hAnsi="Arial" w:cs="Arial"/>
          <w:iCs/>
          <w:sz w:val="20"/>
          <w:szCs w:val="20"/>
          <w:lang w:val="es-ES" w:eastAsia="es-ES"/>
        </w:rPr>
        <w:tab/>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XI. En los demás casos en que la improcedencia resulte de alguna disposición de este Código o de cualquiera otra de naturaleza fiscal o administrativa…”</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“ARTÍCULO 229. Procede el sobreseimiento del juicio:</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V. Cuando de las constancias de autos apareciere claramente que no existe el acto impugnado;</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VIII. En los demás casos en los que por disposición legal exista impedimento para emitir resoluciones en cuanto al fondo...”</w:t>
      </w:r>
    </w:p>
    <w:p w:rsidR="00EF73B9" w:rsidRDefault="00EF73B9"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A3340" w:rsidRDefault="001A3340" w:rsidP="001A3340">
      <w:pPr>
        <w:spacing w:before="240" w:after="240" w:line="360" w:lineRule="auto"/>
        <w:ind w:firstLine="709"/>
        <w:jc w:val="both"/>
        <w:rPr>
          <w:rFonts w:ascii="Arial Narrow" w:hAnsi="Arial Narrow" w:cs="Arial"/>
          <w:sz w:val="28"/>
          <w:szCs w:val="28"/>
        </w:rPr>
      </w:pPr>
      <w:r w:rsidRPr="00CD3269">
        <w:rPr>
          <w:rFonts w:ascii="Arial Narrow" w:hAnsi="Arial Narrow" w:cs="Arial"/>
          <w:sz w:val="28"/>
          <w:szCs w:val="28"/>
        </w:rPr>
        <w:t>De los preceptos anteriormente transcritos</w:t>
      </w:r>
      <w:r w:rsidR="00EF73B9">
        <w:rPr>
          <w:rFonts w:ascii="Arial Narrow" w:hAnsi="Arial Narrow" w:cs="Arial"/>
          <w:sz w:val="28"/>
          <w:szCs w:val="28"/>
        </w:rPr>
        <w:t>,</w:t>
      </w:r>
      <w:r w:rsidRPr="00CD3269">
        <w:rPr>
          <w:rFonts w:ascii="Arial Narrow" w:hAnsi="Arial Narrow" w:cs="Arial"/>
          <w:sz w:val="28"/>
          <w:szCs w:val="28"/>
        </w:rPr>
        <w:t xml:space="preserve"> se desprende que el juicio ante el Tribunal es improcedente en los casos en que dicha improcedencia resulte de alguna disposición del Código Procesal en cita o de cualquier otra de naturaleza fiscal o administrativa, asimismo se desprende que procede el sobreseimiento</w:t>
      </w:r>
      <w:r w:rsidR="00EF73B9">
        <w:rPr>
          <w:rFonts w:ascii="Arial Narrow" w:hAnsi="Arial Narrow" w:cs="Arial"/>
          <w:sz w:val="28"/>
          <w:szCs w:val="28"/>
        </w:rPr>
        <w:t>,</w:t>
      </w:r>
      <w:r w:rsidRPr="00CD3269">
        <w:rPr>
          <w:rFonts w:ascii="Arial Narrow" w:hAnsi="Arial Narrow" w:cs="Arial"/>
          <w:sz w:val="28"/>
          <w:szCs w:val="28"/>
        </w:rPr>
        <w:t xml:space="preserve"> en los casos en que por disposición legal exista un impedimento para emitir resolución en cuanto al fondo y cuando de las constancias de autos apareciere claramente que no existe el acto impugnado. Y en los demás casos en los que por disposición expresa</w:t>
      </w:r>
      <w:r w:rsidR="00EF73B9">
        <w:rPr>
          <w:rFonts w:ascii="Arial Narrow" w:hAnsi="Arial Narrow" w:cs="Arial"/>
          <w:sz w:val="28"/>
          <w:szCs w:val="28"/>
        </w:rPr>
        <w:t>,</w:t>
      </w:r>
      <w:r w:rsidRPr="00CD3269">
        <w:rPr>
          <w:rFonts w:ascii="Arial Narrow" w:hAnsi="Arial Narrow" w:cs="Arial"/>
          <w:sz w:val="28"/>
          <w:szCs w:val="28"/>
        </w:rPr>
        <w:t xml:space="preserve"> exista impedimento para emitir resoluciones en cuanto al fondo.</w:t>
      </w:r>
    </w:p>
    <w:p w:rsidR="00076E78" w:rsidRPr="00CD3269" w:rsidRDefault="00076E78" w:rsidP="001A3340">
      <w:pPr>
        <w:spacing w:before="240" w:after="240" w:line="360" w:lineRule="auto"/>
        <w:ind w:firstLine="709"/>
        <w:jc w:val="both"/>
        <w:rPr>
          <w:rFonts w:ascii="Arial Narrow" w:hAnsi="Arial Narrow" w:cs="Arial"/>
          <w:sz w:val="28"/>
          <w:szCs w:val="28"/>
        </w:rPr>
      </w:pPr>
    </w:p>
    <w:p w:rsidR="001A3340" w:rsidRPr="00CD3269" w:rsidRDefault="001A3340" w:rsidP="001A3340">
      <w:pPr>
        <w:spacing w:before="240" w:after="240" w:line="360" w:lineRule="auto"/>
        <w:ind w:firstLine="709"/>
        <w:jc w:val="both"/>
        <w:rPr>
          <w:rFonts w:ascii="Arial Narrow" w:hAnsi="Arial Narrow" w:cs="Arial"/>
          <w:sz w:val="28"/>
          <w:szCs w:val="28"/>
        </w:rPr>
      </w:pPr>
      <w:r w:rsidRPr="00CD3269">
        <w:rPr>
          <w:rFonts w:ascii="Arial Narrow" w:hAnsi="Arial Narrow" w:cs="Arial"/>
          <w:sz w:val="28"/>
          <w:szCs w:val="28"/>
        </w:rPr>
        <w:t>Ahora bien, la fracción II, inciso a), del artículo 230 del mencionado Código establece:</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“ARTÍCULO 230. Son partes en el juicio contencioso administrativo:</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w:t>
      </w:r>
    </w:p>
    <w:p w:rsidR="001A3340" w:rsidRDefault="001A3340" w:rsidP="001A3340">
      <w:pPr>
        <w:autoSpaceDE w:val="0"/>
        <w:autoSpaceDN w:val="0"/>
        <w:adjustRightInd w:val="0"/>
        <w:spacing w:after="0" w:line="240" w:lineRule="auto"/>
        <w:ind w:left="720"/>
        <w:jc w:val="both"/>
        <w:rPr>
          <w:rFonts w:ascii="Arial" w:eastAsia="Times New Roman" w:hAnsi="Arial" w:cs="Arial"/>
          <w:iCs/>
          <w:sz w:val="20"/>
          <w:szCs w:val="20"/>
          <w:lang w:val="es-ES" w:eastAsia="es-ES"/>
        </w:rPr>
      </w:pPr>
      <w:r>
        <w:rPr>
          <w:rFonts w:ascii="Arial" w:eastAsia="Times New Roman" w:hAnsi="Arial" w:cs="Arial"/>
          <w:iCs/>
          <w:sz w:val="20"/>
          <w:szCs w:val="20"/>
          <w:lang w:val="es-ES" w:eastAsia="es-ES"/>
        </w:rPr>
        <w:t xml:space="preserve">II. El demandado, teniendo este carácter: </w:t>
      </w:r>
    </w:p>
    <w:p w:rsidR="001A3340" w:rsidRDefault="001A3340" w:rsidP="001A3340">
      <w:pPr>
        <w:pStyle w:val="Prrafodelista"/>
        <w:numPr>
          <w:ilvl w:val="0"/>
          <w:numId w:val="2"/>
        </w:numPr>
        <w:autoSpaceDE w:val="0"/>
        <w:autoSpaceDN w:val="0"/>
        <w:adjustRightInd w:val="0"/>
        <w:spacing w:after="0" w:line="240" w:lineRule="auto"/>
        <w:jc w:val="both"/>
        <w:rPr>
          <w:rFonts w:ascii="Arial" w:eastAsia="Times New Roman" w:hAnsi="Arial" w:cs="Arial"/>
          <w:iCs/>
          <w:sz w:val="20"/>
          <w:szCs w:val="20"/>
          <w:lang w:val="es-ES" w:eastAsia="es-ES"/>
        </w:rPr>
      </w:pPr>
      <w:r>
        <w:rPr>
          <w:rFonts w:ascii="Arial" w:eastAsia="Times New Roman" w:hAnsi="Arial" w:cs="Arial"/>
          <w:b/>
          <w:iCs/>
          <w:sz w:val="20"/>
          <w:szCs w:val="20"/>
          <w:lang w:val="es-ES" w:eastAsia="es-ES"/>
        </w:rPr>
        <w:t>Tanto la autoridad ordenadora como la ejecutora de los actos impugnados</w:t>
      </w:r>
      <w:r>
        <w:rPr>
          <w:rFonts w:ascii="Arial" w:eastAsia="Times New Roman" w:hAnsi="Arial" w:cs="Arial"/>
          <w:iCs/>
          <w:sz w:val="20"/>
          <w:szCs w:val="20"/>
          <w:lang w:val="es-ES" w:eastAsia="es-ES"/>
        </w:rPr>
        <w:t xml:space="preserve"> y, en su caso, aquéllas que las sustituyan, así como los organismos públicos descentralizados de la administración pública estatal o municipal…”</w:t>
      </w:r>
    </w:p>
    <w:p w:rsidR="001A3340" w:rsidRDefault="001A3340" w:rsidP="001A3340">
      <w:pPr>
        <w:spacing w:before="240" w:after="240" w:line="360" w:lineRule="auto"/>
        <w:ind w:firstLine="709"/>
        <w:jc w:val="both"/>
        <w:rPr>
          <w:rFonts w:ascii="Arial Narrow" w:hAnsi="Arial Narrow" w:cs="Arial"/>
          <w:sz w:val="28"/>
          <w:szCs w:val="28"/>
        </w:rPr>
      </w:pPr>
      <w:r w:rsidRPr="00EF73B9">
        <w:rPr>
          <w:rFonts w:ascii="Arial Narrow" w:hAnsi="Arial Narrow" w:cs="Arial"/>
          <w:sz w:val="28"/>
          <w:szCs w:val="28"/>
        </w:rPr>
        <w:t>De la parte correspondiente del precepto transcrito se desprende que</w:t>
      </w:r>
      <w:r w:rsidR="00EF73B9">
        <w:rPr>
          <w:rFonts w:ascii="Arial Narrow" w:hAnsi="Arial Narrow" w:cs="Arial"/>
          <w:sz w:val="28"/>
          <w:szCs w:val="28"/>
        </w:rPr>
        <w:t>,</w:t>
      </w:r>
      <w:r w:rsidRPr="00EF73B9">
        <w:rPr>
          <w:rFonts w:ascii="Arial Narrow" w:hAnsi="Arial Narrow" w:cs="Arial"/>
          <w:sz w:val="28"/>
          <w:szCs w:val="28"/>
        </w:rPr>
        <w:t xml:space="preserve"> son partes en el juicio contencioso administrativo, entre otras, el demandado, a quien se considera con dicho carácter por su calidad de </w:t>
      </w:r>
      <w:r w:rsidRPr="00EF73B9">
        <w:rPr>
          <w:rFonts w:ascii="Arial Narrow" w:hAnsi="Arial Narrow" w:cs="Arial"/>
          <w:b/>
          <w:sz w:val="28"/>
          <w:szCs w:val="28"/>
        </w:rPr>
        <w:t>autoridad ordenadora o de ejecutora</w:t>
      </w:r>
      <w:r w:rsidRPr="00EF73B9">
        <w:rPr>
          <w:rFonts w:ascii="Arial Narrow" w:hAnsi="Arial Narrow" w:cs="Arial"/>
          <w:sz w:val="28"/>
          <w:szCs w:val="28"/>
        </w:rPr>
        <w:t xml:space="preserve"> de los actos impugnados y en dado caso aquellas que las sustituyan.</w:t>
      </w:r>
    </w:p>
    <w:p w:rsidR="00076E78" w:rsidRPr="00EF73B9" w:rsidRDefault="00076E78" w:rsidP="001A3340">
      <w:pPr>
        <w:spacing w:before="240" w:after="240" w:line="360" w:lineRule="auto"/>
        <w:ind w:firstLine="709"/>
        <w:jc w:val="both"/>
        <w:rPr>
          <w:rFonts w:ascii="Arial Narrow" w:hAnsi="Arial Narrow" w:cs="Arial"/>
          <w:sz w:val="28"/>
          <w:szCs w:val="28"/>
        </w:rPr>
      </w:pPr>
    </w:p>
    <w:p w:rsidR="001A3340" w:rsidRDefault="001A3340" w:rsidP="001A3340">
      <w:pPr>
        <w:spacing w:before="240" w:after="240" w:line="360" w:lineRule="auto"/>
        <w:ind w:firstLine="709"/>
        <w:jc w:val="both"/>
        <w:rPr>
          <w:rFonts w:ascii="Arial Narrow" w:hAnsi="Arial Narrow" w:cs="Arial"/>
          <w:sz w:val="28"/>
          <w:szCs w:val="28"/>
        </w:rPr>
      </w:pPr>
      <w:r w:rsidRPr="00EF73B9">
        <w:rPr>
          <w:rFonts w:ascii="Arial Narrow" w:hAnsi="Arial Narrow" w:cs="Arial"/>
          <w:sz w:val="28"/>
          <w:szCs w:val="28"/>
        </w:rPr>
        <w:t xml:space="preserve">De lo anteriormente expuesto y de las constancias que obran en autos, esta </w:t>
      </w:r>
      <w:r w:rsidR="00017C44" w:rsidRPr="00EF73B9">
        <w:rPr>
          <w:rFonts w:ascii="Arial Narrow" w:hAnsi="Arial Narrow" w:cs="Arial"/>
          <w:sz w:val="28"/>
          <w:szCs w:val="28"/>
        </w:rPr>
        <w:t>Tercera</w:t>
      </w:r>
      <w:r w:rsidRPr="00EF73B9">
        <w:rPr>
          <w:rFonts w:ascii="Arial Narrow" w:hAnsi="Arial Narrow" w:cs="Arial"/>
          <w:sz w:val="28"/>
          <w:szCs w:val="28"/>
        </w:rPr>
        <w:t xml:space="preserve"> Sala Unitaria advierte que, </w:t>
      </w:r>
      <w:r w:rsidR="007C55F7">
        <w:rPr>
          <w:rFonts w:ascii="Arial Narrow" w:hAnsi="Arial Narrow" w:cs="Arial"/>
          <w:sz w:val="28"/>
          <w:szCs w:val="28"/>
        </w:rPr>
        <w:t xml:space="preserve">los actos impugnados por el </w:t>
      </w:r>
      <w:r w:rsidRPr="00EF73B9">
        <w:rPr>
          <w:rFonts w:ascii="Arial Narrow" w:hAnsi="Arial Narrow" w:cs="Arial"/>
          <w:sz w:val="28"/>
          <w:szCs w:val="28"/>
        </w:rPr>
        <w:t>hoy actor en su escrito inicial de demanda</w:t>
      </w:r>
      <w:r w:rsidR="007C55F7">
        <w:rPr>
          <w:rFonts w:ascii="Arial Narrow" w:hAnsi="Arial Narrow" w:cs="Arial"/>
          <w:sz w:val="28"/>
          <w:szCs w:val="28"/>
        </w:rPr>
        <w:t xml:space="preserve"> y de ampliación,</w:t>
      </w:r>
      <w:r w:rsidRPr="00EF73B9">
        <w:rPr>
          <w:rFonts w:ascii="Arial Narrow" w:hAnsi="Arial Narrow" w:cs="Arial"/>
          <w:sz w:val="28"/>
          <w:szCs w:val="28"/>
        </w:rPr>
        <w:t xml:space="preserve"> aportado</w:t>
      </w:r>
      <w:r w:rsidR="007C55F7">
        <w:rPr>
          <w:rFonts w:ascii="Arial Narrow" w:hAnsi="Arial Narrow" w:cs="Arial"/>
          <w:sz w:val="28"/>
          <w:szCs w:val="28"/>
        </w:rPr>
        <w:t>s</w:t>
      </w:r>
      <w:r w:rsidRPr="00EF73B9">
        <w:rPr>
          <w:rFonts w:ascii="Arial Narrow" w:hAnsi="Arial Narrow" w:cs="Arial"/>
          <w:sz w:val="28"/>
          <w:szCs w:val="28"/>
        </w:rPr>
        <w:t xml:space="preserve"> como prueba anexo</w:t>
      </w:r>
      <w:r w:rsidR="007C55F7">
        <w:rPr>
          <w:rFonts w:ascii="Arial Narrow" w:hAnsi="Arial Narrow" w:cs="Arial"/>
          <w:sz w:val="28"/>
          <w:szCs w:val="28"/>
        </w:rPr>
        <w:t>s</w:t>
      </w:r>
      <w:r w:rsidRPr="00EF73B9">
        <w:rPr>
          <w:rFonts w:ascii="Arial Narrow" w:hAnsi="Arial Narrow" w:cs="Arial"/>
          <w:sz w:val="28"/>
          <w:szCs w:val="28"/>
        </w:rPr>
        <w:t xml:space="preserve"> a la</w:t>
      </w:r>
      <w:r w:rsidR="007C55F7">
        <w:rPr>
          <w:rFonts w:ascii="Arial Narrow" w:hAnsi="Arial Narrow" w:cs="Arial"/>
          <w:sz w:val="28"/>
          <w:szCs w:val="28"/>
        </w:rPr>
        <w:t>s</w:t>
      </w:r>
      <w:r w:rsidRPr="00EF73B9">
        <w:rPr>
          <w:rFonts w:ascii="Arial Narrow" w:hAnsi="Arial Narrow" w:cs="Arial"/>
          <w:sz w:val="28"/>
          <w:szCs w:val="28"/>
        </w:rPr>
        <w:t xml:space="preserve"> misma</w:t>
      </w:r>
      <w:r w:rsidR="007C55F7">
        <w:rPr>
          <w:rFonts w:ascii="Arial Narrow" w:hAnsi="Arial Narrow" w:cs="Arial"/>
          <w:sz w:val="28"/>
          <w:szCs w:val="28"/>
        </w:rPr>
        <w:t>s</w:t>
      </w:r>
      <w:r w:rsidRPr="00EF73B9">
        <w:rPr>
          <w:rFonts w:ascii="Arial Narrow" w:hAnsi="Arial Narrow" w:cs="Arial"/>
          <w:sz w:val="28"/>
          <w:szCs w:val="28"/>
        </w:rPr>
        <w:t>, consiste</w:t>
      </w:r>
      <w:r w:rsidR="00944F74">
        <w:rPr>
          <w:rFonts w:ascii="Arial Narrow" w:hAnsi="Arial Narrow" w:cs="Arial"/>
          <w:sz w:val="28"/>
          <w:szCs w:val="28"/>
        </w:rPr>
        <w:t>nte</w:t>
      </w:r>
      <w:r w:rsidR="007C55F7">
        <w:rPr>
          <w:rFonts w:ascii="Arial Narrow" w:hAnsi="Arial Narrow" w:cs="Arial"/>
          <w:sz w:val="28"/>
          <w:szCs w:val="28"/>
        </w:rPr>
        <w:t>s</w:t>
      </w:r>
      <w:r w:rsidRPr="00EF73B9">
        <w:rPr>
          <w:rFonts w:ascii="Arial Narrow" w:hAnsi="Arial Narrow" w:cs="Arial"/>
          <w:sz w:val="28"/>
          <w:szCs w:val="28"/>
        </w:rPr>
        <w:t xml:space="preserve"> en la</w:t>
      </w:r>
      <w:r w:rsidR="007C55F7">
        <w:rPr>
          <w:rFonts w:ascii="Arial Narrow" w:hAnsi="Arial Narrow" w:cs="Arial"/>
          <w:sz w:val="28"/>
          <w:szCs w:val="28"/>
        </w:rPr>
        <w:t>s</w:t>
      </w:r>
      <w:r w:rsidRPr="00EF73B9">
        <w:rPr>
          <w:rFonts w:ascii="Arial Narrow" w:hAnsi="Arial Narrow" w:cs="Arial"/>
          <w:sz w:val="28"/>
          <w:szCs w:val="28"/>
        </w:rPr>
        <w:t xml:space="preserve"> resoluci</w:t>
      </w:r>
      <w:r w:rsidR="007C55F7">
        <w:rPr>
          <w:rFonts w:ascii="Arial Narrow" w:hAnsi="Arial Narrow" w:cs="Arial"/>
          <w:sz w:val="28"/>
          <w:szCs w:val="28"/>
        </w:rPr>
        <w:t>ones</w:t>
      </w:r>
      <w:r w:rsidRPr="00EF73B9">
        <w:rPr>
          <w:rFonts w:ascii="Arial Narrow" w:hAnsi="Arial Narrow" w:cs="Arial"/>
          <w:sz w:val="28"/>
          <w:szCs w:val="28"/>
        </w:rPr>
        <w:t xml:space="preserve"> de diecisiete de noviembre de dos mil veinte, emitida</w:t>
      </w:r>
      <w:r w:rsidR="007C55F7">
        <w:rPr>
          <w:rFonts w:ascii="Arial Narrow" w:hAnsi="Arial Narrow" w:cs="Arial"/>
          <w:sz w:val="28"/>
          <w:szCs w:val="28"/>
        </w:rPr>
        <w:t>s</w:t>
      </w:r>
      <w:r w:rsidRPr="00EF73B9">
        <w:rPr>
          <w:rFonts w:ascii="Arial Narrow" w:hAnsi="Arial Narrow" w:cs="Arial"/>
          <w:sz w:val="28"/>
          <w:szCs w:val="28"/>
        </w:rPr>
        <w:t xml:space="preserve"> por el Titular de la Dirección de Comercio del Ayuntamiento de San Luis Potosí, mediante la</w:t>
      </w:r>
      <w:r w:rsidR="007C55F7">
        <w:rPr>
          <w:rFonts w:ascii="Arial Narrow" w:hAnsi="Arial Narrow" w:cs="Arial"/>
          <w:sz w:val="28"/>
          <w:szCs w:val="28"/>
        </w:rPr>
        <w:t>s</w:t>
      </w:r>
      <w:r w:rsidRPr="00EF73B9">
        <w:rPr>
          <w:rFonts w:ascii="Arial Narrow" w:hAnsi="Arial Narrow" w:cs="Arial"/>
          <w:sz w:val="28"/>
          <w:szCs w:val="28"/>
        </w:rPr>
        <w:t xml:space="preserve"> cual</w:t>
      </w:r>
      <w:r w:rsidR="007C55F7">
        <w:rPr>
          <w:rFonts w:ascii="Arial Narrow" w:hAnsi="Arial Narrow" w:cs="Arial"/>
          <w:sz w:val="28"/>
          <w:szCs w:val="28"/>
        </w:rPr>
        <w:t>es</w:t>
      </w:r>
      <w:r w:rsidRPr="00EF73B9">
        <w:rPr>
          <w:rFonts w:ascii="Arial Narrow" w:hAnsi="Arial Narrow" w:cs="Arial"/>
          <w:sz w:val="28"/>
          <w:szCs w:val="28"/>
        </w:rPr>
        <w:t xml:space="preserve"> resolvió los hechos asentados en el acta administrativa de </w:t>
      </w:r>
      <w:r w:rsidR="00736F60" w:rsidRPr="00EF73B9">
        <w:rPr>
          <w:rFonts w:ascii="Arial Narrow" w:hAnsi="Arial Narrow" w:cs="Arial"/>
          <w:sz w:val="28"/>
          <w:szCs w:val="28"/>
        </w:rPr>
        <w:t>treinta de septiembre de dos mil diecinueve</w:t>
      </w:r>
      <w:r w:rsidRPr="00EF73B9">
        <w:rPr>
          <w:rFonts w:ascii="Arial Narrow" w:hAnsi="Arial Narrow" w:cs="Arial"/>
          <w:sz w:val="28"/>
          <w:szCs w:val="28"/>
        </w:rPr>
        <w:t>, derivada de la orden de inspección con número 001</w:t>
      </w:r>
      <w:r w:rsidR="00736F60" w:rsidRPr="00EF73B9">
        <w:rPr>
          <w:rFonts w:ascii="Arial Narrow" w:hAnsi="Arial Narrow" w:cs="Arial"/>
          <w:sz w:val="28"/>
          <w:szCs w:val="28"/>
        </w:rPr>
        <w:t>0</w:t>
      </w:r>
      <w:r w:rsidRPr="00EF73B9">
        <w:rPr>
          <w:rFonts w:ascii="Arial Narrow" w:hAnsi="Arial Narrow" w:cs="Arial"/>
          <w:sz w:val="28"/>
          <w:szCs w:val="28"/>
        </w:rPr>
        <w:t xml:space="preserve">04, y determinó imponer una multa por el equivalente a </w:t>
      </w:r>
      <w:r w:rsidR="00736F60" w:rsidRPr="00EF73B9">
        <w:rPr>
          <w:rFonts w:ascii="Arial Narrow" w:hAnsi="Arial Narrow" w:cs="Arial"/>
          <w:sz w:val="28"/>
          <w:szCs w:val="28"/>
        </w:rPr>
        <w:t>quince unidades</w:t>
      </w:r>
      <w:r w:rsidRPr="00EF73B9">
        <w:rPr>
          <w:rFonts w:ascii="Arial Narrow" w:hAnsi="Arial Narrow" w:cs="Arial"/>
          <w:sz w:val="28"/>
          <w:szCs w:val="28"/>
        </w:rPr>
        <w:t xml:space="preserve"> de medida y actualización</w:t>
      </w:r>
      <w:r w:rsidR="007C55F7">
        <w:rPr>
          <w:rFonts w:ascii="Arial Narrow" w:hAnsi="Arial Narrow" w:cs="Arial"/>
          <w:sz w:val="28"/>
          <w:szCs w:val="28"/>
        </w:rPr>
        <w:t xml:space="preserve">, así como clausura del establecimiento ubicado en </w:t>
      </w:r>
      <w:r w:rsidR="00A65CCB">
        <w:rPr>
          <w:rFonts w:ascii="Arial Narrow" w:hAnsi="Arial Narrow" w:cs="Arial"/>
          <w:color w:val="FF0000"/>
          <w:sz w:val="28"/>
          <w:szCs w:val="28"/>
        </w:rPr>
        <w:t>**********</w:t>
      </w:r>
      <w:r w:rsidR="007C55F7">
        <w:rPr>
          <w:rFonts w:ascii="Arial Narrow" w:hAnsi="Arial Narrow" w:cs="Arial"/>
          <w:sz w:val="28"/>
          <w:szCs w:val="28"/>
        </w:rPr>
        <w:t>, de esta Ciudad.</w:t>
      </w:r>
    </w:p>
    <w:p w:rsidR="00076E78" w:rsidRPr="00EF73B9" w:rsidRDefault="00076E78" w:rsidP="001A3340">
      <w:pPr>
        <w:spacing w:before="240" w:after="240" w:line="360" w:lineRule="auto"/>
        <w:ind w:firstLine="709"/>
        <w:jc w:val="both"/>
        <w:rPr>
          <w:rFonts w:ascii="Arial Narrow" w:hAnsi="Arial Narrow" w:cs="Arial"/>
          <w:sz w:val="28"/>
          <w:szCs w:val="28"/>
        </w:rPr>
      </w:pPr>
    </w:p>
    <w:p w:rsidR="001A3340" w:rsidRDefault="001A3340" w:rsidP="001A3340">
      <w:pPr>
        <w:spacing w:before="240" w:after="240" w:line="360" w:lineRule="auto"/>
        <w:ind w:firstLine="709"/>
        <w:jc w:val="both"/>
        <w:rPr>
          <w:rFonts w:ascii="Arial Narrow" w:hAnsi="Arial Narrow" w:cs="Arial"/>
          <w:sz w:val="28"/>
          <w:szCs w:val="28"/>
        </w:rPr>
      </w:pPr>
      <w:r w:rsidRPr="00EF73B9">
        <w:rPr>
          <w:rFonts w:ascii="Arial Narrow" w:hAnsi="Arial Narrow" w:cs="Arial"/>
          <w:sz w:val="28"/>
          <w:szCs w:val="28"/>
        </w:rPr>
        <w:t>En ese sentido, podemos advertir que las autoridades que intervinieron en la emisión de la</w:t>
      </w:r>
      <w:r w:rsidR="00A17136">
        <w:rPr>
          <w:rFonts w:ascii="Arial Narrow" w:hAnsi="Arial Narrow" w:cs="Arial"/>
          <w:sz w:val="28"/>
          <w:szCs w:val="28"/>
        </w:rPr>
        <w:t>s</w:t>
      </w:r>
      <w:r w:rsidRPr="00EF73B9">
        <w:rPr>
          <w:rFonts w:ascii="Arial Narrow" w:hAnsi="Arial Narrow" w:cs="Arial"/>
          <w:sz w:val="28"/>
          <w:szCs w:val="28"/>
        </w:rPr>
        <w:t xml:space="preserve"> resoluci</w:t>
      </w:r>
      <w:r w:rsidR="00A17136">
        <w:rPr>
          <w:rFonts w:ascii="Arial Narrow" w:hAnsi="Arial Narrow" w:cs="Arial"/>
          <w:sz w:val="28"/>
          <w:szCs w:val="28"/>
        </w:rPr>
        <w:t>ones</w:t>
      </w:r>
      <w:r w:rsidRPr="00EF73B9">
        <w:rPr>
          <w:rFonts w:ascii="Arial Narrow" w:hAnsi="Arial Narrow" w:cs="Arial"/>
          <w:sz w:val="28"/>
          <w:szCs w:val="28"/>
        </w:rPr>
        <w:t xml:space="preserve"> impugnada</w:t>
      </w:r>
      <w:r w:rsidR="00A17136">
        <w:rPr>
          <w:rFonts w:ascii="Arial Narrow" w:hAnsi="Arial Narrow" w:cs="Arial"/>
          <w:sz w:val="28"/>
          <w:szCs w:val="28"/>
        </w:rPr>
        <w:t>s</w:t>
      </w:r>
      <w:r w:rsidRPr="00EF73B9">
        <w:rPr>
          <w:rFonts w:ascii="Arial Narrow" w:hAnsi="Arial Narrow" w:cs="Arial"/>
          <w:sz w:val="28"/>
          <w:szCs w:val="28"/>
        </w:rPr>
        <w:t xml:space="preserve"> y su ejecución lo son el Director de Comercio del Ayuntamiento de San Luis Potosí, y el Inspector a quien se comisionó para </w:t>
      </w:r>
      <w:r w:rsidR="00600339">
        <w:rPr>
          <w:rFonts w:ascii="Arial Narrow" w:hAnsi="Arial Narrow" w:cs="Arial"/>
          <w:sz w:val="28"/>
          <w:szCs w:val="28"/>
        </w:rPr>
        <w:t>realizar la diligencia de Inspección que se llevó a cabo el día treinta de s</w:t>
      </w:r>
      <w:r w:rsidR="00F31410">
        <w:rPr>
          <w:rFonts w:ascii="Arial Narrow" w:hAnsi="Arial Narrow" w:cs="Arial"/>
          <w:sz w:val="28"/>
          <w:szCs w:val="28"/>
        </w:rPr>
        <w:t>eptiembre de dos mil diecinueve</w:t>
      </w:r>
      <w:r w:rsidRPr="00EF73B9">
        <w:rPr>
          <w:rFonts w:ascii="Arial Narrow" w:hAnsi="Arial Narrow" w:cs="Arial"/>
          <w:sz w:val="28"/>
          <w:szCs w:val="28"/>
        </w:rPr>
        <w:t xml:space="preserve">, de ahí que se considere que respecto de la autoridad demandada </w:t>
      </w:r>
      <w:r w:rsidR="00F31410">
        <w:rPr>
          <w:rFonts w:ascii="Arial Narrow" w:hAnsi="Arial Narrow" w:cs="Arial"/>
          <w:sz w:val="28"/>
          <w:szCs w:val="28"/>
        </w:rPr>
        <w:t xml:space="preserve">H. </w:t>
      </w:r>
      <w:r w:rsidRPr="00EF73B9">
        <w:rPr>
          <w:rFonts w:ascii="Arial Narrow" w:hAnsi="Arial Narrow" w:cs="Arial"/>
          <w:sz w:val="28"/>
          <w:szCs w:val="28"/>
        </w:rPr>
        <w:t>Ayuntamiento de San Luis Potosí, representado por la Síndico Municipal, se actualice la improcedencia y sobreseimiento del juicio, conforme a lo previsto en la fracción XI del artículo 228, en relación con lo dispuesto en la fracción V del artículo 229 del Código Procesal Administrativo para el Estado de San Luis Potosí, en virtud de que, de las constancias que contienen y demuestran la existencia de los actos impugnados, no se desprende que dicha autoridad haya emitido, ordenado o ejecutado los actos controvertidos.</w:t>
      </w:r>
    </w:p>
    <w:p w:rsidR="00076E78" w:rsidRPr="00EF73B9" w:rsidRDefault="00076E78" w:rsidP="001A3340">
      <w:pPr>
        <w:spacing w:before="240" w:after="240" w:line="360" w:lineRule="auto"/>
        <w:ind w:firstLine="709"/>
        <w:jc w:val="both"/>
        <w:rPr>
          <w:rFonts w:ascii="Arial Narrow" w:hAnsi="Arial Narrow" w:cs="Arial"/>
          <w:sz w:val="28"/>
          <w:szCs w:val="28"/>
        </w:rPr>
      </w:pPr>
    </w:p>
    <w:p w:rsidR="001A3340" w:rsidRDefault="001A3340" w:rsidP="001A3340">
      <w:pPr>
        <w:spacing w:before="240" w:after="240" w:line="360" w:lineRule="auto"/>
        <w:ind w:firstLine="709"/>
        <w:jc w:val="both"/>
        <w:rPr>
          <w:rFonts w:ascii="Arial Narrow" w:hAnsi="Arial Narrow" w:cs="Arial"/>
          <w:sz w:val="28"/>
          <w:szCs w:val="28"/>
        </w:rPr>
      </w:pPr>
      <w:r w:rsidRPr="00EF73B9">
        <w:rPr>
          <w:rFonts w:ascii="Arial Narrow" w:hAnsi="Arial Narrow" w:cs="Arial"/>
          <w:sz w:val="28"/>
          <w:szCs w:val="28"/>
        </w:rPr>
        <w:t xml:space="preserve">Es decir, de </w:t>
      </w:r>
      <w:r w:rsidRPr="00EF73B9">
        <w:rPr>
          <w:rFonts w:ascii="Arial Narrow" w:hAnsi="Arial Narrow" w:cs="Arial"/>
          <w:sz w:val="28"/>
          <w:szCs w:val="28"/>
          <w:lang w:val="es-ES"/>
        </w:rPr>
        <w:t>autos no se desprende que, la autoridad en mención, particip</w:t>
      </w:r>
      <w:r w:rsidR="00F31410">
        <w:rPr>
          <w:rFonts w:ascii="Arial Narrow" w:hAnsi="Arial Narrow" w:cs="Arial"/>
          <w:sz w:val="28"/>
          <w:szCs w:val="28"/>
          <w:lang w:val="es-ES"/>
        </w:rPr>
        <w:t>ó</w:t>
      </w:r>
      <w:r w:rsidRPr="00EF73B9">
        <w:rPr>
          <w:rFonts w:ascii="Arial Narrow" w:hAnsi="Arial Narrow" w:cs="Arial"/>
          <w:sz w:val="28"/>
          <w:szCs w:val="28"/>
          <w:lang w:val="es-ES"/>
        </w:rPr>
        <w:t xml:space="preserve"> en la emisión o ejecución de los actos controvertidos, lo cual se traduce en que los actos atribuidos a la citada autoridad resulta inexistente, pues ni aun considerando que por la competencia y funciones de alguna de dichas autoridades para emitir u ordenar los actos demandados, ese hecho actualiza la procedencia del juicio en su contra, ya que conforme a la causal analizada en realidad se requiere que las demandadas hubieren realizado actuación alguna que afectara los intereses del particular, lo cual no quedó demostrado en el presente juicio,</w:t>
      </w:r>
      <w:r w:rsidRPr="00EF73B9">
        <w:rPr>
          <w:rFonts w:ascii="Arial Narrow" w:hAnsi="Arial Narrow" w:cs="Arial"/>
          <w:sz w:val="28"/>
          <w:szCs w:val="28"/>
        </w:rPr>
        <w:t xml:space="preserve"> de ahí que, resulte concluyente que respecto del</w:t>
      </w:r>
      <w:r w:rsidRPr="00EF73B9">
        <w:rPr>
          <w:rFonts w:ascii="Arial Narrow" w:hAnsi="Arial Narrow" w:cs="Arial"/>
          <w:b/>
          <w:sz w:val="28"/>
          <w:szCs w:val="28"/>
        </w:rPr>
        <w:t xml:space="preserve"> </w:t>
      </w:r>
      <w:r w:rsidRPr="00EF73B9">
        <w:rPr>
          <w:rFonts w:ascii="Arial Narrow" w:hAnsi="Arial Narrow" w:cs="Arial"/>
          <w:b/>
          <w:sz w:val="28"/>
          <w:szCs w:val="28"/>
          <w:u w:val="single"/>
        </w:rPr>
        <w:t>Ayuntamiento de San Luis Potosí, representado por la Síndico Municipal, con fundamento en lo dispuesto en el artículo 35, fracción V, de la Ley Orgánica del Tribunal Estatal de Justicia Administrativa de San Luis Potosí y la fracción V, del artículo 229, del Código Procesal Administrativo para el Estado, se decreta el sobreseimiento del presente juicio</w:t>
      </w:r>
      <w:r w:rsidRPr="00EF73B9">
        <w:rPr>
          <w:rFonts w:ascii="Arial Narrow" w:hAnsi="Arial Narrow" w:cs="Arial"/>
          <w:sz w:val="28"/>
          <w:szCs w:val="28"/>
        </w:rPr>
        <w:t>.</w:t>
      </w:r>
    </w:p>
    <w:p w:rsidR="00076E78" w:rsidRPr="00EF73B9" w:rsidRDefault="00076E78" w:rsidP="001A3340">
      <w:pPr>
        <w:spacing w:before="240" w:after="240" w:line="360" w:lineRule="auto"/>
        <w:ind w:firstLine="709"/>
        <w:jc w:val="both"/>
        <w:rPr>
          <w:rFonts w:ascii="Arial Narrow" w:hAnsi="Arial Narrow" w:cs="Arial"/>
          <w:sz w:val="28"/>
          <w:szCs w:val="28"/>
        </w:rPr>
      </w:pPr>
    </w:p>
    <w:p w:rsidR="002863B7" w:rsidRDefault="002863B7" w:rsidP="00517954">
      <w:pPr>
        <w:spacing w:before="240" w:after="240"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Ahora bien, es el caso que el presente juicio subsiste respecto de la diversa autoridad demandada, la cual en el apartado de excepciones de su contestación de demanda, hizo valer que el actor carece de legitimación activa en la causa, en razón de que, al tratarse de actividades reguladas omitió acompañar a su demanda el documento con que acreditara su interés jurídico, en términos de lo establecido en el artículo 231 del Código Procesal Administrativo para el Estado.</w:t>
      </w:r>
    </w:p>
    <w:p w:rsidR="00076E78" w:rsidRDefault="00076E78" w:rsidP="00517954">
      <w:pPr>
        <w:spacing w:before="240" w:after="240" w:line="360" w:lineRule="auto"/>
        <w:ind w:firstLine="709"/>
        <w:jc w:val="both"/>
        <w:rPr>
          <w:rFonts w:ascii="Arial Narrow" w:eastAsia="Arial Unicode MS" w:hAnsi="Arial Narrow" w:cs="Arial Unicode MS"/>
          <w:sz w:val="28"/>
          <w:szCs w:val="28"/>
        </w:rPr>
      </w:pPr>
    </w:p>
    <w:p w:rsidR="000464F5" w:rsidRDefault="002863B7" w:rsidP="00517954">
      <w:pPr>
        <w:spacing w:before="240" w:after="240"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Asimismo, reitera en su apartado de consideraciones que impiden se emita la decisión en cuanto al fondo, que se actualizan las causales de improcedencia y sobreseimiento previstas en las fracciones II y XII del artículo 228, en relación con el artículo 229 fracción II y 231, todos del Código Procesal Administrativo para el Estado, dado que la parte actora no acreditó su interés jurídico o interés legítimo para instar el presente juicio, tomando en cuenta que</w:t>
      </w:r>
      <w:r w:rsidR="000464F5">
        <w:rPr>
          <w:rFonts w:ascii="Arial Narrow" w:eastAsia="Arial Unicode MS" w:hAnsi="Arial Narrow" w:cs="Arial Unicode MS"/>
          <w:sz w:val="28"/>
          <w:szCs w:val="28"/>
        </w:rPr>
        <w:t xml:space="preserve"> en ningún momento acredita el actor contar con un interés jurídico que le permita practicar la actividad de giro comercial de taller de hojalatería y pintura, en el domicilio ubicado en </w:t>
      </w:r>
      <w:r w:rsidR="00A65CCB">
        <w:rPr>
          <w:rFonts w:ascii="Arial Narrow" w:eastAsia="Arial Unicode MS" w:hAnsi="Arial Narrow" w:cs="Arial Unicode MS"/>
          <w:color w:val="FF0000"/>
          <w:sz w:val="28"/>
          <w:szCs w:val="28"/>
        </w:rPr>
        <w:t>**********</w:t>
      </w:r>
      <w:r w:rsidR="000464F5">
        <w:rPr>
          <w:rFonts w:ascii="Arial Narrow" w:eastAsia="Arial Unicode MS" w:hAnsi="Arial Narrow" w:cs="Arial Unicode MS"/>
          <w:sz w:val="28"/>
          <w:szCs w:val="28"/>
        </w:rPr>
        <w:t>, pues no se advierte la existencia de la licencia respectiva, situación que exhibe la falta de legitimación en la pretensión intentada.</w:t>
      </w:r>
    </w:p>
    <w:p w:rsidR="00076E78" w:rsidRDefault="00076E78" w:rsidP="00517954">
      <w:pPr>
        <w:spacing w:before="240" w:after="240" w:line="360" w:lineRule="auto"/>
        <w:ind w:firstLine="709"/>
        <w:jc w:val="both"/>
        <w:rPr>
          <w:rFonts w:ascii="Arial Narrow" w:eastAsia="Arial Unicode MS" w:hAnsi="Arial Narrow" w:cs="Arial Unicode MS"/>
          <w:sz w:val="28"/>
          <w:szCs w:val="28"/>
        </w:rPr>
      </w:pPr>
    </w:p>
    <w:p w:rsidR="004509C1" w:rsidRDefault="004509C1" w:rsidP="00517954">
      <w:pPr>
        <w:spacing w:before="240" w:after="240"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Una vez analizados los argumentos de la autoridad demandada, esta Sala Unitaria estima que resultan parcialmente fundados pero insuficientes para decretar el sobreseimiento total del presente juicio, en razón de lo siguiente:</w:t>
      </w:r>
    </w:p>
    <w:p w:rsidR="00694B34" w:rsidRDefault="00694B34" w:rsidP="00517954">
      <w:pPr>
        <w:spacing w:before="240" w:after="240"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De los preceptos anteriormente transcritos se desprende que el juicio ante el Tribunal es improcedente en contra de actos que no afecten los intereses jurídicos o legítimos del actor, así como aquellos casos en que la improcedencia resulta de alguna disposición</w:t>
      </w:r>
      <w:r w:rsidR="00632F72">
        <w:rPr>
          <w:rFonts w:ascii="Arial Narrow" w:eastAsia="Arial Unicode MS" w:hAnsi="Arial Narrow" w:cs="Arial Unicode MS"/>
          <w:sz w:val="28"/>
          <w:szCs w:val="28"/>
        </w:rPr>
        <w:t xml:space="preserve"> del citado Código o de cualquier otra de naturaleza fiscal o administrativa; asimismo se desprende que procede el sobreseimiento cuando durante la tramitación del procedimiento contencioso sobreviniere alguna de las causas de improcedencia a que se refiere </w:t>
      </w:r>
      <w:r>
        <w:rPr>
          <w:rFonts w:ascii="Arial Narrow" w:eastAsia="Arial Unicode MS" w:hAnsi="Arial Narrow" w:cs="Arial Unicode MS"/>
          <w:sz w:val="28"/>
          <w:szCs w:val="28"/>
        </w:rPr>
        <w:t xml:space="preserve"> </w:t>
      </w:r>
      <w:r w:rsidR="00632F72">
        <w:rPr>
          <w:rFonts w:ascii="Arial Narrow" w:eastAsia="Arial Unicode MS" w:hAnsi="Arial Narrow" w:cs="Arial Unicode MS"/>
          <w:sz w:val="28"/>
          <w:szCs w:val="28"/>
        </w:rPr>
        <w:t>el artículo 228.</w:t>
      </w:r>
    </w:p>
    <w:p w:rsidR="00632F72" w:rsidRDefault="00632F72" w:rsidP="00517954">
      <w:pPr>
        <w:spacing w:before="240" w:after="240"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 xml:space="preserve">Posteriormente, advertimos que conforme a lo dispuesto en el artículo 231 antes reproducido, sólo podrán demandar e intervenir en el juicio, las personas que tengan un interés jurídico o legítimo que funde su pretensión, a lo cual, por </w:t>
      </w:r>
      <w:r w:rsidR="007F302B">
        <w:rPr>
          <w:rFonts w:ascii="Arial Narrow" w:eastAsia="Arial Unicode MS" w:hAnsi="Arial Narrow" w:cs="Arial Unicode MS"/>
          <w:sz w:val="28"/>
          <w:szCs w:val="28"/>
        </w:rPr>
        <w:t>interés</w:t>
      </w:r>
      <w:r>
        <w:rPr>
          <w:rFonts w:ascii="Arial Narrow" w:eastAsia="Arial Unicode MS" w:hAnsi="Arial Narrow" w:cs="Arial Unicode MS"/>
          <w:sz w:val="28"/>
          <w:szCs w:val="28"/>
        </w:rPr>
        <w:t xml:space="preserve"> jurídico se entiende que cuenta con él, quien es titular de un derecho </w:t>
      </w:r>
      <w:r w:rsidR="007F302B">
        <w:rPr>
          <w:rFonts w:ascii="Arial Narrow" w:eastAsia="Arial Unicode MS" w:hAnsi="Arial Narrow" w:cs="Arial Unicode MS"/>
          <w:sz w:val="28"/>
          <w:szCs w:val="28"/>
        </w:rPr>
        <w:t>subjetivo</w:t>
      </w:r>
      <w:r>
        <w:rPr>
          <w:rFonts w:ascii="Arial Narrow" w:eastAsia="Arial Unicode MS" w:hAnsi="Arial Narrow" w:cs="Arial Unicode MS"/>
          <w:sz w:val="28"/>
          <w:szCs w:val="28"/>
        </w:rPr>
        <w:t xml:space="preserve">, y el interés legítimo quienes invoquen situaciones de hecho </w:t>
      </w:r>
      <w:r w:rsidR="00AB1C8D">
        <w:rPr>
          <w:rFonts w:ascii="Arial Narrow" w:eastAsia="Arial Unicode MS" w:hAnsi="Arial Narrow" w:cs="Arial Unicode MS"/>
          <w:sz w:val="28"/>
          <w:szCs w:val="28"/>
        </w:rPr>
        <w:t>protegidas</w:t>
      </w:r>
      <w:r>
        <w:rPr>
          <w:rFonts w:ascii="Arial Narrow" w:eastAsia="Arial Unicode MS" w:hAnsi="Arial Narrow" w:cs="Arial Unicode MS"/>
          <w:sz w:val="28"/>
          <w:szCs w:val="28"/>
        </w:rPr>
        <w:t xml:space="preserve"> por el orden jurídico, tanto de un sujeto determinado como de los integrantes de u</w:t>
      </w:r>
      <w:r w:rsidR="00AB1C8D">
        <w:rPr>
          <w:rFonts w:ascii="Arial Narrow" w:eastAsia="Arial Unicode MS" w:hAnsi="Arial Narrow" w:cs="Arial Unicode MS"/>
          <w:sz w:val="28"/>
          <w:szCs w:val="28"/>
        </w:rPr>
        <w:t>n</w:t>
      </w:r>
      <w:r>
        <w:rPr>
          <w:rFonts w:ascii="Arial Narrow" w:eastAsia="Arial Unicode MS" w:hAnsi="Arial Narrow" w:cs="Arial Unicode MS"/>
          <w:sz w:val="28"/>
          <w:szCs w:val="28"/>
        </w:rPr>
        <w:t xml:space="preserve"> grupo de individuos diferenciados del conjunto general de la sociedad, y que en el caso de que se pretenda obtener sentencia que permita al actor realizar actividades reguladas, deberá acreditar su interés jurídico mediante la correspondiente concesión, licencia, permiso, autorización o aviso.</w:t>
      </w:r>
    </w:p>
    <w:p w:rsidR="00632F72" w:rsidRDefault="00632F72" w:rsidP="00517954">
      <w:pPr>
        <w:spacing w:before="240" w:after="240"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En ese sentido, los dos supuestos distintos para demandar o intervenir en el juicio consisten en:</w:t>
      </w:r>
    </w:p>
    <w:p w:rsidR="00632F72" w:rsidRDefault="00632F72" w:rsidP="00517954">
      <w:pPr>
        <w:spacing w:before="240" w:after="240" w:line="360" w:lineRule="auto"/>
        <w:ind w:firstLine="709"/>
        <w:jc w:val="both"/>
        <w:rPr>
          <w:rFonts w:ascii="Arial Narrow" w:eastAsia="Arial Unicode MS" w:hAnsi="Arial Narrow" w:cs="Arial Unicode MS"/>
          <w:sz w:val="28"/>
          <w:szCs w:val="28"/>
        </w:rPr>
      </w:pPr>
      <w:r w:rsidRPr="005E1D26">
        <w:rPr>
          <w:rFonts w:ascii="Arial Narrow" w:eastAsia="Arial Unicode MS" w:hAnsi="Arial Narrow" w:cs="Arial Unicode MS"/>
          <w:b/>
          <w:sz w:val="28"/>
          <w:szCs w:val="28"/>
        </w:rPr>
        <w:t>1.-</w:t>
      </w:r>
      <w:r>
        <w:rPr>
          <w:rFonts w:ascii="Arial Narrow" w:eastAsia="Arial Unicode MS" w:hAnsi="Arial Narrow" w:cs="Arial Unicode MS"/>
          <w:sz w:val="28"/>
          <w:szCs w:val="28"/>
        </w:rPr>
        <w:t xml:space="preserve"> La posibilidad de que intervenga en juicio la persona que tenga interés legítimo, quien deberá invocar situaciones de hecho protegidas por el orden jurídico, tanto de un sujeto determinado como de un grupo de individuos diferenciados del conjunto general de la sociedad.</w:t>
      </w:r>
    </w:p>
    <w:p w:rsidR="00632F72" w:rsidRDefault="00632F72" w:rsidP="00517954">
      <w:pPr>
        <w:spacing w:before="240" w:after="240" w:line="360" w:lineRule="auto"/>
        <w:ind w:firstLine="709"/>
        <w:jc w:val="both"/>
        <w:rPr>
          <w:rFonts w:ascii="Arial Narrow" w:eastAsia="Arial Unicode MS" w:hAnsi="Arial Narrow" w:cs="Arial Unicode MS"/>
          <w:sz w:val="28"/>
          <w:szCs w:val="28"/>
        </w:rPr>
      </w:pPr>
      <w:r w:rsidRPr="005847BE">
        <w:rPr>
          <w:rFonts w:ascii="Arial Narrow" w:eastAsia="Arial Unicode MS" w:hAnsi="Arial Narrow" w:cs="Arial Unicode MS"/>
          <w:b/>
          <w:sz w:val="28"/>
          <w:szCs w:val="28"/>
        </w:rPr>
        <w:t>2.-</w:t>
      </w:r>
      <w:r>
        <w:rPr>
          <w:rFonts w:ascii="Arial Narrow" w:eastAsia="Arial Unicode MS" w:hAnsi="Arial Narrow" w:cs="Arial Unicode MS"/>
          <w:sz w:val="28"/>
          <w:szCs w:val="28"/>
        </w:rPr>
        <w:t xml:space="preserve"> La posibilidad de acudir con la </w:t>
      </w:r>
      <w:r w:rsidR="00E42098">
        <w:rPr>
          <w:rFonts w:ascii="Arial Narrow" w:eastAsia="Arial Unicode MS" w:hAnsi="Arial Narrow" w:cs="Arial Unicode MS"/>
          <w:sz w:val="28"/>
          <w:szCs w:val="28"/>
        </w:rPr>
        <w:t>pretensión de obtener sentencia que permita realizar actividades reguladas, caso en el cual, se deberá acreditar el interés jurídico mediante la exhibición de la correspondiente concesión, licencia, permiso, autorización o aviso.</w:t>
      </w:r>
    </w:p>
    <w:p w:rsidR="001F6E99" w:rsidRPr="001F6E99" w:rsidRDefault="001F6E99" w:rsidP="001F6E99">
      <w:pPr>
        <w:spacing w:before="240" w:after="240" w:line="360" w:lineRule="auto"/>
        <w:ind w:firstLine="708"/>
        <w:jc w:val="both"/>
        <w:rPr>
          <w:rFonts w:ascii="Arial Narrow" w:hAnsi="Arial Narrow" w:cs="Arial"/>
          <w:sz w:val="28"/>
          <w:szCs w:val="28"/>
        </w:rPr>
      </w:pPr>
      <w:r w:rsidRPr="001F6E99">
        <w:rPr>
          <w:rFonts w:ascii="Arial Narrow" w:hAnsi="Arial Narrow" w:cs="Arial"/>
          <w:sz w:val="28"/>
          <w:szCs w:val="28"/>
        </w:rPr>
        <w:t xml:space="preserve">Ahora bien, a raíz de la expresión de esos dos conceptos, conviene aclarar que el concepto de </w:t>
      </w:r>
      <w:r w:rsidRPr="001F6E99">
        <w:rPr>
          <w:rFonts w:ascii="Arial Narrow" w:hAnsi="Arial Narrow" w:cs="Arial"/>
          <w:i/>
          <w:sz w:val="28"/>
          <w:szCs w:val="28"/>
        </w:rPr>
        <w:t>interés legítimo</w:t>
      </w:r>
      <w:r w:rsidRPr="001F6E99">
        <w:rPr>
          <w:rFonts w:ascii="Arial Narrow" w:hAnsi="Arial Narrow" w:cs="Arial"/>
          <w:sz w:val="28"/>
          <w:szCs w:val="28"/>
        </w:rPr>
        <w:t xml:space="preserve"> define al derecho de los particulares para activar la actuación pública administrativa en defensa del interés público y la protección del orden jurídico; en tanto que, el </w:t>
      </w:r>
      <w:r w:rsidRPr="001F6E99">
        <w:rPr>
          <w:rFonts w:ascii="Arial Narrow" w:hAnsi="Arial Narrow" w:cs="Arial"/>
          <w:i/>
          <w:sz w:val="28"/>
          <w:szCs w:val="28"/>
        </w:rPr>
        <w:t>interés jurídico</w:t>
      </w:r>
      <w:r w:rsidRPr="001F6E99">
        <w:rPr>
          <w:rFonts w:ascii="Arial Narrow" w:hAnsi="Arial Narrow" w:cs="Arial"/>
          <w:sz w:val="28"/>
          <w:szCs w:val="28"/>
        </w:rPr>
        <w:t xml:space="preserve"> consiste en el derecho subjetivo de los particulares derivado del orden jurídico, que le confiere facultades o potestades específicas expresadas en actos administrativos, tales como concesiones, autorizaciones, permisos, licencias, registros y declaraciones.</w:t>
      </w:r>
    </w:p>
    <w:p w:rsidR="001F6E99" w:rsidRPr="001F6E99" w:rsidRDefault="001F6E99" w:rsidP="001F6E99">
      <w:pPr>
        <w:spacing w:before="240" w:after="240" w:line="360" w:lineRule="auto"/>
        <w:ind w:firstLine="708"/>
        <w:jc w:val="both"/>
        <w:rPr>
          <w:rFonts w:ascii="Arial Narrow" w:hAnsi="Arial Narrow" w:cs="Arial"/>
          <w:sz w:val="28"/>
          <w:szCs w:val="28"/>
        </w:rPr>
      </w:pPr>
      <w:r w:rsidRPr="001F6E99">
        <w:rPr>
          <w:rFonts w:ascii="Arial Narrow" w:hAnsi="Arial Narrow" w:cs="Arial"/>
          <w:sz w:val="28"/>
          <w:szCs w:val="28"/>
        </w:rPr>
        <w:t xml:space="preserve">En tal sentido, el interés jurídico requiere ser tutelado por una norma de derecho objetivo </w:t>
      </w:r>
      <w:r w:rsidRPr="001F6E99">
        <w:rPr>
          <w:rFonts w:ascii="Arial Narrow" w:hAnsi="Arial Narrow" w:cs="Arial"/>
          <w:i/>
          <w:sz w:val="28"/>
          <w:szCs w:val="28"/>
        </w:rPr>
        <w:t>(precisa de la afectación a un derecho subjetivo)</w:t>
      </w:r>
      <w:r w:rsidRPr="001F6E99">
        <w:rPr>
          <w:rFonts w:ascii="Arial Narrow" w:hAnsi="Arial Narrow" w:cs="Arial"/>
          <w:sz w:val="28"/>
          <w:szCs w:val="28"/>
        </w:rPr>
        <w:t>, el interés legítimo supone, únicamente, la existencia de un interés cualificado respecto de la legalidad de determinados actos, interés que proviene de la afectación a la esfera jurídica del individuo, ya sea directa o derivada de su situación particular respecto del orden jurídico.</w:t>
      </w:r>
    </w:p>
    <w:p w:rsidR="001F6E99" w:rsidRPr="001F6E99" w:rsidRDefault="001F6E99" w:rsidP="001F6E99">
      <w:pPr>
        <w:spacing w:before="240" w:after="240" w:line="360" w:lineRule="auto"/>
        <w:ind w:firstLine="708"/>
        <w:jc w:val="both"/>
        <w:rPr>
          <w:rFonts w:ascii="Arial Narrow" w:hAnsi="Arial Narrow" w:cs="Arial"/>
          <w:sz w:val="28"/>
          <w:szCs w:val="28"/>
        </w:rPr>
      </w:pPr>
      <w:r w:rsidRPr="001F6E99">
        <w:rPr>
          <w:rFonts w:ascii="Arial Narrow" w:hAnsi="Arial Narrow" w:cs="Arial"/>
          <w:sz w:val="28"/>
          <w:szCs w:val="28"/>
        </w:rPr>
        <w:t xml:space="preserve">En ese orden, se precisa que el interés jurídico implica la facultad o potestad de exigencia, cuya institución consigna la norma objetiva del derecho y supone la conjunción de dos elementos inseparables: a) una facultad de exigir; y, b) una obligación correlativa traducida en el deber jurídico de cumplir dicha exigencia. </w:t>
      </w:r>
    </w:p>
    <w:p w:rsidR="001F6E99" w:rsidRPr="001F6E99" w:rsidRDefault="001F6E99" w:rsidP="001F6E99">
      <w:pPr>
        <w:spacing w:before="240" w:after="240" w:line="360" w:lineRule="auto"/>
        <w:ind w:firstLine="708"/>
        <w:jc w:val="both"/>
        <w:rPr>
          <w:rFonts w:ascii="Arial Narrow" w:hAnsi="Arial Narrow" w:cs="Arial"/>
          <w:sz w:val="28"/>
          <w:szCs w:val="28"/>
        </w:rPr>
      </w:pPr>
      <w:r w:rsidRPr="001F6E99">
        <w:rPr>
          <w:rFonts w:ascii="Arial Narrow" w:hAnsi="Arial Narrow" w:cs="Arial"/>
          <w:sz w:val="28"/>
          <w:szCs w:val="28"/>
        </w:rPr>
        <w:t xml:space="preserve">Las normas que tutelan al interés jurídico son susceptibles de generar derechos subjetivos en beneficio de personas determinadas; pueden ser individualizadas; de tal manera que se afecte inmediata y directamente el estatus jurídico de la persona;   en cambio, las normas relativas al interés legítimo no tienen la capacidad de generar derechos subjetivos. </w:t>
      </w:r>
    </w:p>
    <w:p w:rsidR="001F6E99" w:rsidRPr="001F6E99" w:rsidRDefault="001F6E99" w:rsidP="001F6E99">
      <w:pPr>
        <w:spacing w:before="240" w:after="240" w:line="360" w:lineRule="auto"/>
        <w:ind w:firstLine="708"/>
        <w:jc w:val="both"/>
        <w:rPr>
          <w:rFonts w:ascii="Arial Narrow" w:hAnsi="Arial Narrow" w:cs="Arial"/>
          <w:sz w:val="28"/>
          <w:szCs w:val="28"/>
        </w:rPr>
      </w:pPr>
      <w:r w:rsidRPr="001F6E99">
        <w:rPr>
          <w:rFonts w:ascii="Arial Narrow" w:hAnsi="Arial Narrow" w:cs="Arial"/>
          <w:sz w:val="28"/>
          <w:szCs w:val="28"/>
        </w:rPr>
        <w:t>El interés jurídico determina una posición distinta frente al orden jurídico, que aquella que tiene quien acude a juicio con un interés legítimo que defender, pues su propia finalidad es de acotar dos posiciones diferenciadas.</w:t>
      </w:r>
    </w:p>
    <w:p w:rsidR="001F6E99" w:rsidRPr="001F6E99" w:rsidRDefault="001F6E99" w:rsidP="001F6E99">
      <w:pPr>
        <w:spacing w:before="240" w:after="240" w:line="360" w:lineRule="auto"/>
        <w:ind w:firstLine="708"/>
        <w:jc w:val="both"/>
        <w:rPr>
          <w:rFonts w:ascii="Arial Narrow" w:hAnsi="Arial Narrow" w:cs="Arial"/>
          <w:sz w:val="28"/>
          <w:szCs w:val="28"/>
        </w:rPr>
      </w:pPr>
      <w:r w:rsidRPr="001F6E99">
        <w:rPr>
          <w:rFonts w:ascii="Arial Narrow" w:hAnsi="Arial Narrow" w:cs="Arial"/>
          <w:sz w:val="28"/>
          <w:szCs w:val="28"/>
        </w:rPr>
        <w:t>Tal interés jurídico supone la existencia de un derecho dentro de la esfera jurídica particular de un individuo, en cambio, el interés legítimo no supone una afectación directa al estatus jurídico, sino una indirecta, en la medida en que la persona sufra una afectación, no en sí misma, sino por encontrarse ubicada en una especial situación frente al orden jurídico que le permite accionar para obtener el respeto a su interés jurídicamente tutelado, aunque no goce de un derecho subjetivo reflejo individual.</w:t>
      </w:r>
    </w:p>
    <w:p w:rsidR="001F6E99" w:rsidRPr="001F6E99" w:rsidRDefault="001F6E99" w:rsidP="001F6E99">
      <w:pPr>
        <w:spacing w:before="240" w:after="240" w:line="360" w:lineRule="auto"/>
        <w:ind w:firstLine="708"/>
        <w:jc w:val="both"/>
        <w:rPr>
          <w:rFonts w:ascii="Arial Narrow" w:hAnsi="Arial Narrow" w:cs="Arial"/>
          <w:sz w:val="28"/>
          <w:szCs w:val="28"/>
        </w:rPr>
      </w:pPr>
      <w:r w:rsidRPr="001F6E99">
        <w:rPr>
          <w:rFonts w:ascii="Arial Narrow" w:hAnsi="Arial Narrow" w:cs="Arial"/>
          <w:sz w:val="28"/>
          <w:szCs w:val="28"/>
        </w:rPr>
        <w:t>Por lo tanto, respecto de actos de naturaleza administrativa, debe tenerse en consideración que quien aduce un interés jurídico en sentido estricto, parte de que una norma general se ha individualizado en su beneficio; de tal forma que cuenta con un derecho subjetivo, mientras que quien ostenta interés legítimo aduce la existencia de una norma que aún no se ha individualizado en su beneficio, pues simplemente lo coloca, como integrante de una colectividad, en la posibilidad de defender, en su beneficio.</w:t>
      </w:r>
    </w:p>
    <w:p w:rsidR="001F6E99" w:rsidRPr="001F6E99" w:rsidRDefault="001F6E99" w:rsidP="001F6E99">
      <w:pPr>
        <w:spacing w:before="240" w:after="240" w:line="360" w:lineRule="auto"/>
        <w:ind w:firstLine="709"/>
        <w:jc w:val="both"/>
        <w:rPr>
          <w:rFonts w:ascii="Arial Narrow" w:hAnsi="Arial Narrow" w:cs="Arial"/>
          <w:sz w:val="28"/>
          <w:szCs w:val="28"/>
        </w:rPr>
      </w:pPr>
      <w:r w:rsidRPr="00AB1C8D">
        <w:rPr>
          <w:rFonts w:ascii="Arial Narrow" w:hAnsi="Arial Narrow" w:cs="Arial"/>
          <w:sz w:val="28"/>
          <w:szCs w:val="28"/>
        </w:rPr>
        <w:t>Ahora bien, una</w:t>
      </w:r>
      <w:r w:rsidRPr="001F6E99">
        <w:rPr>
          <w:rFonts w:ascii="Arial Narrow" w:hAnsi="Arial Narrow" w:cs="Arial"/>
          <w:sz w:val="28"/>
          <w:szCs w:val="28"/>
        </w:rPr>
        <w:t xml:space="preserve"> vez expuestas las consideraciones relativas a las diferencias de lo que se conoce como interés jurídico e interés legítimo, conviene tener en consideración que las autoridades demandadas aducen en su causal de improcedencia de manera directa que los actos derivan de acciones relacionadas con actividades reguladas y por ese simple hecho debe desestimarse la legitimación del hoy actor en la causa al grado de determinar la improcedencia y sobreseimiento del presente juicio, y, por su parte, el hoy actor en su demanda alega ilegalidades de los actos del procedimiento de verificación, alegando a su vez lo que considera ilegalidades de la sanción administrativa impuesta por la autoridad demandada</w:t>
      </w:r>
      <w:r w:rsidR="005979E0">
        <w:rPr>
          <w:rFonts w:ascii="Arial Narrow" w:hAnsi="Arial Narrow" w:cs="Arial"/>
          <w:sz w:val="28"/>
          <w:szCs w:val="28"/>
        </w:rPr>
        <w:t>, de lo cual solicita su nulidad</w:t>
      </w:r>
      <w:r w:rsidRPr="001F6E99">
        <w:rPr>
          <w:rFonts w:ascii="Arial Narrow" w:hAnsi="Arial Narrow" w:cs="Arial"/>
          <w:sz w:val="28"/>
          <w:szCs w:val="28"/>
        </w:rPr>
        <w:t>.</w:t>
      </w:r>
    </w:p>
    <w:p w:rsidR="001F6E99" w:rsidRPr="001F6E99" w:rsidRDefault="001F6E99" w:rsidP="001F6E99">
      <w:pPr>
        <w:spacing w:before="240" w:after="240" w:line="360" w:lineRule="auto"/>
        <w:ind w:firstLine="709"/>
        <w:jc w:val="both"/>
        <w:rPr>
          <w:rFonts w:ascii="Arial Narrow" w:hAnsi="Arial Narrow" w:cs="Arial"/>
          <w:sz w:val="28"/>
          <w:szCs w:val="28"/>
        </w:rPr>
      </w:pPr>
      <w:r w:rsidRPr="001F6E99">
        <w:rPr>
          <w:rFonts w:ascii="Arial Narrow" w:hAnsi="Arial Narrow" w:cs="Arial"/>
          <w:sz w:val="28"/>
          <w:szCs w:val="28"/>
        </w:rPr>
        <w:t xml:space="preserve">Con base en lo anterior, debe puntualizarse que la autoridad demandada </w:t>
      </w:r>
      <w:r w:rsidR="00640228">
        <w:rPr>
          <w:rFonts w:ascii="Arial Narrow" w:hAnsi="Arial Narrow" w:cs="Arial"/>
          <w:sz w:val="28"/>
          <w:szCs w:val="28"/>
          <w:u w:val="single"/>
        </w:rPr>
        <w:t>acierta</w:t>
      </w:r>
      <w:r w:rsidRPr="001F6E99">
        <w:rPr>
          <w:rFonts w:ascii="Arial Narrow" w:hAnsi="Arial Narrow" w:cs="Arial"/>
          <w:sz w:val="28"/>
          <w:szCs w:val="28"/>
          <w:u w:val="single"/>
        </w:rPr>
        <w:t xml:space="preserve"> al señalar que en el asunto</w:t>
      </w:r>
      <w:r w:rsidR="00640228">
        <w:rPr>
          <w:rFonts w:ascii="Arial Narrow" w:hAnsi="Arial Narrow" w:cs="Arial"/>
          <w:sz w:val="28"/>
          <w:szCs w:val="28"/>
          <w:u w:val="single"/>
        </w:rPr>
        <w:t>,</w:t>
      </w:r>
      <w:r w:rsidRPr="001F6E99">
        <w:rPr>
          <w:rFonts w:ascii="Arial Narrow" w:hAnsi="Arial Narrow" w:cs="Arial"/>
          <w:sz w:val="28"/>
          <w:szCs w:val="28"/>
          <w:u w:val="single"/>
        </w:rPr>
        <w:t xml:space="preserve"> se requiere de la exhibición de la licencia que ampare la realización de actividades reguladas para acreditar el interés jurídico</w:t>
      </w:r>
      <w:r w:rsidRPr="001F6E99">
        <w:rPr>
          <w:rFonts w:ascii="Arial Narrow" w:hAnsi="Arial Narrow" w:cs="Arial"/>
          <w:sz w:val="28"/>
          <w:szCs w:val="28"/>
        </w:rPr>
        <w:t xml:space="preserve">, de ahí que las tesis de jurisprudencia y aislada de rubro </w:t>
      </w:r>
      <w:r w:rsidRPr="001F6E99">
        <w:rPr>
          <w:rFonts w:ascii="Arial Narrow" w:hAnsi="Arial Narrow" w:cs="Arial"/>
          <w:i/>
          <w:sz w:val="28"/>
          <w:szCs w:val="28"/>
        </w:rPr>
        <w:t>“</w:t>
      </w:r>
      <w:r w:rsidRPr="00F86A0D">
        <w:rPr>
          <w:rFonts w:ascii="Arial Narrow" w:hAnsi="Arial Narrow" w:cs="Arial"/>
          <w:i/>
          <w:sz w:val="28"/>
          <w:szCs w:val="28"/>
        </w:rPr>
        <w:t>JUICIO CONTENCIOSO ADMINISTRATIVO. TRATÁNDOSE DE ACTIVIDADES REGLAMENTADAS, PARA QUE EL PARTICULAR IMPUGNE LAS VIOLACIONES QUE CON MOTIVO DE ELLAS RESIENTA, ES NECESARIO ACREDITAR NO SÓLO EL INTERÉS LEGÍTIMO SINO TAMBIÉN EL JURÍDICO Y EXHIBIR LA LICENCIA, PERMISO O MANIFESTACIÓN QUE SE EXIJA PARA REALIZAR AQUÉLLAS (LEGISLACIÓN DEL DISTRITO FEDERAL)”</w:t>
      </w:r>
      <w:r w:rsidRPr="00F86A0D">
        <w:rPr>
          <w:rFonts w:ascii="Arial Narrow" w:hAnsi="Arial Narrow" w:cs="Arial"/>
          <w:sz w:val="28"/>
          <w:szCs w:val="28"/>
        </w:rPr>
        <w:t xml:space="preserve"> y “</w:t>
      </w:r>
      <w:r w:rsidRPr="00F86A0D">
        <w:rPr>
          <w:rFonts w:ascii="Arial Narrow" w:hAnsi="Arial Narrow" w:cs="Arial"/>
          <w:i/>
          <w:sz w:val="28"/>
          <w:szCs w:val="28"/>
        </w:rPr>
        <w:t>CONTENCIOSO ADMINISTRATIVO. </w:t>
      </w:r>
      <w:r w:rsidR="006E64BA" w:rsidRPr="00F86A0D">
        <w:rPr>
          <w:rFonts w:ascii="Arial Narrow" w:hAnsi="Arial Narrow" w:cs="Arial"/>
          <w:i/>
          <w:sz w:val="28"/>
          <w:szCs w:val="28"/>
        </w:rPr>
        <w:t xml:space="preserve"> </w:t>
      </w:r>
      <w:r w:rsidRPr="00F86A0D">
        <w:rPr>
          <w:rFonts w:ascii="Arial Narrow" w:hAnsi="Arial Narrow" w:cs="Arial"/>
          <w:i/>
          <w:sz w:val="28"/>
          <w:szCs w:val="28"/>
        </w:rPr>
        <w:t xml:space="preserve">IMPROCEDENCIA DEL JUICIO, </w:t>
      </w:r>
      <w:r w:rsidR="005979E0" w:rsidRPr="00F86A0D">
        <w:rPr>
          <w:rFonts w:ascii="Arial Narrow" w:hAnsi="Arial Narrow" w:cs="Arial"/>
          <w:i/>
          <w:sz w:val="28"/>
          <w:szCs w:val="28"/>
        </w:rPr>
        <w:t xml:space="preserve"> POR </w:t>
      </w:r>
      <w:r w:rsidRPr="00F86A0D">
        <w:rPr>
          <w:rFonts w:ascii="Arial Narrow" w:hAnsi="Arial Narrow" w:cs="Arial"/>
          <w:i/>
          <w:sz w:val="28"/>
          <w:szCs w:val="28"/>
        </w:rPr>
        <w:t xml:space="preserve"> FALTA DE INTERES JURIDICO (ARTICULO 49, FRACCION V, DE LA LEY DEL TRIBUNAL DE LO CONTENCIOSO ADMINISTRATIVO DEL D.F.).” </w:t>
      </w:r>
      <w:r w:rsidRPr="00F86A0D">
        <w:rPr>
          <w:rFonts w:ascii="Arial Narrow" w:hAnsi="Arial Narrow" w:cs="Arial"/>
          <w:sz w:val="28"/>
          <w:szCs w:val="28"/>
        </w:rPr>
        <w:t>respectivamente</w:t>
      </w:r>
      <w:r w:rsidRPr="00F86A0D">
        <w:rPr>
          <w:rFonts w:ascii="Arial Narrow" w:hAnsi="Arial Narrow" w:cs="Arial"/>
          <w:i/>
          <w:sz w:val="28"/>
          <w:szCs w:val="28"/>
        </w:rPr>
        <w:t xml:space="preserve">, </w:t>
      </w:r>
      <w:r w:rsidRPr="00F86A0D">
        <w:rPr>
          <w:rFonts w:ascii="Arial Narrow" w:hAnsi="Arial Narrow" w:cs="Arial"/>
          <w:sz w:val="28"/>
          <w:szCs w:val="28"/>
        </w:rPr>
        <w:t xml:space="preserve">permitan reconocer por identidad de razón con lo dispuesto </w:t>
      </w:r>
      <w:r w:rsidRPr="001F6E99">
        <w:rPr>
          <w:rFonts w:ascii="Arial Narrow" w:hAnsi="Arial Narrow" w:cs="Arial"/>
          <w:sz w:val="28"/>
          <w:szCs w:val="28"/>
        </w:rPr>
        <w:t xml:space="preserve">en los artículos del Código Procesal Administrativo que nos atañen, la exigencia de acreditación del interés jurídico, </w:t>
      </w:r>
      <w:r w:rsidRPr="001F6E99">
        <w:rPr>
          <w:rFonts w:ascii="Arial Narrow" w:hAnsi="Arial Narrow" w:cs="Arial"/>
          <w:b/>
          <w:sz w:val="28"/>
          <w:szCs w:val="28"/>
          <w:u w:val="single"/>
        </w:rPr>
        <w:t>sin embargo</w:t>
      </w:r>
      <w:r w:rsidRPr="001F6E99">
        <w:rPr>
          <w:rFonts w:ascii="Arial Narrow" w:hAnsi="Arial Narrow" w:cs="Arial"/>
          <w:sz w:val="28"/>
          <w:szCs w:val="28"/>
        </w:rPr>
        <w:t>, la acreditación de tal interés se encuentra limitada a que quien demande trate de obtener una sentencia que le permita realizar actividades reglamentadas.</w:t>
      </w:r>
    </w:p>
    <w:p w:rsidR="001F6E99" w:rsidRPr="001F6E99" w:rsidRDefault="001F6E99" w:rsidP="001F6E99">
      <w:pPr>
        <w:spacing w:before="240" w:after="240" w:line="360" w:lineRule="auto"/>
        <w:ind w:firstLine="709"/>
        <w:jc w:val="both"/>
        <w:rPr>
          <w:rFonts w:ascii="Arial Narrow" w:hAnsi="Arial Narrow" w:cs="Arial"/>
          <w:sz w:val="28"/>
          <w:szCs w:val="28"/>
        </w:rPr>
      </w:pPr>
      <w:r w:rsidRPr="001F6E99">
        <w:rPr>
          <w:rFonts w:ascii="Arial Narrow" w:hAnsi="Arial Narrow" w:cs="Arial"/>
          <w:sz w:val="28"/>
          <w:szCs w:val="28"/>
        </w:rPr>
        <w:t>Es decir, las hipótesis contenidas en las disposiciones del Código Procesal Administrativo para el Estado, invocadas por las autoridades demandadas, no establecen expresamente que cuando el actor pretenda o trate de obtener una sentencia que le permita realizar actividades reglamentadas y omita acreditar el interés jurídico con la exhibición de la correspondiente concesión, licencia, permiso, autorización o aviso, amerite decretar la improcedencia y sobreseimiento del juicio, como las demandadas pretenden se establezca por esta Juzgadora.</w:t>
      </w:r>
    </w:p>
    <w:p w:rsidR="001F6E99" w:rsidRPr="001F6E99" w:rsidRDefault="001F6E99" w:rsidP="001F6E99">
      <w:pPr>
        <w:spacing w:before="240" w:after="240" w:line="360" w:lineRule="auto"/>
        <w:ind w:firstLine="709"/>
        <w:jc w:val="both"/>
        <w:rPr>
          <w:rFonts w:ascii="Arial Narrow" w:hAnsi="Arial Narrow" w:cs="Arial"/>
          <w:sz w:val="28"/>
          <w:szCs w:val="28"/>
        </w:rPr>
      </w:pPr>
      <w:r w:rsidRPr="001F6E99">
        <w:rPr>
          <w:rFonts w:ascii="Arial Narrow" w:hAnsi="Arial Narrow" w:cs="Arial"/>
          <w:sz w:val="28"/>
          <w:szCs w:val="28"/>
        </w:rPr>
        <w:t xml:space="preserve">En ese orden, debe precisarse que, si bien como lo pretenden las autoridades demandadas de la interpretación literal de los artículos 231 y 228 fracción II, del Código Procesal Administrativo para el Estado, se podría suponer la improcedencia del juicio de nulidad cuando el actor no acredita su interés jurídico en los términos establecidos en la norma por el legislador, </w:t>
      </w:r>
      <w:r w:rsidRPr="001F6E99">
        <w:rPr>
          <w:rFonts w:ascii="Arial Narrow" w:hAnsi="Arial Narrow" w:cs="Arial"/>
          <w:b/>
          <w:sz w:val="28"/>
          <w:szCs w:val="28"/>
        </w:rPr>
        <w:t>no menos cierto es que</w:t>
      </w:r>
      <w:r w:rsidRPr="001F6E99">
        <w:rPr>
          <w:rFonts w:ascii="Arial Narrow" w:hAnsi="Arial Narrow" w:cs="Arial"/>
          <w:sz w:val="28"/>
          <w:szCs w:val="28"/>
        </w:rPr>
        <w:t>, ello implicaría supeditar la procedencia del juicio a una cuestión de fondo, obstaculizando el acceso a la justicia por una razón vinculada no a un presupuesto de viabilidad del juicio, sino a una condición para lograr un fallo favorable, lo cual propiamente conduce a entender esa exigencia como de legitimación en la causa y no de improcedencia del juicio, como realmente se pretende por las demandadas.</w:t>
      </w:r>
    </w:p>
    <w:p w:rsidR="001F6E99" w:rsidRPr="001F6E99" w:rsidRDefault="001F6E99" w:rsidP="001F6E99">
      <w:pPr>
        <w:spacing w:before="240" w:after="240" w:line="360" w:lineRule="auto"/>
        <w:ind w:firstLine="709"/>
        <w:jc w:val="both"/>
        <w:rPr>
          <w:rFonts w:ascii="Arial Narrow" w:hAnsi="Arial Narrow" w:cs="Arial"/>
          <w:sz w:val="28"/>
          <w:szCs w:val="28"/>
        </w:rPr>
      </w:pPr>
      <w:r w:rsidRPr="001F6E99">
        <w:rPr>
          <w:rFonts w:ascii="Arial Narrow" w:hAnsi="Arial Narrow" w:cs="Arial"/>
          <w:sz w:val="28"/>
          <w:szCs w:val="28"/>
        </w:rPr>
        <w:t>El criterio de esta Sala Unitaria, coincide por analogía, en lo conducente, con lo expuesto en la tesis aislada y de jurisprudencia por reiteración, cuyos datos de identificación, rubro y contenido son los siguientes:</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Registro digital: 2010704</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Instancia: Tribunales Colegiados de Circuito</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Décima Época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Materias(s): Constitucional, Administrativa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Tesis: I.18o.A.15 A (10a.)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Fuente: Gaceta del Semanario Judicial de la Federación. Libro 25, Diciembre de 2015, Tomo II, página 1248</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Tipo: Aislada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r w:rsidRPr="0016196E">
        <w:rPr>
          <w:rFonts w:ascii="Arial" w:eastAsia="Times New Roman" w:hAnsi="Arial" w:cs="Arial"/>
          <w:b/>
          <w:iCs/>
          <w:sz w:val="20"/>
          <w:szCs w:val="20"/>
          <w:lang w:val="es-ES" w:eastAsia="es-ES"/>
        </w:rPr>
        <w:t>INTERÉS JURÍDICO. LA INTERPRETACIÓN CONFORME A LA CONSTITUCIÓN DEL ARTÍCULO 51, SEGUNDO PÁRRAFO, DE LA LEY ORGÁNICA DEL TRIBUNAL DE LO CONTENCIOSO ADMINISTRATIVO DEL DISTRITO FEDERAL, PERMITE ENTENDER TAL EXIGENCIA COMO LA LEGITIMACIÓN EN LA CAUSA Y, DE ESE MODO, DICHO PRECEPTO RESPETA EL DERECHO DE ACCESO A LA JUSTICIA</w:t>
      </w:r>
      <w:r w:rsidRPr="0016196E">
        <w:rPr>
          <w:rFonts w:ascii="Arial" w:eastAsia="Times New Roman" w:hAnsi="Arial" w:cs="Arial"/>
          <w:iCs/>
          <w:sz w:val="20"/>
          <w:szCs w:val="20"/>
          <w:lang w:val="es-ES" w:eastAsia="es-ES"/>
        </w:rPr>
        <w:t xml:space="preserve">. El acceso a la justicia, tutelado en el artículo 17 de la Constitución Política de los Estados Unidos Mexicanos, se traduce en el derecho de todos los gobernados a contar con un recurso sencillo para defender sus derechos, así como a obtener una resolución sobre sus litigios por tribunales imparciales, independientes y expeditos para impartir justicia, dentro de los plazos y en los términos establecidos en las leyes. Por su parte, el artículo 51, segundo párrafo, de la Ley Orgánica del Tribunal de lo Contencioso Administrativo del Distrito Federal establece que cuando el actor pretenda obtener una sentencia que le permita realizar actividades reguladas, deberá acreditar su interés jurídico mediante la correspondiente concesión, licencia, permiso, autorización o aviso. </w:t>
      </w:r>
      <w:r w:rsidRPr="0016196E">
        <w:rPr>
          <w:rFonts w:ascii="Arial" w:eastAsia="Times New Roman" w:hAnsi="Arial" w:cs="Arial"/>
          <w:b/>
          <w:iCs/>
          <w:sz w:val="20"/>
          <w:szCs w:val="20"/>
          <w:u w:val="single"/>
          <w:lang w:val="es-ES" w:eastAsia="es-ES"/>
        </w:rPr>
        <w:t>Ahora bien, la interpretación literal de este precepto podría suponer la improcedencia del juicio de nulidad cuando el actor no acredita su interés jurídico en los términos establecidos por el legislador, pero eso implicaría supeditar la procedencia del juicio a una cuestión de fondo, y se obstaculizaría el acceso a la justicia por una razón vinculada no a un presupuesto de viabilidad del juicio, sino a una condición para lograr un fallo favorable.</w:t>
      </w:r>
      <w:r w:rsidRPr="0016196E">
        <w:rPr>
          <w:rFonts w:ascii="Arial" w:eastAsia="Times New Roman" w:hAnsi="Arial" w:cs="Arial"/>
          <w:iCs/>
          <w:sz w:val="20"/>
          <w:szCs w:val="20"/>
          <w:lang w:val="es-ES" w:eastAsia="es-ES"/>
        </w:rPr>
        <w:t xml:space="preserve"> En cambio, la interpretación conforme a la Constitución, conduce a entender esa exigencia como la legitimación en la causa, pues implica demostrar el derecho subjetivo que se tiene para realizar las actividades reguladas, lo cual incide en el fondo de la cuestión debatida y no lleva a la improcedencia o al sobreseimiento en el juicio contencioso administrativo. En consecuencia, esta última forma de interpretación normativa no obstaculiza o impide al justiciable acudir a la instancia jurisdiccional a deducir los derechos que estima violados, ni genera el sobreseimiento en el juicio; por tanto, bajo ese criterio, el artículo 51, segundo párrafo, citado, respeta el derecho de acceso a la justicia.”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DÉCIMO OCTAVO TRIBUNAL COLEGIADO EN MATERIA ADMINISTRATIVA DEL PRIMER CIRCUITO.</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 xml:space="preserve">Amparo directo 622/2014. Jerónimo Cedillo Granados. 30 de marzo de 2015. Unanimidad de votos. Ponente: Armando Cruz Espinosa. Secretaria: Ana Columba Contreras Martínez. </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 xml:space="preserve">Amparo directo 894/2014. </w:t>
      </w:r>
      <w:proofErr w:type="spellStart"/>
      <w:r w:rsidRPr="0016196E">
        <w:rPr>
          <w:rFonts w:ascii="Arial" w:eastAsia="Times New Roman" w:hAnsi="Arial" w:cs="Arial"/>
          <w:iCs/>
          <w:sz w:val="20"/>
          <w:szCs w:val="20"/>
          <w:lang w:val="es-ES" w:eastAsia="es-ES"/>
        </w:rPr>
        <w:t>Showcase</w:t>
      </w:r>
      <w:proofErr w:type="spellEnd"/>
      <w:r w:rsidRPr="0016196E">
        <w:rPr>
          <w:rFonts w:ascii="Arial" w:eastAsia="Times New Roman" w:hAnsi="Arial" w:cs="Arial"/>
          <w:iCs/>
          <w:sz w:val="20"/>
          <w:szCs w:val="20"/>
          <w:lang w:val="es-ES" w:eastAsia="es-ES"/>
        </w:rPr>
        <w:t xml:space="preserve"> Publicidad, S.A. de C.V. 20 de abril de 2015. Unanimidad de votos. Ponente: Armando Cruz Espinosa. Secretaria: Ana Columba Contreras Martínez.</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Nota: Esta tesis refleja un criterio firme sustentado por un Tribunal Colegiado de Circuito al resolver un juicio de amparo directo, por lo que atendiendo a la tesis P. LX/98, publicada en el Semanario Judicial de la Federación y su Gaceta, Novena Época, Tomo VIII, septiembre de 1998, página 56, de rubro: "TRIBUNALES COLEGIADOS DE CIRCUITO. AUNQUE LAS CONSIDERACIONES SOBRE CONSTITUCIONALIDAD DE LEYES QUE EFECTUÁN EN LOS JUICIOS DE AMPARO DIRECTO, NO SON APTAS PARA INTEGRAR JURISPRUDENCIA, RESULTA ÚTIL LA PUBLICACIÓN DE LOS CRITERIOS.", no es obligatorio ni apto para integrar jurisprudencia.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En relación con el alcance de la presente tesis, destaca la diversa aislada P. X/2014 (10a.), de título y subtítulo: "TRIBUNAL DE LO CONTENCIOSO ADMINISTRATIVO DEL DISTRITO FEDERAL. EL ARTÍCULO 51, PÁRRAFO SEGUNDO, DE SU LEY ORGÁNICA, ADICIONADO MEDIANTE DECRETO PUBLICADO EN LA GACETA OFICIAL LOCAL EL 24 DE JULIO DE 2012, NO CONTIENE UN FORMALISMO SIN SENTIDO O UN OBSTÁCULO QUE VULNERE EL DERECHO DE ACCESO A LA JUSTICIA, NI VIOLA EL ARTÍCULO 8, NUMERAL 1, DE LA CONVENCIÓN AMERICANA SOBRE DERECHOS HUMANOS.", publicada en el Semanario Judicial de la Federación del viernes 11 de abril de 2014 a las 10:09 horas y en la Gaceta del Semanario Judicial de la Federación, Décima Época, Libro 5, Tomo I, abril de 2014, página 418.</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Esta tesis se publicó el viernes 11 de diciembre de 2015 a las 11:15 horas en el Semanario Judicial de la Federación.</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Registro digital: 2010641</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Instancia: Tribunales Colegiados de Circuito</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Décima Época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Materias(s): Administrativa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Tesis: I.18o.A. J/2 (10a.)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Fuente: Gaceta del Semanario Judicial de la Federación. Libro 25, Diciembre de 2015, Tomo II, página 1132</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Tipo: Jurisprudencia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b/>
          <w:iCs/>
          <w:sz w:val="20"/>
          <w:szCs w:val="20"/>
          <w:lang w:val="es-ES" w:eastAsia="es-ES"/>
        </w:rPr>
        <w:t>“INTERÉS JURÍDICO. EL EXIGIDO POR EL ARTÍCULO 51, SEGUNDO PÁRRAFO, DE LA LEY ORGÁNICA DEL TRIBUNAL DE LO CONTENCIOSO ADMINISTRATIVO DEL DISTRITO FEDERAL, NO CONSTITUYE UNA CAUSA DE IMPROCEDENCIA DEL JUICIO DE NULIDAD, SINO DE LEGITIMACIÓN EN LA CAUSA.</w:t>
      </w:r>
      <w:r w:rsidRPr="0016196E">
        <w:rPr>
          <w:rFonts w:ascii="Arial" w:eastAsia="Times New Roman" w:hAnsi="Arial" w:cs="Arial"/>
          <w:iCs/>
          <w:sz w:val="20"/>
          <w:szCs w:val="20"/>
          <w:lang w:val="es-ES" w:eastAsia="es-ES"/>
        </w:rPr>
        <w:t xml:space="preserve"> El artículo 51, segundo párrafo, de la Ley Orgánica del Tribunal de lo Contencioso Administrativo del Distrito Federal prevé que, tratándose de actividades reguladas, para lograr un fallo favorable, el actor debe acreditar su interés jurídico mediante la correspondiente concesión, licencia, permiso, autorización o aviso; </w:t>
      </w:r>
      <w:r w:rsidRPr="0016196E">
        <w:rPr>
          <w:rFonts w:ascii="Arial" w:eastAsia="Times New Roman" w:hAnsi="Arial" w:cs="Arial"/>
          <w:b/>
          <w:iCs/>
          <w:sz w:val="20"/>
          <w:szCs w:val="20"/>
          <w:u w:val="single"/>
          <w:lang w:val="es-ES" w:eastAsia="es-ES"/>
        </w:rPr>
        <w:t xml:space="preserve">sin embargo, tal exigencia no debe entenderse como un supuesto de improcedencia que genere el </w:t>
      </w:r>
      <w:proofErr w:type="spellStart"/>
      <w:r w:rsidRPr="0016196E">
        <w:rPr>
          <w:rFonts w:ascii="Arial" w:eastAsia="Times New Roman" w:hAnsi="Arial" w:cs="Arial"/>
          <w:b/>
          <w:iCs/>
          <w:sz w:val="20"/>
          <w:szCs w:val="20"/>
          <w:u w:val="single"/>
          <w:lang w:val="es-ES" w:eastAsia="es-ES"/>
        </w:rPr>
        <w:t>desechamiento</w:t>
      </w:r>
      <w:proofErr w:type="spellEnd"/>
      <w:r w:rsidRPr="0016196E">
        <w:rPr>
          <w:rFonts w:ascii="Arial" w:eastAsia="Times New Roman" w:hAnsi="Arial" w:cs="Arial"/>
          <w:b/>
          <w:iCs/>
          <w:sz w:val="20"/>
          <w:szCs w:val="20"/>
          <w:u w:val="single"/>
          <w:lang w:val="es-ES" w:eastAsia="es-ES"/>
        </w:rPr>
        <w:t xml:space="preserve"> de la demanda o el sobreseimiento en el juicio, lo anterior al no estar previsto así en el artículo 120 de la Ley Orgánica del Tribunal de lo Contencioso Administrativo del Distrito Federal -que contiene las causales de improcedencia del juicio-, más bien se debe entender como  una condición para obtener en el fondo una sentencia favorable que reconozca el derecho a desarrollar una actividad regulada, lo cual se traduce en la legitimación ad </w:t>
      </w:r>
      <w:proofErr w:type="spellStart"/>
      <w:r w:rsidRPr="0016196E">
        <w:rPr>
          <w:rFonts w:ascii="Arial" w:eastAsia="Times New Roman" w:hAnsi="Arial" w:cs="Arial"/>
          <w:b/>
          <w:iCs/>
          <w:sz w:val="20"/>
          <w:szCs w:val="20"/>
          <w:u w:val="single"/>
          <w:lang w:val="es-ES" w:eastAsia="es-ES"/>
        </w:rPr>
        <w:t>causam</w:t>
      </w:r>
      <w:proofErr w:type="spellEnd"/>
      <w:r w:rsidRPr="0016196E">
        <w:rPr>
          <w:rFonts w:ascii="Arial" w:eastAsia="Times New Roman" w:hAnsi="Arial" w:cs="Arial"/>
          <w:b/>
          <w:iCs/>
          <w:sz w:val="20"/>
          <w:szCs w:val="20"/>
          <w:u w:val="single"/>
          <w:lang w:val="es-ES" w:eastAsia="es-ES"/>
        </w:rPr>
        <w:t>, pues atañe al fondo de la cuestión litigiosa, al involucrar el derecho subjetivo que se pretende reconocer y por lo mismo sólo puede analizarse al emitir la sentencia definitiva</w:t>
      </w:r>
      <w:r w:rsidRPr="0016196E">
        <w:rPr>
          <w:rFonts w:ascii="Arial" w:eastAsia="Times New Roman" w:hAnsi="Arial" w:cs="Arial"/>
          <w:iCs/>
          <w:sz w:val="20"/>
          <w:szCs w:val="20"/>
          <w:lang w:val="es-ES" w:eastAsia="es-ES"/>
        </w:rPr>
        <w:t>. En suma, la falta de acreditación de ese extremo no debe llevar a la improcedencia o al sobreseimiento en el juicio, sino en todo caso a denegar la pretensión de fondo formulada.”</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DÉCIMO OCTAVO TRIBUNAL COLEGIADO EN MATERIA ADMINISTRATIVA DEL PRIMER CIRCUITO.</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Amparo directo 821/2014. René Abraham Guevara Morales. 26 de febrero de 2015. Unanimidad de votos. Ponente: Armando Cruz Espinosa. Secretaria: Mariana Calderón Aramburu.</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Amparo directo 622/2014. Jerónimo Cedillo Granados. 30 de marzo de 2015. Unanimidad de votos. Ponente: Armando Cruz Espinosa. Secretaria: Ana Columba Contreras Martínez.</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 xml:space="preserve">Amparo directo 693/2014. Inmobiliaria </w:t>
      </w:r>
      <w:proofErr w:type="spellStart"/>
      <w:r w:rsidRPr="0016196E">
        <w:rPr>
          <w:rFonts w:ascii="Arial" w:eastAsia="Times New Roman" w:hAnsi="Arial" w:cs="Arial"/>
          <w:iCs/>
          <w:sz w:val="20"/>
          <w:szCs w:val="20"/>
          <w:lang w:val="es-ES" w:eastAsia="es-ES"/>
        </w:rPr>
        <w:t>Hapeco</w:t>
      </w:r>
      <w:proofErr w:type="spellEnd"/>
      <w:r w:rsidRPr="0016196E">
        <w:rPr>
          <w:rFonts w:ascii="Arial" w:eastAsia="Times New Roman" w:hAnsi="Arial" w:cs="Arial"/>
          <w:iCs/>
          <w:sz w:val="20"/>
          <w:szCs w:val="20"/>
          <w:lang w:val="es-ES" w:eastAsia="es-ES"/>
        </w:rPr>
        <w:t xml:space="preserve">, S.A. de C.V. 9 de abril de 2015. Unanimidad de votos. Ponente: Adriana Escorza Carranza. Secretario: Alejandro Tadeo Villanueva Armenta. </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 xml:space="preserve">Amparo directo 894/2014. </w:t>
      </w:r>
      <w:proofErr w:type="spellStart"/>
      <w:r w:rsidRPr="0016196E">
        <w:rPr>
          <w:rFonts w:ascii="Arial" w:eastAsia="Times New Roman" w:hAnsi="Arial" w:cs="Arial"/>
          <w:iCs/>
          <w:sz w:val="20"/>
          <w:szCs w:val="20"/>
          <w:lang w:val="es-ES" w:eastAsia="es-ES"/>
        </w:rPr>
        <w:t>Showcase</w:t>
      </w:r>
      <w:proofErr w:type="spellEnd"/>
      <w:r w:rsidRPr="0016196E">
        <w:rPr>
          <w:rFonts w:ascii="Arial" w:eastAsia="Times New Roman" w:hAnsi="Arial" w:cs="Arial"/>
          <w:iCs/>
          <w:sz w:val="20"/>
          <w:szCs w:val="20"/>
          <w:lang w:val="es-ES" w:eastAsia="es-ES"/>
        </w:rPr>
        <w:t xml:space="preserve"> Publicidad, S.A. de C.V. 20 de abril de 2015. Unanimidad de votos. Ponente: Armando Cruz Espinosa. Secretaria: Ana Columba Contreras Martínez.</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Amparo directo 14/2015. 8 de junio de 2015. Unanimidad de votos. Ponente: Armando Cruz Espinosa. Secretaria: Ana Columba Contreras Martínez.</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Esta tesis se publicó el viernes 04 de diciembre de 2015 a las 10:30 horas en el Semanario Judicial de la Federación y, por ende, se considera de aplicación obligatoria a partir del lunes 07 de diciembre de 2015, para los efectos previstos en el punto séptimo del Acuerdo General Plenario 19/2013.</w:t>
      </w:r>
    </w:p>
    <w:p w:rsidR="004C740B" w:rsidRPr="0016196E" w:rsidRDefault="004C740B"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8A709C" w:rsidRDefault="001F6E99" w:rsidP="001F6E99">
      <w:pPr>
        <w:spacing w:before="240" w:after="240" w:line="360" w:lineRule="auto"/>
        <w:ind w:firstLine="709"/>
        <w:jc w:val="both"/>
        <w:rPr>
          <w:rFonts w:ascii="Arial Narrow" w:hAnsi="Arial Narrow" w:cs="Arial"/>
          <w:sz w:val="28"/>
          <w:szCs w:val="28"/>
        </w:rPr>
      </w:pPr>
      <w:r w:rsidRPr="008A709C">
        <w:rPr>
          <w:rFonts w:ascii="Arial Narrow" w:hAnsi="Arial Narrow" w:cs="Arial"/>
          <w:sz w:val="28"/>
          <w:szCs w:val="28"/>
        </w:rPr>
        <w:t xml:space="preserve">A mayor abundamiento, debe considerarse que las disposiciones analizadas en las tesis invocadas por las demandadas, con las que pretenden se estime conducente decretar el sobreseimiento, además de no formar parte del circuito judicial al que pertenece este Tribunal, versan sobre un análisis a disposiciones locales de un tribunal diverso a éste que posteriormente fueron reformadas y sobre el análisis de aquellas nuevas disposiciones la Segunda Sala de la Suprema Corte de Justicia de la Nación, estableció jurisprudencia </w:t>
      </w:r>
      <w:r w:rsidRPr="008A709C">
        <w:rPr>
          <w:rFonts w:ascii="Arial Narrow" w:hAnsi="Arial Narrow" w:cs="Arial"/>
          <w:i/>
          <w:sz w:val="28"/>
          <w:szCs w:val="28"/>
        </w:rPr>
        <w:t>(la cual es obligatoria en términos de lo que dispone el artículo 217 de la Ley de Amparo)</w:t>
      </w:r>
      <w:r w:rsidRPr="008A709C">
        <w:rPr>
          <w:rFonts w:ascii="Arial Narrow" w:hAnsi="Arial Narrow" w:cs="Arial"/>
          <w:sz w:val="28"/>
          <w:szCs w:val="28"/>
        </w:rPr>
        <w:t xml:space="preserve"> para señalar que aun y cuando exista disposición expresa, como en el caso lo era el dispositivo legal de la Ley del Tribunal de lo Contencioso Administrativo del Distrito Federal, cuando el actor además reclame una sanción impuesta sin contar con la correspondiente concesión, licencia permiso, autorización o aviso, el Tribunal deberá ceñirse al estudio de la sanción, sin poder analizar los actos preliminares de verificación que le antecedieron, como pueden ser el acta de inicio y el consecuente procedimiento administrativo sancionador, porque estos solo puede controvertirlos quien cuente con un interés jurídico, por lo cual los argumentos que se invoquen al respecto se tornan inoperantes. </w:t>
      </w:r>
    </w:p>
    <w:p w:rsidR="001F6E99" w:rsidRPr="008A709C" w:rsidRDefault="001F6E99" w:rsidP="001F6E99">
      <w:pPr>
        <w:spacing w:before="240" w:after="240" w:line="360" w:lineRule="auto"/>
        <w:ind w:firstLine="708"/>
        <w:jc w:val="both"/>
        <w:rPr>
          <w:rFonts w:ascii="Arial Narrow" w:hAnsi="Arial Narrow" w:cs="Arial"/>
          <w:sz w:val="28"/>
          <w:szCs w:val="28"/>
        </w:rPr>
      </w:pPr>
      <w:r w:rsidRPr="008A709C">
        <w:rPr>
          <w:rFonts w:ascii="Arial Narrow" w:hAnsi="Arial Narrow" w:cs="Arial"/>
          <w:sz w:val="28"/>
          <w:szCs w:val="28"/>
        </w:rPr>
        <w:t>Por lo que, aunque en el presente juicio se demandó y se argumentó en contra de diversos actos, el estudio de la legitimación del actor se circunscribe a la impugnación de la sanción antes señalada, de acuerdo a los razonamientos que esta Sala sostendrá más adelante.</w:t>
      </w:r>
    </w:p>
    <w:p w:rsidR="001F6E99" w:rsidRPr="0016196E" w:rsidRDefault="001F6E99" w:rsidP="001F6E99">
      <w:pPr>
        <w:spacing w:before="240" w:after="240" w:line="360" w:lineRule="auto"/>
        <w:ind w:firstLine="708"/>
        <w:jc w:val="both"/>
        <w:rPr>
          <w:rFonts w:ascii="Arial" w:hAnsi="Arial" w:cs="Arial"/>
          <w:sz w:val="28"/>
          <w:szCs w:val="28"/>
        </w:rPr>
      </w:pPr>
      <w:r w:rsidRPr="008A709C">
        <w:rPr>
          <w:rFonts w:ascii="Arial Narrow" w:hAnsi="Arial Narrow" w:cs="Arial"/>
          <w:sz w:val="28"/>
          <w:szCs w:val="28"/>
        </w:rPr>
        <w:t>La anterior precisión encuentra sustento en el criterio jurisprudencial cuyos datos de localización, rubro y contenido enseguida se citan:</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Novena Época, Registro: 165594, Instancia: Segunda Sala, Jurisprudencia, Fuente: Semanario Judicial de la Federación y su Gaceta,  XXXI, Enero de 2010, Materia(s): Administrativa, Tesis: 2a</w:t>
      </w:r>
      <w:proofErr w:type="gramStart"/>
      <w:r w:rsidRPr="0016196E">
        <w:rPr>
          <w:rFonts w:ascii="Arial" w:eastAsia="Times New Roman" w:hAnsi="Arial" w:cs="Arial"/>
          <w:iCs/>
          <w:sz w:val="20"/>
          <w:szCs w:val="20"/>
          <w:lang w:val="es-ES" w:eastAsia="es-ES"/>
        </w:rPr>
        <w:t>./</w:t>
      </w:r>
      <w:proofErr w:type="gramEnd"/>
      <w:r w:rsidRPr="0016196E">
        <w:rPr>
          <w:rFonts w:ascii="Arial" w:eastAsia="Times New Roman" w:hAnsi="Arial" w:cs="Arial"/>
          <w:iCs/>
          <w:sz w:val="20"/>
          <w:szCs w:val="20"/>
          <w:lang w:val="es-ES" w:eastAsia="es-ES"/>
        </w:rPr>
        <w:t>J. 253/2009, Página:   268.</w:t>
      </w: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1F6E99" w:rsidRPr="0016196E" w:rsidRDefault="001F6E99" w:rsidP="001F6E99">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r w:rsidRPr="0016196E">
        <w:rPr>
          <w:rFonts w:ascii="Arial" w:eastAsia="Times New Roman" w:hAnsi="Arial" w:cs="Arial"/>
          <w:b/>
          <w:iCs/>
          <w:sz w:val="20"/>
          <w:szCs w:val="20"/>
          <w:lang w:val="es-ES" w:eastAsia="es-ES"/>
        </w:rPr>
        <w:t>CONTENCIOSO ADMINISTRATIVO DEL DISTRITO FEDERAL. CUANDO SE IMPUGNA LA RESOLUCIÓN POR LA QUE SE IMPONE UNA SANCIÓN, ANTE LA FALTA DE CONCESIÓN, LICENCIA, PERMISO, AUTORIZACIÓN O AVISO DE ACTIVIDADES REGULADAS, EL TRIBUNAL DEBE CEÑIRSE, EN SU CASO, AL ESTUDIO DE LA LEGALIDAD DE LA SANCIÓN IMPUESTA</w:t>
      </w:r>
      <w:r w:rsidRPr="0016196E">
        <w:rPr>
          <w:rFonts w:ascii="Arial" w:eastAsia="Times New Roman" w:hAnsi="Arial" w:cs="Arial"/>
          <w:iCs/>
          <w:sz w:val="20"/>
          <w:szCs w:val="20"/>
          <w:lang w:val="es-ES" w:eastAsia="es-ES"/>
        </w:rPr>
        <w:t xml:space="preserve">.- Conforme al artículo 34, párrafo segundo, de la Ley del Tribunal de lo Contencioso Administrativo del Distrito Federal, cuando el actor pretenda obtener sentencia que le permita realizar actividades reguladas, esto es, de aquellas que requieran de concesión, licencia, permiso, autorización o aviso para su ejercicio, deberá acreditar su interés jurídico, y de no cumplir con ese requisito el juicio será improcedente, por disposición expresa del artículo 72, fracción XI, del mismo ordenamiento, el cual prevé como causa de improcedencia del juicio ante el Tribunal de lo Contencioso Administrativo del Distrito Federal, no acreditar el interés jurídico, en los casos a que alude el segundo párrafo del referido artículo 34. </w:t>
      </w:r>
      <w:r w:rsidRPr="0016196E">
        <w:rPr>
          <w:rFonts w:ascii="Arial" w:eastAsia="Times New Roman" w:hAnsi="Arial" w:cs="Arial"/>
          <w:b/>
          <w:iCs/>
          <w:sz w:val="20"/>
          <w:szCs w:val="20"/>
          <w:u w:val="single"/>
          <w:lang w:val="es-ES" w:eastAsia="es-ES"/>
        </w:rPr>
        <w:t>Sin embargo, cuando el actor además reclame una sanción impuesta sin contar con la correspondiente concesión, licencia, permiso, autorización o aviso, el Tribunal deberá ceñirse al estudio de la sanción, sin poder analizar los actos preliminares de verificación que le antecedieron, como pueden ser el acta de inicio y el consecuente procedimiento administrativo sancionador, porque esos actos sólo puede controvertirlos quien cuente con interés jurídico, por lo que resultan inoperantes los argumentos vertidos al respecto</w:t>
      </w:r>
      <w:r w:rsidRPr="0016196E">
        <w:rPr>
          <w:rFonts w:ascii="Arial" w:eastAsia="Times New Roman" w:hAnsi="Arial" w:cs="Arial"/>
          <w:iCs/>
          <w:sz w:val="20"/>
          <w:szCs w:val="20"/>
          <w:lang w:val="es-ES" w:eastAsia="es-ES"/>
        </w:rPr>
        <w:t>; y aunque es cierto que en la jurisdicción contencioso administrativa del Distrito Federal basta con tener un interés legítimo para poder accionar, según lo establece el párrafo primero del indicado artículo 34, esta regla no es absoluta, pues admite como única excepción que la pretensión del actor consista en obtener una sentencia que le permita continuar realizando actividades reguladas, supuesto en el cual la ley condicionó la posibilidad del estudio de este acto a la existencia del documento que acredite su interés jurídico, estableciendo incluso la improcedencia del juicio cuando no se exhibiere.- Contradicción de tesis 418/2009.”</w:t>
      </w:r>
    </w:p>
    <w:p w:rsidR="001F6E99" w:rsidRPr="008A709C" w:rsidRDefault="001F6E99" w:rsidP="001F6E99">
      <w:pPr>
        <w:spacing w:before="240" w:after="240" w:line="360" w:lineRule="auto"/>
        <w:ind w:firstLine="709"/>
        <w:jc w:val="both"/>
        <w:rPr>
          <w:rFonts w:ascii="Arial Narrow" w:hAnsi="Arial Narrow" w:cs="Arial"/>
          <w:sz w:val="28"/>
          <w:szCs w:val="28"/>
        </w:rPr>
      </w:pPr>
      <w:r w:rsidRPr="008A709C">
        <w:rPr>
          <w:rFonts w:ascii="Arial Narrow" w:hAnsi="Arial Narrow" w:cs="Arial"/>
          <w:sz w:val="28"/>
          <w:szCs w:val="28"/>
        </w:rPr>
        <w:t>Con base en todo lo antes expuesto, esta Sala estima infundadas las causales de improcedencia y sobreseimiento previamente analizadas e invocadas por las autoridades demandadas, por lo que, no procede decretar el sobreseimiento del presente juicio.</w:t>
      </w:r>
    </w:p>
    <w:p w:rsidR="00B12E7D" w:rsidRPr="00B12E7D" w:rsidRDefault="00B12E7D" w:rsidP="00B12E7D">
      <w:pPr>
        <w:autoSpaceDE w:val="0"/>
        <w:autoSpaceDN w:val="0"/>
        <w:adjustRightInd w:val="0"/>
        <w:spacing w:after="240" w:line="360" w:lineRule="auto"/>
        <w:ind w:firstLine="709"/>
        <w:jc w:val="both"/>
        <w:rPr>
          <w:rFonts w:ascii="Arial Narrow" w:hAnsi="Arial Narrow" w:cs="Arial"/>
          <w:sz w:val="28"/>
          <w:szCs w:val="28"/>
        </w:rPr>
      </w:pPr>
      <w:r w:rsidRPr="00B12E7D">
        <w:rPr>
          <w:rFonts w:ascii="Arial Narrow" w:hAnsi="Arial Narrow" w:cs="Arial"/>
          <w:b/>
          <w:sz w:val="28"/>
          <w:szCs w:val="28"/>
        </w:rPr>
        <w:t>CUARTO.-</w:t>
      </w:r>
      <w:r w:rsidRPr="00B12E7D">
        <w:rPr>
          <w:rFonts w:ascii="Arial Narrow" w:hAnsi="Arial Narrow" w:cs="Arial"/>
          <w:sz w:val="28"/>
          <w:szCs w:val="28"/>
        </w:rPr>
        <w:t xml:space="preserve"> </w:t>
      </w:r>
      <w:r w:rsidRPr="00B12E7D">
        <w:rPr>
          <w:rFonts w:ascii="Arial Narrow" w:hAnsi="Arial Narrow" w:cs="Arial"/>
          <w:color w:val="000000"/>
          <w:sz w:val="28"/>
          <w:szCs w:val="28"/>
          <w:lang w:eastAsia="es-MX"/>
        </w:rPr>
        <w:t>Los conceptos de impugnación que plantea la parte actora en su escrito de demanda, se encuentran localizados de la foja 6 a la 15 del expediente en que se actúa, los que por economía procesal, se tienen aquí por reproducidos como si a la letra se insertaran.</w:t>
      </w:r>
    </w:p>
    <w:p w:rsidR="00B12E7D" w:rsidRPr="00B12E7D" w:rsidRDefault="00B12E7D" w:rsidP="00B12E7D">
      <w:pPr>
        <w:spacing w:after="0" w:line="360" w:lineRule="auto"/>
        <w:ind w:firstLine="708"/>
        <w:jc w:val="both"/>
        <w:rPr>
          <w:rFonts w:ascii="Arial Narrow" w:hAnsi="Arial Narrow" w:cs="Arial"/>
          <w:color w:val="000000"/>
          <w:sz w:val="28"/>
          <w:szCs w:val="28"/>
          <w:lang w:eastAsia="es-MX"/>
        </w:rPr>
      </w:pPr>
      <w:r w:rsidRPr="00B12E7D">
        <w:rPr>
          <w:rFonts w:ascii="Arial Narrow" w:hAnsi="Arial Narrow" w:cs="Arial"/>
          <w:color w:val="000000"/>
          <w:sz w:val="28"/>
          <w:szCs w:val="28"/>
          <w:lang w:eastAsia="es-MX"/>
        </w:rPr>
        <w:t>Resulta aplicable por analogía la tesis de jurisprudencia 2a</w:t>
      </w:r>
      <w:proofErr w:type="gramStart"/>
      <w:r w:rsidRPr="00B12E7D">
        <w:rPr>
          <w:rFonts w:ascii="Arial Narrow" w:hAnsi="Arial Narrow" w:cs="Arial"/>
          <w:color w:val="000000"/>
          <w:sz w:val="28"/>
          <w:szCs w:val="28"/>
          <w:lang w:eastAsia="es-MX"/>
        </w:rPr>
        <w:t>./</w:t>
      </w:r>
      <w:proofErr w:type="gramEnd"/>
      <w:r w:rsidRPr="00B12E7D">
        <w:rPr>
          <w:rFonts w:ascii="Arial Narrow" w:hAnsi="Arial Narrow" w:cs="Arial"/>
          <w:color w:val="000000"/>
          <w:sz w:val="28"/>
          <w:szCs w:val="28"/>
          <w:lang w:eastAsia="es-MX"/>
        </w:rPr>
        <w:t>J. 58/2010, emitida por la Segunda Sala de la Suprema Corte de Justicia de la Nación; cuyos datos de localización y contenido se reproducen a continuación:</w:t>
      </w:r>
    </w:p>
    <w:p w:rsidR="00B12E7D" w:rsidRPr="00B12E7D" w:rsidRDefault="00B12E7D" w:rsidP="00B12E7D">
      <w:pPr>
        <w:autoSpaceDE w:val="0"/>
        <w:autoSpaceDN w:val="0"/>
        <w:adjustRightInd w:val="0"/>
        <w:spacing w:before="240" w:after="240" w:line="240" w:lineRule="auto"/>
        <w:ind w:left="709"/>
        <w:contextualSpacing/>
        <w:jc w:val="both"/>
        <w:rPr>
          <w:rFonts w:ascii="Arial Narrow" w:hAnsi="Arial Narrow" w:cs="Arial"/>
          <w:bCs/>
          <w:iCs/>
          <w:color w:val="000000"/>
          <w:lang w:eastAsia="es-MX"/>
        </w:rPr>
      </w:pPr>
    </w:p>
    <w:p w:rsidR="00B12E7D" w:rsidRPr="00B12E7D" w:rsidRDefault="00B12E7D" w:rsidP="00B12E7D">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B12E7D">
        <w:rPr>
          <w:rFonts w:ascii="Arial Narrow" w:hAnsi="Arial Narrow" w:cs="Arial"/>
          <w:bCs/>
          <w:iCs/>
          <w:color w:val="000000"/>
          <w:lang w:eastAsia="es-MX"/>
        </w:rPr>
        <w:t>“</w:t>
      </w:r>
      <w:r w:rsidRPr="00B12E7D">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B12E7D">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B12E7D">
        <w:rPr>
          <w:rFonts w:ascii="Arial Narrow" w:hAnsi="Arial Narrow" w:cs="Arial"/>
          <w:iCs/>
          <w:color w:val="000000"/>
          <w:vertAlign w:val="superscript"/>
          <w:lang w:eastAsia="es-MX"/>
        </w:rPr>
        <w:footnoteReference w:id="1"/>
      </w:r>
    </w:p>
    <w:p w:rsidR="00B12E7D" w:rsidRDefault="00B12E7D" w:rsidP="00B12E7D">
      <w:pPr>
        <w:spacing w:before="240" w:after="240" w:line="360" w:lineRule="auto"/>
        <w:ind w:firstLine="709"/>
        <w:jc w:val="both"/>
        <w:rPr>
          <w:rFonts w:ascii="Arial" w:hAnsi="Arial" w:cs="Arial"/>
          <w:b/>
          <w:sz w:val="28"/>
          <w:szCs w:val="28"/>
          <w:lang w:eastAsia="es-MX"/>
        </w:rPr>
      </w:pPr>
    </w:p>
    <w:p w:rsidR="00B12E7D" w:rsidRDefault="00B12E7D" w:rsidP="00B12E7D">
      <w:pPr>
        <w:spacing w:before="240" w:after="240" w:line="360" w:lineRule="auto"/>
        <w:ind w:firstLine="709"/>
        <w:jc w:val="both"/>
        <w:rPr>
          <w:rFonts w:ascii="Arial Narrow" w:hAnsi="Arial Narrow" w:cs="Arial"/>
          <w:sz w:val="28"/>
          <w:szCs w:val="28"/>
        </w:rPr>
      </w:pPr>
      <w:r w:rsidRPr="00B12E7D">
        <w:rPr>
          <w:rFonts w:ascii="Arial Narrow" w:hAnsi="Arial Narrow" w:cs="Arial"/>
          <w:b/>
          <w:sz w:val="28"/>
          <w:szCs w:val="28"/>
          <w:lang w:eastAsia="es-MX"/>
        </w:rPr>
        <w:t>QUINTO.-</w:t>
      </w:r>
      <w:r w:rsidRPr="00B12E7D">
        <w:rPr>
          <w:rFonts w:ascii="Arial Narrow" w:hAnsi="Arial Narrow" w:cs="Arial"/>
          <w:sz w:val="28"/>
          <w:szCs w:val="28"/>
          <w:lang w:eastAsia="es-MX"/>
        </w:rPr>
        <w:t xml:space="preserve"> </w:t>
      </w:r>
      <w:r w:rsidRPr="00B12E7D">
        <w:rPr>
          <w:rFonts w:ascii="Arial Narrow" w:hAnsi="Arial Narrow" w:cs="Arial"/>
          <w:sz w:val="28"/>
          <w:szCs w:val="28"/>
        </w:rPr>
        <w:t>Enseguida, debe establecerse que, como antes se había analizado y precisado resultan inatendibles aquellos argumentos de ilegalidad que el hoy actor formula</w:t>
      </w:r>
      <w:r w:rsidR="00A42D4F" w:rsidRPr="004F0287">
        <w:rPr>
          <w:rFonts w:ascii="Arial Narrow" w:hAnsi="Arial Narrow" w:cs="Arial"/>
          <w:sz w:val="28"/>
          <w:szCs w:val="28"/>
        </w:rPr>
        <w:t>,</w:t>
      </w:r>
      <w:r w:rsidRPr="00B12E7D">
        <w:rPr>
          <w:rFonts w:ascii="Arial Narrow" w:hAnsi="Arial Narrow" w:cs="Arial"/>
          <w:sz w:val="28"/>
          <w:szCs w:val="28"/>
        </w:rPr>
        <w:t xml:space="preserve"> en relación con los</w:t>
      </w:r>
      <w:r w:rsidR="00723E0F" w:rsidRPr="004F0287">
        <w:rPr>
          <w:rFonts w:ascii="Arial Narrow" w:hAnsi="Arial Narrow" w:cs="Arial"/>
          <w:sz w:val="28"/>
          <w:szCs w:val="28"/>
        </w:rPr>
        <w:t xml:space="preserve"> actos preliminares de visita y </w:t>
      </w:r>
      <w:r w:rsidRPr="00B12E7D">
        <w:rPr>
          <w:rFonts w:ascii="Arial Narrow" w:hAnsi="Arial Narrow" w:cs="Arial"/>
          <w:sz w:val="28"/>
          <w:szCs w:val="28"/>
        </w:rPr>
        <w:t xml:space="preserve">su correspondiente procedimiento sancionador, </w:t>
      </w:r>
      <w:r w:rsidR="00A42D4F" w:rsidRPr="004F0287">
        <w:rPr>
          <w:rFonts w:ascii="Arial Narrow" w:hAnsi="Arial Narrow" w:cs="Arial"/>
          <w:sz w:val="28"/>
          <w:szCs w:val="28"/>
        </w:rPr>
        <w:t>como lo son la orden de visita</w:t>
      </w:r>
      <w:r w:rsidR="005B739A" w:rsidRPr="004F0287">
        <w:rPr>
          <w:rFonts w:ascii="Arial Narrow" w:hAnsi="Arial Narrow" w:cs="Arial"/>
          <w:sz w:val="28"/>
          <w:szCs w:val="28"/>
        </w:rPr>
        <w:t xml:space="preserve"> 001004, emitida por el Director de Comercio del H. Ayuntamiento de San Luis Potosí, el Acta Administrativa de Inspección 001004 y la</w:t>
      </w:r>
      <w:r w:rsidR="007B2896">
        <w:rPr>
          <w:rFonts w:ascii="Arial Narrow" w:hAnsi="Arial Narrow" w:cs="Arial"/>
          <w:sz w:val="28"/>
          <w:szCs w:val="28"/>
        </w:rPr>
        <w:t>s</w:t>
      </w:r>
      <w:r w:rsidR="005B739A" w:rsidRPr="004F0287">
        <w:rPr>
          <w:rFonts w:ascii="Arial Narrow" w:hAnsi="Arial Narrow" w:cs="Arial"/>
          <w:sz w:val="28"/>
          <w:szCs w:val="28"/>
        </w:rPr>
        <w:t xml:space="preserve"> Resoluc</w:t>
      </w:r>
      <w:r w:rsidR="0082709B">
        <w:rPr>
          <w:rFonts w:ascii="Arial Narrow" w:hAnsi="Arial Narrow" w:cs="Arial"/>
          <w:sz w:val="28"/>
          <w:szCs w:val="28"/>
        </w:rPr>
        <w:t>iones Administrativas</w:t>
      </w:r>
      <w:r w:rsidR="005B739A" w:rsidRPr="004F0287">
        <w:rPr>
          <w:rFonts w:ascii="Arial Narrow" w:hAnsi="Arial Narrow" w:cs="Arial"/>
          <w:sz w:val="28"/>
          <w:szCs w:val="28"/>
        </w:rPr>
        <w:t xml:space="preserve">, Visita de Inspección 001004, </w:t>
      </w:r>
      <w:r w:rsidRPr="00B12E7D">
        <w:rPr>
          <w:rFonts w:ascii="Arial Narrow" w:hAnsi="Arial Narrow" w:cs="Arial"/>
          <w:sz w:val="28"/>
          <w:szCs w:val="28"/>
        </w:rPr>
        <w:t>por no haberse demostrado el interés jurídico con la correspondiente exhibición de la licencia a que se refiere el artículo 18, del Reglamento para el Ejercicio de las Actividades Comerciales, Industriales y de Prestación de Servicios en el Municipio Libre de San Luis Potosí, que dispone:</w:t>
      </w:r>
    </w:p>
    <w:p w:rsidR="00B12E7D" w:rsidRDefault="00B12E7D" w:rsidP="00B12E7D">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B12E7D">
        <w:rPr>
          <w:rFonts w:ascii="Arial Narrow" w:hAnsi="Arial Narrow" w:cs="Arial"/>
          <w:iCs/>
          <w:color w:val="000000"/>
          <w:lang w:eastAsia="es-MX"/>
        </w:rPr>
        <w:t>“</w:t>
      </w:r>
      <w:r w:rsidRPr="00B12E7D">
        <w:rPr>
          <w:rFonts w:ascii="Arial Narrow" w:hAnsi="Arial Narrow" w:cs="Arial"/>
          <w:b/>
          <w:iCs/>
          <w:color w:val="000000"/>
          <w:lang w:eastAsia="es-MX"/>
        </w:rPr>
        <w:t>ARTICULO 18º</w:t>
      </w:r>
      <w:r w:rsidRPr="00B12E7D">
        <w:rPr>
          <w:rFonts w:ascii="Arial Narrow" w:hAnsi="Arial Narrow" w:cs="Arial"/>
          <w:iCs/>
          <w:color w:val="000000"/>
          <w:lang w:eastAsia="es-MX"/>
        </w:rPr>
        <w:t>.- Para practicar cualquier actividad comercial, industrial o de prestación de servicios dentro de esta municipalidad, se requiere tener Licencia de Funcionamiento que expedirá la Dirección de Comercio Municipal o el Departamento de Actividades Comerciales, Espectáculos, Anuncios y Publicidad, en los términos y condiciones que se precisan en el presente Reglamento.”</w:t>
      </w:r>
    </w:p>
    <w:p w:rsidR="00B12E7D" w:rsidRPr="004F0287" w:rsidRDefault="00F530C8" w:rsidP="00B12E7D">
      <w:pPr>
        <w:spacing w:before="240" w:after="240" w:line="360" w:lineRule="auto"/>
        <w:ind w:firstLine="709"/>
        <w:jc w:val="both"/>
        <w:rPr>
          <w:rFonts w:ascii="Arial Narrow" w:hAnsi="Arial Narrow" w:cs="Arial"/>
          <w:sz w:val="28"/>
          <w:szCs w:val="28"/>
        </w:rPr>
      </w:pPr>
      <w:r>
        <w:rPr>
          <w:rFonts w:ascii="Arial Narrow" w:hAnsi="Arial Narrow" w:cs="Arial"/>
          <w:sz w:val="28"/>
          <w:szCs w:val="28"/>
        </w:rPr>
        <w:t>C</w:t>
      </w:r>
      <w:r w:rsidR="00B12E7D" w:rsidRPr="00B12E7D">
        <w:rPr>
          <w:rFonts w:ascii="Arial Narrow" w:hAnsi="Arial Narrow" w:cs="Arial"/>
          <w:sz w:val="28"/>
          <w:szCs w:val="28"/>
        </w:rPr>
        <w:t>onforme a lo dispuesto en el artículo antes transcrito</w:t>
      </w:r>
      <w:r>
        <w:rPr>
          <w:rFonts w:ascii="Arial Narrow" w:hAnsi="Arial Narrow" w:cs="Arial"/>
          <w:sz w:val="28"/>
          <w:szCs w:val="28"/>
        </w:rPr>
        <w:t>,</w:t>
      </w:r>
      <w:r w:rsidR="00B12E7D" w:rsidRPr="00B12E7D">
        <w:rPr>
          <w:rFonts w:ascii="Arial Narrow" w:hAnsi="Arial Narrow" w:cs="Arial"/>
          <w:sz w:val="28"/>
          <w:szCs w:val="28"/>
        </w:rPr>
        <w:t xml:space="preserve"> para practicar cualquier actividad comercial, industrial o de prestación de servicios dentro de la municipalidad de San Luis Potosí, se requiere tener licencia de funcionamiento que expedirá la Dirección de Comercio Municipal o el Departamento de Actividades Comerciales, Espectáculos, Anuncios y Publicidad, </w:t>
      </w:r>
      <w:r w:rsidR="00A42D4F" w:rsidRPr="004F0287">
        <w:rPr>
          <w:rFonts w:ascii="Arial Narrow" w:hAnsi="Arial Narrow" w:cs="Arial"/>
          <w:sz w:val="28"/>
          <w:szCs w:val="28"/>
        </w:rPr>
        <w:t>en l</w:t>
      </w:r>
      <w:r w:rsidR="00B12E7D" w:rsidRPr="00B12E7D">
        <w:rPr>
          <w:rFonts w:ascii="Arial Narrow" w:hAnsi="Arial Narrow" w:cs="Arial"/>
          <w:sz w:val="28"/>
          <w:szCs w:val="28"/>
        </w:rPr>
        <w:t xml:space="preserve">os términos y condiciones que se precisan en el mismo reglamento, </w:t>
      </w:r>
      <w:r w:rsidR="004957B9">
        <w:rPr>
          <w:rFonts w:ascii="Arial Narrow" w:hAnsi="Arial Narrow" w:cs="Arial"/>
          <w:sz w:val="28"/>
          <w:szCs w:val="28"/>
        </w:rPr>
        <w:t xml:space="preserve">sin que pase inadvertido que el propio actor, manifieste que en su demanda inicial que ocupa el inmueble visitado con anterioridad a la publicación del Plan de Centro de Población Estratégico para las Ciudades de San Luis Potosí y Soledad de Graciano Sánchez, así como de la publicación del Reglamento para el Ejercicio de Actividades Comerciales, Industriales y de Prestación de Servicios para el Municipio Libre y Soberano de San Luis Potosí, pues no obstante su manifestación y que no acredita su dicho de realizar la actividad de Taller de Hojalatería y Pintura en el inmueble sujeto a visita, en las fechas que cita, pues al efecto aporta como prueba un documento consistente en contrato de arrendamiento, mismo que obra a fojas 18 y 18 bis, el cual en su cláusula Quinta, establece que el inmueble será destinado únicamente para casa habitación, quedando prohibido cambiar el uso referido, por lo que no se acredita que desde el mes de agosto de 1996 estuviera funcionando el establecimiento referido como Taller; </w:t>
      </w:r>
      <w:r w:rsidR="00B360DC">
        <w:rPr>
          <w:rFonts w:ascii="Arial Narrow" w:hAnsi="Arial Narrow" w:cs="Arial"/>
          <w:sz w:val="28"/>
          <w:szCs w:val="28"/>
        </w:rPr>
        <w:t xml:space="preserve">lo anterior además de que, de conformidad a lo ordenado por el artículo 18 antes transcrito, </w:t>
      </w:r>
      <w:r w:rsidR="00B12E7D" w:rsidRPr="00B12E7D">
        <w:rPr>
          <w:rFonts w:ascii="Arial Narrow" w:hAnsi="Arial Narrow" w:cs="Arial"/>
          <w:sz w:val="28"/>
          <w:szCs w:val="28"/>
        </w:rPr>
        <w:t xml:space="preserve">resulta indudable que el hoy actor se encontraba constreñido a exhibir la licencia de funcionamiento a que se refiere dicho precepto legal, sin embargo, ello no ocurrió, por tanto lo conducente es declarar </w:t>
      </w:r>
      <w:r w:rsidR="00B12E7D" w:rsidRPr="00B12E7D">
        <w:rPr>
          <w:rFonts w:ascii="Arial Narrow" w:hAnsi="Arial Narrow" w:cs="Arial"/>
          <w:b/>
          <w:sz w:val="28"/>
          <w:szCs w:val="28"/>
        </w:rPr>
        <w:t>inoperantes por inatendibles</w:t>
      </w:r>
      <w:r w:rsidR="00B12E7D" w:rsidRPr="00B12E7D">
        <w:rPr>
          <w:rFonts w:ascii="Arial Narrow" w:hAnsi="Arial Narrow" w:cs="Arial"/>
          <w:sz w:val="28"/>
          <w:szCs w:val="28"/>
        </w:rPr>
        <w:t xml:space="preserve"> los argumentos hechos valer en los conceptos de impugnación formulados por el actor, que pretenden patentizar la ilegalidad de los actos por los cuales se requería acreditar el interés jurídico sin que así haya sucedido.</w:t>
      </w:r>
    </w:p>
    <w:p w:rsidR="00590E58" w:rsidRDefault="00590E58" w:rsidP="00B12E7D">
      <w:pPr>
        <w:spacing w:before="240" w:after="240" w:line="360" w:lineRule="auto"/>
        <w:ind w:firstLine="709"/>
        <w:jc w:val="both"/>
        <w:rPr>
          <w:rFonts w:ascii="Arial Narrow" w:hAnsi="Arial Narrow" w:cs="Arial"/>
          <w:sz w:val="28"/>
          <w:szCs w:val="28"/>
        </w:rPr>
      </w:pPr>
    </w:p>
    <w:p w:rsidR="00B12E7D" w:rsidRPr="004F0287" w:rsidRDefault="00B12E7D" w:rsidP="00B12E7D">
      <w:pPr>
        <w:spacing w:before="240" w:after="240" w:line="360" w:lineRule="auto"/>
        <w:ind w:firstLine="709"/>
        <w:jc w:val="both"/>
        <w:rPr>
          <w:rFonts w:ascii="Arial Narrow" w:eastAsia="Times New Roman" w:hAnsi="Arial Narrow" w:cs="Arial"/>
          <w:b/>
          <w:iCs/>
          <w:sz w:val="28"/>
          <w:szCs w:val="28"/>
          <w:lang w:val="es-ES" w:eastAsia="es-ES"/>
        </w:rPr>
      </w:pPr>
      <w:r w:rsidRPr="00B12E7D">
        <w:rPr>
          <w:rFonts w:ascii="Arial Narrow" w:hAnsi="Arial Narrow" w:cs="Arial"/>
          <w:sz w:val="28"/>
          <w:szCs w:val="28"/>
        </w:rPr>
        <w:t>En ese orden, como definió la Segunda Sala de la Suprema Corte de Justicia de la Nación, en la tesis de jurisprudencia 2a./J. 253/2009</w:t>
      </w:r>
      <w:r w:rsidRPr="00B12E7D">
        <w:rPr>
          <w:rFonts w:ascii="Arial Narrow" w:eastAsia="Times New Roman" w:hAnsi="Arial Narrow" w:cs="Arial"/>
          <w:iCs/>
          <w:sz w:val="28"/>
          <w:szCs w:val="28"/>
          <w:lang w:val="es-ES" w:eastAsia="es-ES"/>
        </w:rPr>
        <w:t xml:space="preserve"> </w:t>
      </w:r>
      <w:r w:rsidRPr="00B12E7D">
        <w:rPr>
          <w:rFonts w:ascii="Arial Narrow" w:hAnsi="Arial Narrow" w:cs="Arial"/>
          <w:sz w:val="28"/>
          <w:szCs w:val="28"/>
        </w:rPr>
        <w:t>citada con anterioridad, ante las circunstancias del caso es de indicarse que resulta inoportuno analizar los actos preliminares de verificación que antecedieron, ya que ante la falta de acreditación del interés jurídico ello constriñe a este Tribunal a analizar únicamente los argumentos expuestos en contra de la</w:t>
      </w:r>
      <w:r w:rsidR="0054181F">
        <w:rPr>
          <w:rFonts w:ascii="Arial Narrow" w:hAnsi="Arial Narrow" w:cs="Arial"/>
          <w:sz w:val="28"/>
          <w:szCs w:val="28"/>
        </w:rPr>
        <w:t>s</w:t>
      </w:r>
      <w:r w:rsidRPr="00B12E7D">
        <w:rPr>
          <w:rFonts w:ascii="Arial Narrow" w:hAnsi="Arial Narrow" w:cs="Arial"/>
          <w:sz w:val="28"/>
          <w:szCs w:val="28"/>
        </w:rPr>
        <w:t xml:space="preserve"> </w:t>
      </w:r>
      <w:r w:rsidR="00444A83" w:rsidRPr="004F0287">
        <w:rPr>
          <w:rFonts w:ascii="Arial Narrow" w:hAnsi="Arial Narrow" w:cs="Arial"/>
          <w:sz w:val="28"/>
          <w:szCs w:val="28"/>
        </w:rPr>
        <w:t>sanci</w:t>
      </w:r>
      <w:r w:rsidR="0054181F">
        <w:rPr>
          <w:rFonts w:ascii="Arial Narrow" w:hAnsi="Arial Narrow" w:cs="Arial"/>
          <w:sz w:val="28"/>
          <w:szCs w:val="28"/>
        </w:rPr>
        <w:t>ones</w:t>
      </w:r>
      <w:r w:rsidR="00444A83" w:rsidRPr="004F0287">
        <w:rPr>
          <w:rFonts w:ascii="Arial Narrow" w:hAnsi="Arial Narrow" w:cs="Arial"/>
          <w:sz w:val="28"/>
          <w:szCs w:val="28"/>
        </w:rPr>
        <w:t xml:space="preserve"> impuesta</w:t>
      </w:r>
      <w:r w:rsidR="0054181F">
        <w:rPr>
          <w:rFonts w:ascii="Arial Narrow" w:hAnsi="Arial Narrow" w:cs="Arial"/>
          <w:sz w:val="28"/>
          <w:szCs w:val="28"/>
        </w:rPr>
        <w:t>s</w:t>
      </w:r>
      <w:r w:rsidR="00444A83" w:rsidRPr="004F0287">
        <w:rPr>
          <w:rFonts w:ascii="Arial Narrow" w:hAnsi="Arial Narrow" w:cs="Arial"/>
          <w:sz w:val="28"/>
          <w:szCs w:val="28"/>
        </w:rPr>
        <w:t xml:space="preserve"> en la</w:t>
      </w:r>
      <w:r w:rsidR="00571D0B">
        <w:rPr>
          <w:rFonts w:ascii="Arial Narrow" w:hAnsi="Arial Narrow" w:cs="Arial"/>
          <w:sz w:val="28"/>
          <w:szCs w:val="28"/>
        </w:rPr>
        <w:t>s</w:t>
      </w:r>
      <w:r w:rsidR="00444A83" w:rsidRPr="004F0287">
        <w:rPr>
          <w:rFonts w:ascii="Arial Narrow" w:hAnsi="Arial Narrow" w:cs="Arial"/>
          <w:sz w:val="28"/>
          <w:szCs w:val="28"/>
        </w:rPr>
        <w:t xml:space="preserve"> Resoluci</w:t>
      </w:r>
      <w:r w:rsidR="00571D0B">
        <w:rPr>
          <w:rFonts w:ascii="Arial Narrow" w:hAnsi="Arial Narrow" w:cs="Arial"/>
          <w:sz w:val="28"/>
          <w:szCs w:val="28"/>
        </w:rPr>
        <w:t>ones</w:t>
      </w:r>
      <w:r w:rsidR="00444A83" w:rsidRPr="004F0287">
        <w:rPr>
          <w:rFonts w:ascii="Arial Narrow" w:hAnsi="Arial Narrow" w:cs="Arial"/>
          <w:sz w:val="28"/>
          <w:szCs w:val="28"/>
        </w:rPr>
        <w:t xml:space="preserve"> Administrativa</w:t>
      </w:r>
      <w:r w:rsidR="00571D0B">
        <w:rPr>
          <w:rFonts w:ascii="Arial Narrow" w:hAnsi="Arial Narrow" w:cs="Arial"/>
          <w:sz w:val="28"/>
          <w:szCs w:val="28"/>
        </w:rPr>
        <w:t>s</w:t>
      </w:r>
      <w:r w:rsidR="00444A83" w:rsidRPr="004F0287">
        <w:rPr>
          <w:rFonts w:ascii="Arial Narrow" w:hAnsi="Arial Narrow" w:cs="Arial"/>
          <w:sz w:val="28"/>
          <w:szCs w:val="28"/>
        </w:rPr>
        <w:t>, Visita de Inspección número 001004</w:t>
      </w:r>
      <w:r w:rsidR="00571D0B">
        <w:rPr>
          <w:rFonts w:ascii="Arial Narrow" w:hAnsi="Arial Narrow" w:cs="Arial"/>
          <w:sz w:val="28"/>
          <w:szCs w:val="28"/>
        </w:rPr>
        <w:t xml:space="preserve"> (f. </w:t>
      </w:r>
      <w:smartTag w:uri="urn:schemas-microsoft-com:office:smarttags" w:element="metricconverter">
        <w:smartTagPr>
          <w:attr w:name="ProductID" w:val="42 a"/>
        </w:smartTagPr>
        <w:r w:rsidR="00571D0B">
          <w:rPr>
            <w:rFonts w:ascii="Arial Narrow" w:hAnsi="Arial Narrow" w:cs="Arial"/>
            <w:sz w:val="28"/>
            <w:szCs w:val="28"/>
          </w:rPr>
          <w:t>42 a</w:t>
        </w:r>
      </w:smartTag>
      <w:r w:rsidR="00571D0B">
        <w:rPr>
          <w:rFonts w:ascii="Arial Narrow" w:hAnsi="Arial Narrow" w:cs="Arial"/>
          <w:sz w:val="28"/>
          <w:szCs w:val="28"/>
        </w:rPr>
        <w:t xml:space="preserve"> 44 y </w:t>
      </w:r>
      <w:smartTag w:uri="urn:schemas-microsoft-com:office:smarttags" w:element="metricconverter">
        <w:smartTagPr>
          <w:attr w:name="ProductID" w:val="98 a"/>
        </w:smartTagPr>
        <w:r w:rsidR="00571D0B">
          <w:rPr>
            <w:rFonts w:ascii="Arial Narrow" w:hAnsi="Arial Narrow" w:cs="Arial"/>
            <w:sz w:val="28"/>
            <w:szCs w:val="28"/>
          </w:rPr>
          <w:t>98 a</w:t>
        </w:r>
      </w:smartTag>
      <w:r w:rsidR="00571D0B">
        <w:rPr>
          <w:rFonts w:ascii="Arial Narrow" w:hAnsi="Arial Narrow" w:cs="Arial"/>
          <w:sz w:val="28"/>
          <w:szCs w:val="28"/>
        </w:rPr>
        <w:t xml:space="preserve"> 100)</w:t>
      </w:r>
      <w:r w:rsidRPr="00B12E7D">
        <w:rPr>
          <w:rFonts w:ascii="Arial Narrow" w:eastAsia="Times New Roman" w:hAnsi="Arial Narrow" w:cs="Arial"/>
          <w:b/>
          <w:iCs/>
          <w:sz w:val="28"/>
          <w:szCs w:val="28"/>
          <w:lang w:val="es-ES" w:eastAsia="es-ES"/>
        </w:rPr>
        <w:t>.</w:t>
      </w:r>
    </w:p>
    <w:p w:rsidR="00444A83" w:rsidRPr="00B12E7D" w:rsidRDefault="00444A83" w:rsidP="00B12E7D">
      <w:pPr>
        <w:spacing w:before="240" w:after="240" w:line="360" w:lineRule="auto"/>
        <w:ind w:firstLine="709"/>
        <w:jc w:val="both"/>
        <w:rPr>
          <w:rFonts w:ascii="Arial Narrow" w:hAnsi="Arial Narrow" w:cs="Arial"/>
          <w:sz w:val="16"/>
          <w:szCs w:val="16"/>
        </w:rPr>
      </w:pPr>
    </w:p>
    <w:p w:rsidR="00A42D4F" w:rsidRDefault="00B12E7D" w:rsidP="00B12E7D">
      <w:pPr>
        <w:spacing w:before="240" w:after="240" w:line="360" w:lineRule="auto"/>
        <w:ind w:firstLine="709"/>
        <w:jc w:val="both"/>
        <w:rPr>
          <w:rFonts w:ascii="Arial Narrow" w:hAnsi="Arial Narrow" w:cs="Arial"/>
          <w:sz w:val="28"/>
          <w:szCs w:val="28"/>
        </w:rPr>
      </w:pPr>
      <w:r w:rsidRPr="00B12E7D">
        <w:rPr>
          <w:rFonts w:ascii="Arial Narrow" w:hAnsi="Arial Narrow" w:cs="Arial"/>
          <w:sz w:val="28"/>
          <w:szCs w:val="28"/>
        </w:rPr>
        <w:t>En tal sentido, los argumentos</w:t>
      </w:r>
      <w:r w:rsidR="00A42D4F" w:rsidRPr="004F0287">
        <w:rPr>
          <w:rFonts w:ascii="Arial Narrow" w:hAnsi="Arial Narrow" w:cs="Arial"/>
          <w:sz w:val="28"/>
          <w:szCs w:val="28"/>
        </w:rPr>
        <w:t xml:space="preserve"> vertidos por la parte actora encaminados a controvertir los actos preliminares de verificación, mismos que se encuentran en los puntos 1 a 6 de hechos, así como en los conceptos de impugnación primero, segundo, tercero y quinto del escrito inicial de demanda, </w:t>
      </w:r>
      <w:r w:rsidRPr="00B12E7D">
        <w:rPr>
          <w:rFonts w:ascii="Arial Narrow" w:hAnsi="Arial Narrow" w:cs="Arial"/>
          <w:sz w:val="28"/>
          <w:szCs w:val="28"/>
        </w:rPr>
        <w:t xml:space="preserve">resultan </w:t>
      </w:r>
      <w:r w:rsidRPr="00B12E7D">
        <w:rPr>
          <w:rFonts w:ascii="Arial Narrow" w:hAnsi="Arial Narrow" w:cs="Arial"/>
          <w:b/>
          <w:sz w:val="28"/>
          <w:szCs w:val="28"/>
        </w:rPr>
        <w:t>inoperantes y por tanto inatendibles</w:t>
      </w:r>
      <w:r w:rsidRPr="00B12E7D">
        <w:rPr>
          <w:rFonts w:ascii="Arial Narrow" w:hAnsi="Arial Narrow" w:cs="Arial"/>
          <w:sz w:val="28"/>
          <w:szCs w:val="28"/>
        </w:rPr>
        <w:t xml:space="preserve">, en virtud de los razonamientos antes expuestos y en razón de que constituyen argumentos que pretenden desvirtuar la legalidad de actuaciones sobre las que la parte actora debió acreditar su interés jurídico, como lo </w:t>
      </w:r>
      <w:r w:rsidR="00A42D4F" w:rsidRPr="004F0287">
        <w:rPr>
          <w:rFonts w:ascii="Arial Narrow" w:hAnsi="Arial Narrow" w:cs="Arial"/>
          <w:sz w:val="28"/>
          <w:szCs w:val="28"/>
        </w:rPr>
        <w:t>son el inicio y consecuente procedimiento administrativo sancionador.</w:t>
      </w:r>
    </w:p>
    <w:p w:rsidR="00FC1F29" w:rsidRDefault="00FC1F29" w:rsidP="0054181F">
      <w:pPr>
        <w:spacing w:before="240" w:after="240" w:line="360" w:lineRule="auto"/>
        <w:ind w:firstLine="709"/>
        <w:jc w:val="both"/>
        <w:rPr>
          <w:rFonts w:ascii="Arial Narrow" w:hAnsi="Arial Narrow" w:cs="Arial"/>
          <w:sz w:val="28"/>
          <w:szCs w:val="28"/>
        </w:rPr>
      </w:pPr>
    </w:p>
    <w:p w:rsidR="0054181F" w:rsidRDefault="0054181F" w:rsidP="0054181F">
      <w:pPr>
        <w:spacing w:before="240" w:after="240" w:line="360" w:lineRule="auto"/>
        <w:ind w:firstLine="709"/>
        <w:jc w:val="both"/>
        <w:rPr>
          <w:rFonts w:ascii="Arial Narrow" w:eastAsia="Times New Roman" w:hAnsi="Arial Narrow" w:cs="Arial"/>
          <w:b/>
          <w:iCs/>
          <w:sz w:val="28"/>
          <w:szCs w:val="28"/>
          <w:lang w:val="es-ES" w:eastAsia="es-ES"/>
        </w:rPr>
      </w:pPr>
      <w:r w:rsidRPr="008A709C">
        <w:rPr>
          <w:rFonts w:ascii="Arial Narrow" w:hAnsi="Arial Narrow" w:cs="Arial"/>
          <w:sz w:val="28"/>
          <w:szCs w:val="28"/>
        </w:rPr>
        <w:t>Por lo que, aunque en el presente juicio se demandó y se argumentó en contra de diversos actos, el estudio de la legitimación del actor se circunscribe a la impugnación de la</w:t>
      </w:r>
      <w:r>
        <w:rPr>
          <w:rFonts w:ascii="Arial Narrow" w:hAnsi="Arial Narrow" w:cs="Arial"/>
          <w:sz w:val="28"/>
          <w:szCs w:val="28"/>
        </w:rPr>
        <w:t>s</w:t>
      </w:r>
      <w:r w:rsidRPr="008A709C">
        <w:rPr>
          <w:rFonts w:ascii="Arial Narrow" w:hAnsi="Arial Narrow" w:cs="Arial"/>
          <w:sz w:val="28"/>
          <w:szCs w:val="28"/>
        </w:rPr>
        <w:t xml:space="preserve"> sanci</w:t>
      </w:r>
      <w:r>
        <w:rPr>
          <w:rFonts w:ascii="Arial Narrow" w:hAnsi="Arial Narrow" w:cs="Arial"/>
          <w:sz w:val="28"/>
          <w:szCs w:val="28"/>
        </w:rPr>
        <w:t xml:space="preserve">ones impuestas </w:t>
      </w:r>
      <w:r w:rsidRPr="004F0287">
        <w:rPr>
          <w:rFonts w:ascii="Arial Narrow" w:hAnsi="Arial Narrow" w:cs="Arial"/>
          <w:sz w:val="28"/>
          <w:szCs w:val="28"/>
        </w:rPr>
        <w:t>en la</w:t>
      </w:r>
      <w:r>
        <w:rPr>
          <w:rFonts w:ascii="Arial Narrow" w:hAnsi="Arial Narrow" w:cs="Arial"/>
          <w:sz w:val="28"/>
          <w:szCs w:val="28"/>
        </w:rPr>
        <w:t>s</w:t>
      </w:r>
      <w:r w:rsidRPr="004F0287">
        <w:rPr>
          <w:rFonts w:ascii="Arial Narrow" w:hAnsi="Arial Narrow" w:cs="Arial"/>
          <w:sz w:val="28"/>
          <w:szCs w:val="28"/>
        </w:rPr>
        <w:t xml:space="preserve"> Resoluci</w:t>
      </w:r>
      <w:r>
        <w:rPr>
          <w:rFonts w:ascii="Arial Narrow" w:hAnsi="Arial Narrow" w:cs="Arial"/>
          <w:sz w:val="28"/>
          <w:szCs w:val="28"/>
        </w:rPr>
        <w:t>ones</w:t>
      </w:r>
      <w:r w:rsidRPr="004F0287">
        <w:rPr>
          <w:rFonts w:ascii="Arial Narrow" w:hAnsi="Arial Narrow" w:cs="Arial"/>
          <w:sz w:val="28"/>
          <w:szCs w:val="28"/>
        </w:rPr>
        <w:t xml:space="preserve"> Administrativa</w:t>
      </w:r>
      <w:r>
        <w:rPr>
          <w:rFonts w:ascii="Arial Narrow" w:hAnsi="Arial Narrow" w:cs="Arial"/>
          <w:sz w:val="28"/>
          <w:szCs w:val="28"/>
        </w:rPr>
        <w:t>s</w:t>
      </w:r>
      <w:r w:rsidRPr="004F0287">
        <w:rPr>
          <w:rFonts w:ascii="Arial Narrow" w:hAnsi="Arial Narrow" w:cs="Arial"/>
          <w:sz w:val="28"/>
          <w:szCs w:val="28"/>
        </w:rPr>
        <w:t>, Visita de Inspección número 001004</w:t>
      </w:r>
      <w:r>
        <w:rPr>
          <w:rFonts w:ascii="Arial Narrow" w:hAnsi="Arial Narrow" w:cs="Arial"/>
          <w:sz w:val="28"/>
          <w:szCs w:val="28"/>
        </w:rPr>
        <w:t xml:space="preserve"> (f. 42 a 44 y 98 a 100)</w:t>
      </w:r>
      <w:r w:rsidRPr="00B12E7D">
        <w:rPr>
          <w:rFonts w:ascii="Arial Narrow" w:eastAsia="Times New Roman" w:hAnsi="Arial Narrow" w:cs="Arial"/>
          <w:b/>
          <w:iCs/>
          <w:sz w:val="28"/>
          <w:szCs w:val="28"/>
          <w:lang w:val="es-ES" w:eastAsia="es-ES"/>
        </w:rPr>
        <w:t>.</w:t>
      </w:r>
    </w:p>
    <w:p w:rsidR="00547FE9" w:rsidRPr="004F0287" w:rsidRDefault="00547FE9" w:rsidP="0054181F">
      <w:pPr>
        <w:spacing w:before="240" w:after="240" w:line="360" w:lineRule="auto"/>
        <w:ind w:firstLine="709"/>
        <w:jc w:val="both"/>
        <w:rPr>
          <w:rFonts w:ascii="Arial Narrow" w:eastAsia="Times New Roman" w:hAnsi="Arial Narrow" w:cs="Arial"/>
          <w:b/>
          <w:iCs/>
          <w:sz w:val="28"/>
          <w:szCs w:val="28"/>
          <w:lang w:val="es-ES" w:eastAsia="es-ES"/>
        </w:rPr>
      </w:pPr>
    </w:p>
    <w:p w:rsidR="0054181F" w:rsidRDefault="00FC1F29" w:rsidP="0037562F">
      <w:pPr>
        <w:spacing w:before="240" w:after="240" w:line="360" w:lineRule="auto"/>
        <w:ind w:firstLine="708"/>
        <w:jc w:val="both"/>
        <w:rPr>
          <w:rFonts w:ascii="Arial Narrow" w:hAnsi="Arial Narrow" w:cs="Arial"/>
          <w:sz w:val="28"/>
          <w:szCs w:val="28"/>
        </w:rPr>
      </w:pPr>
      <w:r w:rsidRPr="00FC1F29">
        <w:rPr>
          <w:rFonts w:ascii="Arial Narrow" w:hAnsi="Arial Narrow" w:cs="Arial"/>
          <w:b/>
          <w:sz w:val="28"/>
          <w:szCs w:val="28"/>
        </w:rPr>
        <w:t>SEXTO.-</w:t>
      </w:r>
      <w:r>
        <w:rPr>
          <w:rFonts w:ascii="Arial Narrow" w:hAnsi="Arial Narrow" w:cs="Arial"/>
          <w:sz w:val="28"/>
          <w:szCs w:val="28"/>
        </w:rPr>
        <w:t xml:space="preserve"> </w:t>
      </w:r>
      <w:r w:rsidR="001C5D6F">
        <w:rPr>
          <w:rFonts w:ascii="Arial Narrow" w:hAnsi="Arial Narrow" w:cs="Arial"/>
          <w:sz w:val="28"/>
          <w:szCs w:val="28"/>
        </w:rPr>
        <w:t xml:space="preserve">Ahora bien, </w:t>
      </w:r>
      <w:r w:rsidR="0037562F">
        <w:rPr>
          <w:rFonts w:ascii="Arial Narrow" w:hAnsi="Arial Narrow" w:cs="Arial"/>
          <w:sz w:val="28"/>
          <w:szCs w:val="28"/>
        </w:rPr>
        <w:t xml:space="preserve">de los argumentos expuestos por el demandante, respecto de las sanciones impuestas por la autoridad demandada en las resoluciones Administrativas de Visita de Inspección 001004, específicamente en los puntos 1 y 2 de la foja 36 de su escrito de ampliación de demanda, se advierte que, en efecto se dictaron ambas, respecto de la Visita de Inspección número 001004, resultando la segunda resolución modificada en cuanto </w:t>
      </w:r>
      <w:r w:rsidR="003E2208">
        <w:rPr>
          <w:rFonts w:ascii="Arial Narrow" w:hAnsi="Arial Narrow" w:cs="Arial"/>
          <w:sz w:val="28"/>
          <w:szCs w:val="28"/>
        </w:rPr>
        <w:t>a la sanción impuesta, pues en la primera que se notificó</w:t>
      </w:r>
      <w:r w:rsidR="0037562F">
        <w:rPr>
          <w:rFonts w:ascii="Arial Narrow" w:hAnsi="Arial Narrow" w:cs="Arial"/>
          <w:sz w:val="28"/>
          <w:szCs w:val="28"/>
        </w:rPr>
        <w:t xml:space="preserve"> al actor</w:t>
      </w:r>
      <w:r w:rsidR="003E2208">
        <w:rPr>
          <w:rFonts w:ascii="Arial Narrow" w:hAnsi="Arial Narrow" w:cs="Arial"/>
          <w:sz w:val="28"/>
          <w:szCs w:val="28"/>
        </w:rPr>
        <w:t xml:space="preserve">, se impone una </w:t>
      </w:r>
      <w:r w:rsidR="00C87EA2">
        <w:rPr>
          <w:rFonts w:ascii="Arial Narrow" w:hAnsi="Arial Narrow" w:cs="Arial"/>
          <w:sz w:val="28"/>
          <w:szCs w:val="28"/>
        </w:rPr>
        <w:t>M</w:t>
      </w:r>
      <w:r w:rsidR="003E2208">
        <w:rPr>
          <w:rFonts w:ascii="Arial Narrow" w:hAnsi="Arial Narrow" w:cs="Arial"/>
          <w:sz w:val="28"/>
          <w:szCs w:val="28"/>
        </w:rPr>
        <w:t xml:space="preserve">ulta de </w:t>
      </w:r>
      <w:r w:rsidR="00C87EA2">
        <w:rPr>
          <w:rFonts w:ascii="Arial Narrow" w:hAnsi="Arial Narrow" w:cs="Arial"/>
          <w:sz w:val="28"/>
          <w:szCs w:val="28"/>
        </w:rPr>
        <w:t>Q</w:t>
      </w:r>
      <w:r w:rsidR="003E2208">
        <w:rPr>
          <w:rFonts w:ascii="Arial Narrow" w:hAnsi="Arial Narrow" w:cs="Arial"/>
          <w:sz w:val="28"/>
          <w:szCs w:val="28"/>
        </w:rPr>
        <w:t>uince Unidades de Medida y Actualizaci</w:t>
      </w:r>
      <w:r w:rsidR="007013A3">
        <w:rPr>
          <w:rFonts w:ascii="Arial Narrow" w:hAnsi="Arial Narrow" w:cs="Arial"/>
          <w:sz w:val="28"/>
          <w:szCs w:val="28"/>
        </w:rPr>
        <w:t xml:space="preserve">ón </w:t>
      </w:r>
      <w:r w:rsidR="008D5842">
        <w:rPr>
          <w:rFonts w:ascii="Arial Narrow" w:hAnsi="Arial Narrow" w:cs="Arial"/>
          <w:sz w:val="28"/>
          <w:szCs w:val="28"/>
        </w:rPr>
        <w:t xml:space="preserve">y en la que se notifica con posterioridad al aquí </w:t>
      </w:r>
      <w:r w:rsidR="006139B2">
        <w:rPr>
          <w:rFonts w:ascii="Arial Narrow" w:hAnsi="Arial Narrow" w:cs="Arial"/>
          <w:sz w:val="28"/>
          <w:szCs w:val="28"/>
        </w:rPr>
        <w:t>accionante</w:t>
      </w:r>
      <w:r w:rsidR="008D5842">
        <w:rPr>
          <w:rFonts w:ascii="Arial Narrow" w:hAnsi="Arial Narrow" w:cs="Arial"/>
          <w:sz w:val="28"/>
          <w:szCs w:val="28"/>
        </w:rPr>
        <w:t>, se impone una Multa de Quince Unidades de Medida y Actualización y Clausu</w:t>
      </w:r>
      <w:r w:rsidR="00AE145E">
        <w:rPr>
          <w:rFonts w:ascii="Arial Narrow" w:hAnsi="Arial Narrow" w:cs="Arial"/>
          <w:sz w:val="28"/>
          <w:szCs w:val="28"/>
        </w:rPr>
        <w:t>r</w:t>
      </w:r>
      <w:r w:rsidR="008D5842">
        <w:rPr>
          <w:rFonts w:ascii="Arial Narrow" w:hAnsi="Arial Narrow" w:cs="Arial"/>
          <w:sz w:val="28"/>
          <w:szCs w:val="28"/>
        </w:rPr>
        <w:t xml:space="preserve">a del Establecimiento al propietario y/o Representante legal y/o Titular de la Negociación ubicada en el inmueble de la calle </w:t>
      </w:r>
      <w:r w:rsidR="00A65CCB">
        <w:rPr>
          <w:rFonts w:ascii="Arial Narrow" w:hAnsi="Arial Narrow" w:cs="Arial"/>
          <w:color w:val="FF0000"/>
          <w:sz w:val="28"/>
          <w:szCs w:val="28"/>
        </w:rPr>
        <w:t>**********</w:t>
      </w:r>
      <w:r w:rsidR="008D5842">
        <w:rPr>
          <w:rFonts w:ascii="Arial Narrow" w:hAnsi="Arial Narrow" w:cs="Arial"/>
          <w:sz w:val="28"/>
          <w:szCs w:val="28"/>
        </w:rPr>
        <w:t>, de esta Ciudad.</w:t>
      </w:r>
    </w:p>
    <w:p w:rsidR="006139B2" w:rsidRDefault="006139B2" w:rsidP="0037562F">
      <w:pPr>
        <w:spacing w:before="240" w:after="240" w:line="360" w:lineRule="auto"/>
        <w:ind w:firstLine="708"/>
        <w:jc w:val="both"/>
        <w:rPr>
          <w:rFonts w:ascii="Arial Narrow" w:hAnsi="Arial Narrow" w:cs="Arial"/>
          <w:sz w:val="28"/>
          <w:szCs w:val="28"/>
        </w:rPr>
      </w:pPr>
    </w:p>
    <w:p w:rsidR="006139B2" w:rsidRDefault="006139B2" w:rsidP="0037562F">
      <w:pPr>
        <w:spacing w:before="240" w:after="240" w:line="360" w:lineRule="auto"/>
        <w:ind w:firstLine="708"/>
        <w:jc w:val="both"/>
        <w:rPr>
          <w:rFonts w:ascii="Arial Narrow" w:hAnsi="Arial Narrow" w:cs="Arial"/>
          <w:sz w:val="28"/>
          <w:szCs w:val="28"/>
        </w:rPr>
      </w:pPr>
      <w:r>
        <w:rPr>
          <w:rFonts w:ascii="Arial Narrow" w:hAnsi="Arial Narrow" w:cs="Arial"/>
          <w:sz w:val="28"/>
          <w:szCs w:val="28"/>
        </w:rPr>
        <w:t xml:space="preserve">Por tanto, </w:t>
      </w:r>
      <w:r w:rsidR="00641431">
        <w:rPr>
          <w:rFonts w:ascii="Arial Narrow" w:hAnsi="Arial Narrow" w:cs="Arial"/>
          <w:sz w:val="28"/>
          <w:szCs w:val="28"/>
        </w:rPr>
        <w:t xml:space="preserve">le asiste la razón al demandante, </w:t>
      </w:r>
      <w:r>
        <w:rPr>
          <w:rFonts w:ascii="Arial Narrow" w:hAnsi="Arial Narrow" w:cs="Arial"/>
          <w:sz w:val="28"/>
          <w:szCs w:val="28"/>
        </w:rPr>
        <w:t>en cuanto a que es ilegal la segunda resolución notificada al actor</w:t>
      </w:r>
      <w:r w:rsidR="00CE5832">
        <w:rPr>
          <w:rFonts w:ascii="Arial Narrow" w:hAnsi="Arial Narrow" w:cs="Arial"/>
          <w:sz w:val="28"/>
          <w:szCs w:val="28"/>
        </w:rPr>
        <w:t>,</w:t>
      </w:r>
      <w:r>
        <w:rPr>
          <w:rFonts w:ascii="Arial Narrow" w:hAnsi="Arial Narrow" w:cs="Arial"/>
          <w:sz w:val="28"/>
          <w:szCs w:val="28"/>
        </w:rPr>
        <w:t xml:space="preserve"> donde se impone como sanción además de una Multa de Quince Unidades de Medida y Actualización, la Clausura del Establecimiento inspeccionado</w:t>
      </w:r>
      <w:r w:rsidR="00641431">
        <w:rPr>
          <w:rFonts w:ascii="Arial Narrow" w:hAnsi="Arial Narrow" w:cs="Arial"/>
          <w:sz w:val="28"/>
          <w:szCs w:val="28"/>
        </w:rPr>
        <w:t>, al señalar que no puede ser actualizada o modificada una resolución administrativa que ha sido notificada con anterioridad, lo cual representa una violación a la seguridad jurídica del actuante</w:t>
      </w:r>
      <w:r w:rsidR="00CE5832">
        <w:rPr>
          <w:rFonts w:ascii="Arial Narrow" w:hAnsi="Arial Narrow" w:cs="Arial"/>
          <w:sz w:val="28"/>
          <w:szCs w:val="28"/>
        </w:rPr>
        <w:t xml:space="preserve">, </w:t>
      </w:r>
      <w:r w:rsidR="00641431">
        <w:rPr>
          <w:rFonts w:ascii="Arial Narrow" w:hAnsi="Arial Narrow" w:cs="Arial"/>
          <w:sz w:val="28"/>
          <w:szCs w:val="28"/>
        </w:rPr>
        <w:t xml:space="preserve">lo que resulta fundado </w:t>
      </w:r>
      <w:r w:rsidR="00CE5832">
        <w:rPr>
          <w:rFonts w:ascii="Arial Narrow" w:hAnsi="Arial Narrow" w:cs="Arial"/>
          <w:sz w:val="28"/>
          <w:szCs w:val="28"/>
        </w:rPr>
        <w:t xml:space="preserve">pues </w:t>
      </w:r>
      <w:r w:rsidR="00641431">
        <w:rPr>
          <w:rFonts w:ascii="Arial Narrow" w:hAnsi="Arial Narrow" w:cs="Arial"/>
          <w:sz w:val="28"/>
          <w:szCs w:val="28"/>
        </w:rPr>
        <w:t xml:space="preserve">en efecto, </w:t>
      </w:r>
      <w:r w:rsidR="00CE5832">
        <w:rPr>
          <w:rFonts w:ascii="Arial Narrow" w:hAnsi="Arial Narrow" w:cs="Arial"/>
          <w:sz w:val="28"/>
          <w:szCs w:val="28"/>
        </w:rPr>
        <w:t>no existe precepto legal que faculte a la autoridad demandada a modificar la resolución primigenia, como lo efectuó en el presente asunto, por lo que con la modificación anterior, es evidente que viola las garantías que consignan los artículos 14 y 16 Constitucionales, en perjuicio del particular.</w:t>
      </w:r>
    </w:p>
    <w:p w:rsidR="00B31F61" w:rsidRDefault="00B31F61" w:rsidP="0037562F">
      <w:pPr>
        <w:spacing w:before="240" w:after="240" w:line="360" w:lineRule="auto"/>
        <w:ind w:firstLine="708"/>
        <w:jc w:val="both"/>
        <w:rPr>
          <w:rFonts w:ascii="Arial Narrow" w:hAnsi="Arial Narrow" w:cs="Arial"/>
          <w:sz w:val="28"/>
          <w:szCs w:val="28"/>
        </w:rPr>
      </w:pPr>
    </w:p>
    <w:p w:rsidR="00641431" w:rsidRDefault="00641431" w:rsidP="0037562F">
      <w:pPr>
        <w:spacing w:before="240" w:after="240" w:line="360" w:lineRule="auto"/>
        <w:ind w:firstLine="708"/>
        <w:jc w:val="both"/>
        <w:rPr>
          <w:rFonts w:ascii="Arial Narrow" w:hAnsi="Arial Narrow" w:cs="Arial"/>
          <w:sz w:val="28"/>
          <w:szCs w:val="28"/>
        </w:rPr>
      </w:pPr>
      <w:r>
        <w:rPr>
          <w:rFonts w:ascii="Arial Narrow" w:hAnsi="Arial Narrow" w:cs="Arial"/>
          <w:sz w:val="28"/>
          <w:szCs w:val="28"/>
        </w:rPr>
        <w:t xml:space="preserve">En tal virtud, con fundamento en </w:t>
      </w:r>
      <w:r w:rsidR="002D5515">
        <w:rPr>
          <w:rFonts w:ascii="Arial Narrow" w:hAnsi="Arial Narrow" w:cs="Arial"/>
          <w:sz w:val="28"/>
          <w:szCs w:val="28"/>
        </w:rPr>
        <w:t xml:space="preserve">las fracciones II, III, VI y V del artículo 250 </w:t>
      </w:r>
      <w:r w:rsidR="00B14B20">
        <w:rPr>
          <w:rFonts w:ascii="Arial Narrow" w:hAnsi="Arial Narrow" w:cs="Arial"/>
          <w:sz w:val="28"/>
          <w:szCs w:val="28"/>
        </w:rPr>
        <w:t xml:space="preserve">y 251 </w:t>
      </w:r>
      <w:r w:rsidR="002D5515">
        <w:rPr>
          <w:rFonts w:ascii="Arial Narrow" w:hAnsi="Arial Narrow" w:cs="Arial"/>
          <w:sz w:val="28"/>
          <w:szCs w:val="28"/>
        </w:rPr>
        <w:t xml:space="preserve">del Código Procesal Administrativo para el Estado de San Luis Potosí, se declara ilegal la </w:t>
      </w:r>
      <w:r w:rsidR="002D5515" w:rsidRPr="004F0287">
        <w:rPr>
          <w:rFonts w:ascii="Arial Narrow" w:hAnsi="Arial Narrow" w:cs="Arial"/>
          <w:sz w:val="28"/>
          <w:szCs w:val="28"/>
        </w:rPr>
        <w:t>Resoluci</w:t>
      </w:r>
      <w:r w:rsidR="008C644A">
        <w:rPr>
          <w:rFonts w:ascii="Arial Narrow" w:hAnsi="Arial Narrow" w:cs="Arial"/>
          <w:sz w:val="28"/>
          <w:szCs w:val="28"/>
        </w:rPr>
        <w:t>ón</w:t>
      </w:r>
      <w:r w:rsidR="002D5515" w:rsidRPr="004F0287">
        <w:rPr>
          <w:rFonts w:ascii="Arial Narrow" w:hAnsi="Arial Narrow" w:cs="Arial"/>
          <w:sz w:val="28"/>
          <w:szCs w:val="28"/>
        </w:rPr>
        <w:t xml:space="preserve"> Administrativa, Visita de Inspección número 001004</w:t>
      </w:r>
      <w:r w:rsidR="002D5515">
        <w:rPr>
          <w:rFonts w:ascii="Arial Narrow" w:hAnsi="Arial Narrow" w:cs="Arial"/>
          <w:sz w:val="28"/>
          <w:szCs w:val="28"/>
        </w:rPr>
        <w:t xml:space="preserve"> (f. 98 a 100)</w:t>
      </w:r>
      <w:r w:rsidR="00B14B20">
        <w:rPr>
          <w:rFonts w:ascii="Arial Narrow" w:hAnsi="Arial Narrow" w:cs="Arial"/>
          <w:sz w:val="28"/>
          <w:szCs w:val="28"/>
        </w:rPr>
        <w:t xml:space="preserve"> y por ende la </w:t>
      </w:r>
      <w:r w:rsidR="00B14B20" w:rsidRPr="00150F7A">
        <w:rPr>
          <w:rFonts w:ascii="Arial Narrow" w:hAnsi="Arial Narrow" w:cs="Arial"/>
          <w:b/>
          <w:sz w:val="28"/>
          <w:szCs w:val="28"/>
        </w:rPr>
        <w:t xml:space="preserve">NULIDAD </w:t>
      </w:r>
      <w:r w:rsidR="00062E83">
        <w:rPr>
          <w:rFonts w:ascii="Arial Narrow" w:hAnsi="Arial Narrow" w:cs="Arial"/>
          <w:b/>
          <w:sz w:val="28"/>
          <w:szCs w:val="28"/>
        </w:rPr>
        <w:t xml:space="preserve">LISA y LLANA </w:t>
      </w:r>
      <w:r w:rsidR="00B14B20">
        <w:rPr>
          <w:rFonts w:ascii="Arial Narrow" w:hAnsi="Arial Narrow" w:cs="Arial"/>
          <w:sz w:val="28"/>
          <w:szCs w:val="28"/>
        </w:rPr>
        <w:t>de la misma</w:t>
      </w:r>
      <w:r w:rsidR="00EE5E4F">
        <w:rPr>
          <w:rFonts w:ascii="Arial Narrow" w:hAnsi="Arial Narrow" w:cs="Arial"/>
          <w:sz w:val="28"/>
          <w:szCs w:val="28"/>
        </w:rPr>
        <w:t xml:space="preserve">, </w:t>
      </w:r>
      <w:r w:rsidR="00EE5E4F" w:rsidRPr="002403ED">
        <w:rPr>
          <w:rFonts w:ascii="Arial Narrow" w:eastAsia="Calibri" w:hAnsi="Arial Narrow" w:cs="Arial"/>
          <w:sz w:val="28"/>
          <w:szCs w:val="28"/>
        </w:rPr>
        <w:t xml:space="preserve">dejándola desde este </w:t>
      </w:r>
      <w:r w:rsidR="00EE5E4F">
        <w:rPr>
          <w:rFonts w:ascii="Arial Narrow" w:eastAsia="Calibri" w:hAnsi="Arial Narrow" w:cs="Arial"/>
          <w:sz w:val="28"/>
          <w:szCs w:val="28"/>
        </w:rPr>
        <w:t>momento sin efecto legal alguno</w:t>
      </w:r>
      <w:r w:rsidR="00B14B20">
        <w:rPr>
          <w:rFonts w:ascii="Arial Narrow" w:hAnsi="Arial Narrow" w:cs="Arial"/>
          <w:sz w:val="28"/>
          <w:szCs w:val="28"/>
        </w:rPr>
        <w:t>.</w:t>
      </w:r>
    </w:p>
    <w:p w:rsidR="00C814C8" w:rsidRDefault="00C814C8" w:rsidP="0037562F">
      <w:pPr>
        <w:spacing w:before="240" w:after="240" w:line="360" w:lineRule="auto"/>
        <w:ind w:firstLine="708"/>
        <w:jc w:val="both"/>
        <w:rPr>
          <w:rFonts w:ascii="Arial Narrow" w:hAnsi="Arial Narrow" w:cs="Arial"/>
          <w:sz w:val="28"/>
          <w:szCs w:val="28"/>
        </w:rPr>
      </w:pPr>
    </w:p>
    <w:p w:rsidR="00547FE9" w:rsidRDefault="00FC1F29" w:rsidP="0037562F">
      <w:pPr>
        <w:spacing w:before="240" w:after="240" w:line="360" w:lineRule="auto"/>
        <w:ind w:firstLine="708"/>
        <w:jc w:val="both"/>
        <w:rPr>
          <w:rFonts w:ascii="Arial Narrow" w:hAnsi="Arial Narrow" w:cs="Arial"/>
          <w:sz w:val="28"/>
          <w:szCs w:val="28"/>
        </w:rPr>
      </w:pPr>
      <w:r w:rsidRPr="00FC1F29">
        <w:rPr>
          <w:rFonts w:ascii="Arial Narrow" w:hAnsi="Arial Narrow" w:cs="Arial"/>
          <w:b/>
          <w:sz w:val="28"/>
          <w:szCs w:val="28"/>
        </w:rPr>
        <w:t>SEPTIMO.-</w:t>
      </w:r>
      <w:r>
        <w:rPr>
          <w:rFonts w:ascii="Arial Narrow" w:hAnsi="Arial Narrow" w:cs="Arial"/>
          <w:sz w:val="28"/>
          <w:szCs w:val="28"/>
        </w:rPr>
        <w:t xml:space="preserve"> </w:t>
      </w:r>
      <w:r w:rsidR="0084016A">
        <w:rPr>
          <w:rFonts w:ascii="Arial Narrow" w:hAnsi="Arial Narrow" w:cs="Arial"/>
          <w:sz w:val="28"/>
          <w:szCs w:val="28"/>
        </w:rPr>
        <w:t xml:space="preserve">De acuerdo a lo anterior, queda vigente </w:t>
      </w:r>
      <w:r w:rsidR="00F530C8" w:rsidRPr="008A709C">
        <w:rPr>
          <w:rFonts w:ascii="Arial Narrow" w:hAnsi="Arial Narrow" w:cs="Arial"/>
          <w:sz w:val="28"/>
          <w:szCs w:val="28"/>
        </w:rPr>
        <w:t>la sanci</w:t>
      </w:r>
      <w:r w:rsidR="00F530C8">
        <w:rPr>
          <w:rFonts w:ascii="Arial Narrow" w:hAnsi="Arial Narrow" w:cs="Arial"/>
          <w:sz w:val="28"/>
          <w:szCs w:val="28"/>
        </w:rPr>
        <w:t xml:space="preserve">ón impuesta </w:t>
      </w:r>
      <w:r w:rsidR="00F530C8" w:rsidRPr="004F0287">
        <w:rPr>
          <w:rFonts w:ascii="Arial Narrow" w:hAnsi="Arial Narrow" w:cs="Arial"/>
          <w:sz w:val="28"/>
          <w:szCs w:val="28"/>
        </w:rPr>
        <w:t xml:space="preserve">en la </w:t>
      </w:r>
      <w:r w:rsidR="00F530C8">
        <w:rPr>
          <w:rFonts w:ascii="Arial Narrow" w:hAnsi="Arial Narrow" w:cs="Arial"/>
          <w:sz w:val="28"/>
          <w:szCs w:val="28"/>
        </w:rPr>
        <w:t xml:space="preserve">primigenia </w:t>
      </w:r>
      <w:r w:rsidR="00F530C8" w:rsidRPr="004F0287">
        <w:rPr>
          <w:rFonts w:ascii="Arial Narrow" w:hAnsi="Arial Narrow" w:cs="Arial"/>
          <w:sz w:val="28"/>
          <w:szCs w:val="28"/>
        </w:rPr>
        <w:t>Resoluci</w:t>
      </w:r>
      <w:r w:rsidR="00F530C8">
        <w:rPr>
          <w:rFonts w:ascii="Arial Narrow" w:hAnsi="Arial Narrow" w:cs="Arial"/>
          <w:sz w:val="28"/>
          <w:szCs w:val="28"/>
        </w:rPr>
        <w:t>ón</w:t>
      </w:r>
      <w:r w:rsidR="00F530C8" w:rsidRPr="004F0287">
        <w:rPr>
          <w:rFonts w:ascii="Arial Narrow" w:hAnsi="Arial Narrow" w:cs="Arial"/>
          <w:sz w:val="28"/>
          <w:szCs w:val="28"/>
        </w:rPr>
        <w:t xml:space="preserve"> Administrativa, Visita de Inspección número 001004</w:t>
      </w:r>
      <w:r w:rsidR="00F530C8">
        <w:rPr>
          <w:rFonts w:ascii="Arial Narrow" w:hAnsi="Arial Narrow" w:cs="Arial"/>
          <w:sz w:val="28"/>
          <w:szCs w:val="28"/>
        </w:rPr>
        <w:t xml:space="preserve"> (f. 42 a 44)</w:t>
      </w:r>
      <w:r w:rsidR="0084016A">
        <w:rPr>
          <w:rFonts w:ascii="Arial Narrow" w:hAnsi="Arial Narrow" w:cs="Arial"/>
          <w:sz w:val="28"/>
          <w:szCs w:val="28"/>
        </w:rPr>
        <w:t>, consistente en la imposición de una multa de Quince Unidades de Medida y Actualización</w:t>
      </w:r>
      <w:r w:rsidR="00A70079">
        <w:rPr>
          <w:rFonts w:ascii="Arial Narrow" w:hAnsi="Arial Narrow" w:cs="Arial"/>
          <w:sz w:val="28"/>
          <w:szCs w:val="28"/>
        </w:rPr>
        <w:t xml:space="preserve">, con base en el numeral 91 del Reglamento para el Ejercicio de las Actividades Comerciales, Industriales y de </w:t>
      </w:r>
      <w:r w:rsidR="00CB1526">
        <w:rPr>
          <w:rFonts w:ascii="Arial Narrow" w:hAnsi="Arial Narrow" w:cs="Arial"/>
          <w:sz w:val="28"/>
          <w:szCs w:val="28"/>
        </w:rPr>
        <w:t>Prestación</w:t>
      </w:r>
      <w:r w:rsidR="00A70079">
        <w:rPr>
          <w:rFonts w:ascii="Arial Narrow" w:hAnsi="Arial Narrow" w:cs="Arial"/>
          <w:sz w:val="28"/>
          <w:szCs w:val="28"/>
        </w:rPr>
        <w:t xml:space="preserve"> de Servicios en el Municipio Libre de San Luis Potosí</w:t>
      </w:r>
      <w:r w:rsidR="00601B64">
        <w:rPr>
          <w:rFonts w:ascii="Arial Narrow" w:hAnsi="Arial Narrow" w:cs="Arial"/>
          <w:sz w:val="28"/>
          <w:szCs w:val="28"/>
        </w:rPr>
        <w:t>.</w:t>
      </w:r>
    </w:p>
    <w:p w:rsidR="00601B64" w:rsidRDefault="00601B64" w:rsidP="0037562F">
      <w:pPr>
        <w:spacing w:before="240" w:after="240" w:line="360" w:lineRule="auto"/>
        <w:ind w:firstLine="708"/>
        <w:jc w:val="both"/>
        <w:rPr>
          <w:rFonts w:ascii="Arial Narrow" w:hAnsi="Arial Narrow" w:cs="Arial"/>
          <w:sz w:val="28"/>
          <w:szCs w:val="28"/>
        </w:rPr>
      </w:pPr>
    </w:p>
    <w:p w:rsidR="00601B64" w:rsidRDefault="00601B64" w:rsidP="0037562F">
      <w:pPr>
        <w:spacing w:before="240" w:after="240" w:line="360" w:lineRule="auto"/>
        <w:ind w:firstLine="708"/>
        <w:jc w:val="both"/>
        <w:rPr>
          <w:rFonts w:ascii="Arial Narrow" w:hAnsi="Arial Narrow" w:cs="Arial"/>
          <w:sz w:val="28"/>
          <w:szCs w:val="28"/>
        </w:rPr>
      </w:pPr>
      <w:r>
        <w:rPr>
          <w:rFonts w:ascii="Arial Narrow" w:hAnsi="Arial Narrow" w:cs="Arial"/>
          <w:sz w:val="28"/>
          <w:szCs w:val="28"/>
        </w:rPr>
        <w:t>Ahora bien, tomando en cuenta que la autoridad impone al actor multa por quince Unidades de Medida y Actualización y que la multa mínima de acuerdo al artículo 91 fracción II del Reglamento para el Ejercicio de las Actividades Comerciales, Industriales y de Prestación de Servicios en el Municipio Libre de San Luis Potosí, corresponde a cien veces el salario mínimo general vigente en la región; luego entonces, tenemos que la autoridad demandada aplicó la multa al actor, menor a la mínima que establece la disposición antes citada.</w:t>
      </w:r>
    </w:p>
    <w:p w:rsidR="00C814C8" w:rsidRDefault="00C814C8" w:rsidP="0037562F">
      <w:pPr>
        <w:spacing w:before="240" w:after="240" w:line="360" w:lineRule="auto"/>
        <w:ind w:firstLine="708"/>
        <w:jc w:val="both"/>
        <w:rPr>
          <w:rFonts w:ascii="Arial Narrow" w:hAnsi="Arial Narrow" w:cs="Arial"/>
          <w:sz w:val="28"/>
          <w:szCs w:val="28"/>
        </w:rPr>
      </w:pPr>
    </w:p>
    <w:p w:rsidR="00B05C1D" w:rsidRDefault="00B05C1D" w:rsidP="0037562F">
      <w:pPr>
        <w:spacing w:before="240" w:after="240" w:line="360" w:lineRule="auto"/>
        <w:ind w:firstLine="708"/>
        <w:jc w:val="both"/>
        <w:rPr>
          <w:rFonts w:ascii="Arial Narrow" w:hAnsi="Arial Narrow" w:cs="Arial"/>
          <w:sz w:val="28"/>
          <w:szCs w:val="28"/>
        </w:rPr>
      </w:pPr>
      <w:r>
        <w:rPr>
          <w:rFonts w:ascii="Arial Narrow" w:hAnsi="Arial Narrow" w:cs="Arial"/>
          <w:sz w:val="28"/>
          <w:szCs w:val="28"/>
        </w:rPr>
        <w:t xml:space="preserve">Lo anterior es así, pues si hacemos la multiplicación correspondiente de cien salarios mínimos, vigente en el año 2019, nos da la cantidad de $10,268.00, resultado de la multiplicación de cien por 102.68, que corresponde al salario mínimo vigente en el año 2019, de conformidad con la Comisión </w:t>
      </w:r>
      <w:r w:rsidR="00EA043C">
        <w:rPr>
          <w:rFonts w:ascii="Arial Narrow" w:hAnsi="Arial Narrow" w:cs="Arial"/>
          <w:sz w:val="28"/>
          <w:szCs w:val="28"/>
        </w:rPr>
        <w:t>Nacional de Salarios Mínimos.</w:t>
      </w:r>
    </w:p>
    <w:p w:rsidR="00076E78" w:rsidRDefault="00076E78" w:rsidP="0037562F">
      <w:pPr>
        <w:spacing w:before="240" w:after="240" w:line="360" w:lineRule="auto"/>
        <w:ind w:firstLine="708"/>
        <w:jc w:val="both"/>
        <w:rPr>
          <w:rFonts w:ascii="Arial Narrow" w:hAnsi="Arial Narrow" w:cs="Arial"/>
          <w:sz w:val="28"/>
          <w:szCs w:val="28"/>
        </w:rPr>
      </w:pPr>
    </w:p>
    <w:p w:rsidR="00EA043C" w:rsidRDefault="00EA043C" w:rsidP="0037562F">
      <w:pPr>
        <w:spacing w:before="240" w:after="240" w:line="360" w:lineRule="auto"/>
        <w:ind w:firstLine="708"/>
        <w:jc w:val="both"/>
        <w:rPr>
          <w:rFonts w:ascii="Arial Narrow" w:hAnsi="Arial Narrow" w:cs="Arial"/>
          <w:sz w:val="28"/>
          <w:szCs w:val="28"/>
        </w:rPr>
      </w:pPr>
      <w:r w:rsidRPr="00EA043C">
        <w:rPr>
          <w:rFonts w:ascii="Arial Narrow" w:eastAsia="Times New Roman" w:hAnsi="Arial Narrow" w:cs="Arial"/>
          <w:color w:val="000000"/>
          <w:sz w:val="28"/>
          <w:szCs w:val="28"/>
          <w:lang w:eastAsia="es-ES"/>
        </w:rPr>
        <w:t xml:space="preserve">En ese sentido, se debe advertir que, aún y cuando la autoridad establezca la multa impuesta al actor, con base en </w:t>
      </w:r>
      <w:r w:rsidR="00D74DD6">
        <w:rPr>
          <w:rFonts w:ascii="Arial Narrow" w:eastAsia="Times New Roman" w:hAnsi="Arial Narrow" w:cs="Arial"/>
          <w:color w:val="000000"/>
          <w:sz w:val="28"/>
          <w:szCs w:val="28"/>
          <w:lang w:eastAsia="es-ES"/>
        </w:rPr>
        <w:t xml:space="preserve">la </w:t>
      </w:r>
      <w:r w:rsidRPr="00EA043C">
        <w:rPr>
          <w:rFonts w:ascii="Arial Narrow" w:eastAsia="Times New Roman" w:hAnsi="Arial Narrow" w:cs="Arial"/>
          <w:color w:val="000000"/>
          <w:sz w:val="28"/>
          <w:szCs w:val="28"/>
          <w:lang w:eastAsia="es-ES"/>
        </w:rPr>
        <w:t xml:space="preserve">Unidad de Medida </w:t>
      </w:r>
      <w:r w:rsidR="00D74DD6">
        <w:rPr>
          <w:rFonts w:ascii="Arial Narrow" w:eastAsia="Times New Roman" w:hAnsi="Arial Narrow" w:cs="Arial"/>
          <w:color w:val="000000"/>
          <w:sz w:val="28"/>
          <w:szCs w:val="28"/>
          <w:lang w:eastAsia="es-ES"/>
        </w:rPr>
        <w:t>y</w:t>
      </w:r>
      <w:r w:rsidRPr="00EA043C">
        <w:rPr>
          <w:rFonts w:ascii="Arial Narrow" w:eastAsia="Times New Roman" w:hAnsi="Arial Narrow" w:cs="Arial"/>
          <w:color w:val="000000"/>
          <w:sz w:val="28"/>
          <w:szCs w:val="28"/>
          <w:lang w:eastAsia="es-ES"/>
        </w:rPr>
        <w:t xml:space="preserve"> Actualización y tomando en cuenta que en el año en que fue dictada la sanción respectiva, es decir en 2019, el valor diario de la U</w:t>
      </w:r>
      <w:r w:rsidR="00D74DD6">
        <w:rPr>
          <w:rFonts w:ascii="Arial Narrow" w:eastAsia="Times New Roman" w:hAnsi="Arial Narrow" w:cs="Arial"/>
          <w:color w:val="000000"/>
          <w:sz w:val="28"/>
          <w:szCs w:val="28"/>
          <w:lang w:eastAsia="es-ES"/>
        </w:rPr>
        <w:t>nidad de Medida y Actualización es</w:t>
      </w:r>
      <w:r w:rsidRPr="00EA043C">
        <w:rPr>
          <w:rFonts w:ascii="Arial Narrow" w:eastAsia="Times New Roman" w:hAnsi="Arial Narrow" w:cs="Arial"/>
          <w:color w:val="000000"/>
          <w:sz w:val="28"/>
          <w:szCs w:val="28"/>
          <w:lang w:eastAsia="es-ES"/>
        </w:rPr>
        <w:t xml:space="preserve"> de $84.49 pesos, y si dicha cantidad es multiplicada por 15, nos da la cantidad de $1,267.35 pesos, resultando esta cantidad menor a la multa mínima que establece la fracción II del artículo 91 del Reglamento </w:t>
      </w:r>
      <w:r w:rsidRPr="00EA043C">
        <w:rPr>
          <w:rFonts w:ascii="Arial Narrow" w:hAnsi="Arial Narrow" w:cs="Arial"/>
          <w:sz w:val="28"/>
          <w:szCs w:val="28"/>
        </w:rPr>
        <w:t>para el Ejercicio de las Actividades Comerciales, Industriales y de Prestación de Servicios en el Municipio Libre de San Luis Potosí.</w:t>
      </w:r>
    </w:p>
    <w:p w:rsidR="00B0251F" w:rsidRDefault="00B0251F" w:rsidP="0037562F">
      <w:pPr>
        <w:spacing w:before="240" w:after="240" w:line="360" w:lineRule="auto"/>
        <w:ind w:firstLine="708"/>
        <w:jc w:val="both"/>
        <w:rPr>
          <w:rFonts w:ascii="Arial Narrow" w:hAnsi="Arial Narrow" w:cs="Arial"/>
          <w:sz w:val="28"/>
          <w:szCs w:val="28"/>
        </w:rPr>
      </w:pPr>
    </w:p>
    <w:p w:rsidR="00523F17" w:rsidRPr="002D3A39" w:rsidRDefault="00B0251F" w:rsidP="00B0251F">
      <w:pPr>
        <w:spacing w:before="240" w:after="240" w:line="360" w:lineRule="auto"/>
        <w:ind w:firstLine="708"/>
        <w:jc w:val="both"/>
        <w:rPr>
          <w:rFonts w:ascii="Arial" w:eastAsia="Times New Roman" w:hAnsi="Arial" w:cs="Arial"/>
          <w:color w:val="000000"/>
          <w:sz w:val="24"/>
          <w:szCs w:val="24"/>
          <w:lang w:eastAsia="es-ES"/>
        </w:rPr>
      </w:pPr>
      <w:r>
        <w:rPr>
          <w:rFonts w:ascii="Arial Narrow" w:hAnsi="Arial Narrow" w:cs="Arial"/>
          <w:sz w:val="28"/>
          <w:szCs w:val="28"/>
        </w:rPr>
        <w:t xml:space="preserve">Motivo por el cual, queda acreditado que la autoridad demandada impuso a la parte actora la multa mínima establecida en la fracción II del artículo 91 del </w:t>
      </w:r>
      <w:r w:rsidRPr="00EA043C">
        <w:rPr>
          <w:rFonts w:ascii="Arial Narrow" w:eastAsia="Times New Roman" w:hAnsi="Arial Narrow" w:cs="Arial"/>
          <w:color w:val="000000"/>
          <w:sz w:val="28"/>
          <w:szCs w:val="28"/>
          <w:lang w:eastAsia="es-ES"/>
        </w:rPr>
        <w:t xml:space="preserve">Reglamento </w:t>
      </w:r>
      <w:r w:rsidRPr="00EA043C">
        <w:rPr>
          <w:rFonts w:ascii="Arial Narrow" w:hAnsi="Arial Narrow" w:cs="Arial"/>
          <w:sz w:val="28"/>
          <w:szCs w:val="28"/>
        </w:rPr>
        <w:t>para el Ejercicio de las Actividades Comerciales, Industriales y de Prestación de Servicios en el Municipio Libre de San Luis Potosí</w:t>
      </w:r>
      <w:r>
        <w:rPr>
          <w:rFonts w:ascii="Arial Narrow" w:hAnsi="Arial Narrow" w:cs="Arial"/>
          <w:sz w:val="28"/>
          <w:szCs w:val="28"/>
        </w:rPr>
        <w:t xml:space="preserve">, en razón de que, careciendo de licencia de funcionamiento, permanece operando y desempeñando el giro comercial de Taller de Hojalatería y Pintura, en el establecimiento ubicado en </w:t>
      </w:r>
      <w:r w:rsidR="00A65CCB">
        <w:rPr>
          <w:rFonts w:ascii="Arial Narrow" w:hAnsi="Arial Narrow" w:cs="Arial"/>
          <w:color w:val="FF0000"/>
          <w:sz w:val="28"/>
          <w:szCs w:val="28"/>
        </w:rPr>
        <w:t>**********</w:t>
      </w:r>
      <w:r>
        <w:rPr>
          <w:rFonts w:ascii="Arial Narrow" w:hAnsi="Arial Narrow" w:cs="Arial"/>
          <w:sz w:val="28"/>
          <w:szCs w:val="28"/>
        </w:rPr>
        <w:t>, de esta Ciudad, por lo que, la autoridad demandada no se encontraba obligada de fundar y motivar la multa impuesta, resultando aplicable la siguiente jurisprudencia</w:t>
      </w:r>
      <w:r w:rsidR="00523F17" w:rsidRPr="002D3A39">
        <w:rPr>
          <w:rFonts w:ascii="Arial" w:eastAsia="Times New Roman" w:hAnsi="Arial" w:cs="Arial"/>
          <w:color w:val="000000"/>
          <w:sz w:val="24"/>
          <w:szCs w:val="24"/>
          <w:lang w:eastAsia="es-ES"/>
        </w:rPr>
        <w:t>:</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 xml:space="preserve">Época: Novena Época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 xml:space="preserve">Registro: 192796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 xml:space="preserve">Instancia: Segunda Sala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 xml:space="preserve">Tipo de Tesis: Jurisprudencia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 xml:space="preserve">Fuente: Semanario Judicial de la Federación y su Gaceta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 xml:space="preserve">Tomo X, Diciembre de 1999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 xml:space="preserve">Materia(s): Administrativa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Tesis: 2a</w:t>
      </w:r>
      <w:proofErr w:type="gramStart"/>
      <w:r w:rsidRPr="002D3A39">
        <w:rPr>
          <w:rFonts w:ascii="Arial" w:eastAsia="Times New Roman" w:hAnsi="Arial" w:cs="Arial"/>
          <w:color w:val="000000"/>
          <w:sz w:val="20"/>
          <w:szCs w:val="20"/>
          <w:lang w:eastAsia="es-ES"/>
        </w:rPr>
        <w:t>./</w:t>
      </w:r>
      <w:proofErr w:type="gramEnd"/>
      <w:r w:rsidRPr="002D3A39">
        <w:rPr>
          <w:rFonts w:ascii="Arial" w:eastAsia="Times New Roman" w:hAnsi="Arial" w:cs="Arial"/>
          <w:color w:val="000000"/>
          <w:sz w:val="20"/>
          <w:szCs w:val="20"/>
          <w:lang w:eastAsia="es-ES"/>
        </w:rPr>
        <w:t xml:space="preserve">J. 127/99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 xml:space="preserve">Página: 219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p>
    <w:p w:rsidR="00523F17" w:rsidRPr="002D3A39" w:rsidRDefault="000D09B8"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Pr>
          <w:rFonts w:ascii="Arial" w:eastAsia="Times New Roman" w:hAnsi="Arial" w:cs="Arial"/>
          <w:b/>
          <w:color w:val="000000"/>
          <w:sz w:val="20"/>
          <w:szCs w:val="20"/>
          <w:lang w:eastAsia="es-ES"/>
        </w:rPr>
        <w:t>“</w:t>
      </w:r>
      <w:r w:rsidR="00523F17" w:rsidRPr="00134C17">
        <w:rPr>
          <w:rFonts w:ascii="Arial" w:eastAsia="Times New Roman" w:hAnsi="Arial" w:cs="Arial"/>
          <w:b/>
          <w:color w:val="000000"/>
          <w:sz w:val="20"/>
          <w:szCs w:val="20"/>
          <w:lang w:eastAsia="es-ES"/>
        </w:rPr>
        <w:t>MULTA FISCAL MÍNIMA. LA CIRCUNSTANCIA DE QUE NO SE MOTIVE SU IMPOSICIÓN, NO AMERITA LA CONCESIÓN DEL AMPARO POR VIOLACIÓN AL ARTÍCULO 16 CONSTITUCIONAL</w:t>
      </w:r>
      <w:r w:rsidR="00523F17" w:rsidRPr="002D3A39">
        <w:rPr>
          <w:rFonts w:ascii="Arial" w:eastAsia="Times New Roman" w:hAnsi="Arial" w:cs="Arial"/>
          <w:color w:val="000000"/>
          <w:sz w:val="20"/>
          <w:szCs w:val="20"/>
          <w:lang w:eastAsia="es-ES"/>
        </w:rPr>
        <w:t>.</w:t>
      </w:r>
      <w:r w:rsidR="00E62440">
        <w:rPr>
          <w:rFonts w:ascii="Arial" w:eastAsia="Times New Roman" w:hAnsi="Arial" w:cs="Arial"/>
          <w:color w:val="000000"/>
          <w:sz w:val="20"/>
          <w:szCs w:val="20"/>
          <w:lang w:eastAsia="es-ES"/>
        </w:rPr>
        <w:t xml:space="preserve">- </w:t>
      </w:r>
      <w:r w:rsidR="00523F17" w:rsidRPr="002D3A39">
        <w:rPr>
          <w:rFonts w:ascii="Arial" w:eastAsia="Times New Roman" w:hAnsi="Arial" w:cs="Arial"/>
          <w:color w:val="000000"/>
          <w:sz w:val="20"/>
          <w:szCs w:val="20"/>
          <w:lang w:eastAsia="es-ES"/>
        </w:rPr>
        <w:t xml:space="preserve">Si bien es cierto que de conformidad con el artículo 16 constitucional todo acto de autoridad que incida en la esfera jurídica de un particular debe fundarse y motivarse, también lo es que resulta irrelevante y </w:t>
      </w:r>
      <w:r w:rsidR="00523F17" w:rsidRPr="002D3A39">
        <w:rPr>
          <w:rFonts w:ascii="Arial" w:eastAsia="Times New Roman" w:hAnsi="Arial" w:cs="Arial"/>
          <w:b/>
          <w:color w:val="000000"/>
          <w:sz w:val="20"/>
          <w:szCs w:val="20"/>
          <w:lang w:eastAsia="es-ES"/>
        </w:rPr>
        <w:t xml:space="preserve">no causa violación de garantías </w:t>
      </w:r>
      <w:r w:rsidR="00523F17" w:rsidRPr="002D3A39">
        <w:rPr>
          <w:rFonts w:ascii="Arial" w:eastAsia="Times New Roman" w:hAnsi="Arial" w:cs="Arial"/>
          <w:color w:val="000000"/>
          <w:sz w:val="20"/>
          <w:szCs w:val="20"/>
          <w:lang w:eastAsia="es-ES"/>
        </w:rPr>
        <w:t xml:space="preserve">que amerite la concesión del amparo, </w:t>
      </w:r>
      <w:r w:rsidR="00523F17" w:rsidRPr="002D3A39">
        <w:rPr>
          <w:rFonts w:ascii="Arial" w:eastAsia="Times New Roman" w:hAnsi="Arial" w:cs="Arial"/>
          <w:b/>
          <w:color w:val="000000"/>
          <w:sz w:val="20"/>
          <w:szCs w:val="20"/>
          <w:lang w:eastAsia="es-ES"/>
        </w:rPr>
        <w:t>que la autoridad sancionadora</w:t>
      </w:r>
      <w:r w:rsidR="00523F17" w:rsidRPr="002D3A39">
        <w:rPr>
          <w:rFonts w:ascii="Arial" w:eastAsia="Times New Roman" w:hAnsi="Arial" w:cs="Arial"/>
          <w:color w:val="000000"/>
          <w:sz w:val="20"/>
          <w:szCs w:val="20"/>
          <w:lang w:eastAsia="es-ES"/>
        </w:rPr>
        <w:t xml:space="preserve">, haciendo uso de su arbitrio, </w:t>
      </w:r>
      <w:r w:rsidR="00523F17" w:rsidRPr="002D3A39">
        <w:rPr>
          <w:rFonts w:ascii="Arial" w:eastAsia="Times New Roman" w:hAnsi="Arial" w:cs="Arial"/>
          <w:b/>
          <w:color w:val="000000"/>
          <w:sz w:val="20"/>
          <w:szCs w:val="20"/>
          <w:lang w:eastAsia="es-ES"/>
        </w:rPr>
        <w:t>imponga al particular la multa mínima prevista en la ley sin señalar pormenorizadamente los elementos que la llevaron a determinar dicho monto, como lo pueden ser, entre otras, la gravedad de la infracción, la capacidad económica del infractor, su reincidencia, ya que tales elementos sólo deben tomarse en cuenta cuando se impone una multa mayor a la mínima, pero no cuando se aplica esta última</w:t>
      </w:r>
      <w:r w:rsidR="00523F17" w:rsidRPr="002D3A39">
        <w:rPr>
          <w:rFonts w:ascii="Arial" w:eastAsia="Times New Roman" w:hAnsi="Arial" w:cs="Arial"/>
          <w:color w:val="000000"/>
          <w:sz w:val="20"/>
          <w:szCs w:val="20"/>
          <w:lang w:eastAsia="es-ES"/>
        </w:rPr>
        <w:t>, pues es inconcuso que legalmente no podría imponerse una sanción menor. Ello no atenta contra el principio de fundamentación y motivación, pues es claro que la autoridad se encuentra obligada a fundar con todo detalle, en la ley aplicable, el acto de que se trate y, además, a motivar pormenorizadamente las razones que la llevaron a considerar que, efectivamente, el particular incurrió en una infracción; es decir, la obligación de motivar el acto en cuestión se cumple plenamente al expresarse todas las circunstancias del caso y detallar todos los elementos de los cuales desprenda la autoridad que el particular llevó a cabo una conducta contraria a derecho, sin que, además, sea menester señalar las razones concretas que la llevaron a imponer la multa mínima.</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 xml:space="preserve">Contradicción de tesis 27/99. Entre las sustentadas por el Segundo Tribunal Colegiado del Décimo Tercer Circuito y el Primer Tribunal Colegiado del Octavo Circuito. 22 de octubre de 1999. Unanimidad de cuatro votos. Ausente: José Vicente </w:t>
      </w:r>
      <w:proofErr w:type="spellStart"/>
      <w:r w:rsidRPr="002D3A39">
        <w:rPr>
          <w:rFonts w:ascii="Arial" w:eastAsia="Times New Roman" w:hAnsi="Arial" w:cs="Arial"/>
          <w:color w:val="000000"/>
          <w:sz w:val="20"/>
          <w:szCs w:val="20"/>
          <w:lang w:eastAsia="es-ES"/>
        </w:rPr>
        <w:t>Aguinaco</w:t>
      </w:r>
      <w:proofErr w:type="spellEnd"/>
      <w:r w:rsidRPr="002D3A39">
        <w:rPr>
          <w:rFonts w:ascii="Arial" w:eastAsia="Times New Roman" w:hAnsi="Arial" w:cs="Arial"/>
          <w:color w:val="000000"/>
          <w:sz w:val="20"/>
          <w:szCs w:val="20"/>
          <w:lang w:eastAsia="es-ES"/>
        </w:rPr>
        <w:t xml:space="preserve"> Alemán. Ponente: Guillermo I. Ortiz </w:t>
      </w:r>
      <w:proofErr w:type="spellStart"/>
      <w:r w:rsidRPr="002D3A39">
        <w:rPr>
          <w:rFonts w:ascii="Arial" w:eastAsia="Times New Roman" w:hAnsi="Arial" w:cs="Arial"/>
          <w:color w:val="000000"/>
          <w:sz w:val="20"/>
          <w:szCs w:val="20"/>
          <w:lang w:eastAsia="es-ES"/>
        </w:rPr>
        <w:t>Mayagoitia</w:t>
      </w:r>
      <w:proofErr w:type="spellEnd"/>
      <w:r w:rsidRPr="002D3A39">
        <w:rPr>
          <w:rFonts w:ascii="Arial" w:eastAsia="Times New Roman" w:hAnsi="Arial" w:cs="Arial"/>
          <w:color w:val="000000"/>
          <w:sz w:val="20"/>
          <w:szCs w:val="20"/>
          <w:lang w:eastAsia="es-ES"/>
        </w:rPr>
        <w:t xml:space="preserve">. Secretaria: Mara Gómez Pérez. </w:t>
      </w:r>
    </w:p>
    <w:p w:rsidR="00523F17" w:rsidRPr="002D3A39"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p>
    <w:p w:rsidR="00523F17" w:rsidRDefault="00523F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r w:rsidRPr="002D3A39">
        <w:rPr>
          <w:rFonts w:ascii="Arial" w:eastAsia="Times New Roman" w:hAnsi="Arial" w:cs="Arial"/>
          <w:color w:val="000000"/>
          <w:sz w:val="20"/>
          <w:szCs w:val="20"/>
          <w:lang w:eastAsia="es-ES"/>
        </w:rPr>
        <w:t>Tesis de jurisprudencia 127/99. Aprobada por la Segunda Sala de este Alto Tribunal, en sesión privada del veintinueve de octubre de mil novecientos noventa y nueve.</w:t>
      </w:r>
      <w:r w:rsidR="000D09B8">
        <w:rPr>
          <w:rFonts w:ascii="Arial" w:eastAsia="Times New Roman" w:hAnsi="Arial" w:cs="Arial"/>
          <w:color w:val="000000"/>
          <w:sz w:val="20"/>
          <w:szCs w:val="20"/>
          <w:lang w:eastAsia="es-ES"/>
        </w:rPr>
        <w:t>”</w:t>
      </w:r>
    </w:p>
    <w:p w:rsidR="00134C17" w:rsidRDefault="00134C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p>
    <w:p w:rsidR="00134C17" w:rsidRDefault="00134C17"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p>
    <w:p w:rsidR="00076E78" w:rsidRDefault="00076E78" w:rsidP="00523F17">
      <w:pPr>
        <w:autoSpaceDE w:val="0"/>
        <w:autoSpaceDN w:val="0"/>
        <w:adjustRightInd w:val="0"/>
        <w:spacing w:after="0" w:line="240" w:lineRule="auto"/>
        <w:ind w:left="709"/>
        <w:jc w:val="both"/>
        <w:rPr>
          <w:rFonts w:ascii="Arial" w:eastAsia="Times New Roman" w:hAnsi="Arial" w:cs="Arial"/>
          <w:color w:val="000000"/>
          <w:sz w:val="20"/>
          <w:szCs w:val="20"/>
          <w:lang w:eastAsia="es-ES"/>
        </w:rPr>
      </w:pPr>
    </w:p>
    <w:p w:rsidR="00134C17" w:rsidRDefault="00134C17" w:rsidP="000D09B8">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Así también, ilustra por analogía al caso, el criterio Jurisprudencial sostenido por el Segundo Tribunal Colegiado del Décimo Tercer Circuito, publicado en el Semanario Judicial de la Federación, Junio 1996, página 875, que a la letra dice:</w:t>
      </w:r>
    </w:p>
    <w:p w:rsidR="00134C17" w:rsidRDefault="00134C17" w:rsidP="00523F17">
      <w:pPr>
        <w:autoSpaceDE w:val="0"/>
        <w:autoSpaceDN w:val="0"/>
        <w:adjustRightInd w:val="0"/>
        <w:spacing w:after="0" w:line="240" w:lineRule="auto"/>
        <w:ind w:left="709"/>
        <w:jc w:val="both"/>
        <w:rPr>
          <w:rFonts w:ascii="Arial Narrow" w:eastAsia="Times New Roman" w:hAnsi="Arial Narrow" w:cs="Arial"/>
          <w:color w:val="000000"/>
          <w:sz w:val="28"/>
          <w:szCs w:val="28"/>
          <w:lang w:eastAsia="es-ES"/>
        </w:rPr>
      </w:pPr>
    </w:p>
    <w:p w:rsidR="00134C17" w:rsidRDefault="00134C17" w:rsidP="00523F17">
      <w:pPr>
        <w:autoSpaceDE w:val="0"/>
        <w:autoSpaceDN w:val="0"/>
        <w:adjustRightInd w:val="0"/>
        <w:spacing w:after="0" w:line="240" w:lineRule="auto"/>
        <w:ind w:left="709"/>
        <w:jc w:val="both"/>
        <w:rPr>
          <w:rFonts w:ascii="Arial" w:eastAsia="Times New Roman" w:hAnsi="Arial" w:cs="Arial"/>
          <w:i/>
          <w:color w:val="000000"/>
          <w:sz w:val="20"/>
          <w:szCs w:val="20"/>
          <w:lang w:eastAsia="es-ES"/>
        </w:rPr>
      </w:pPr>
      <w:r w:rsidRPr="00134C17">
        <w:rPr>
          <w:rFonts w:ascii="Arial" w:eastAsia="Times New Roman" w:hAnsi="Arial" w:cs="Arial"/>
          <w:i/>
          <w:color w:val="000000"/>
          <w:sz w:val="20"/>
          <w:szCs w:val="20"/>
          <w:lang w:eastAsia="es-ES"/>
        </w:rPr>
        <w:t>“</w:t>
      </w:r>
      <w:r w:rsidRPr="00134C17">
        <w:rPr>
          <w:rFonts w:ascii="Arial" w:eastAsia="Times New Roman" w:hAnsi="Arial" w:cs="Arial"/>
          <w:b/>
          <w:i/>
          <w:color w:val="000000"/>
          <w:sz w:val="20"/>
          <w:szCs w:val="20"/>
          <w:lang w:eastAsia="es-ES"/>
        </w:rPr>
        <w:t>MULTA MINIMA.- LA CIRCUNSTANCIA DE QUE NO SE RAZONE SU IMPOSICION NO VIOLA LAS GARANTIAS.-</w:t>
      </w:r>
      <w:r w:rsidRPr="00134C17">
        <w:rPr>
          <w:rFonts w:ascii="Arial" w:eastAsia="Times New Roman" w:hAnsi="Arial" w:cs="Arial"/>
          <w:i/>
          <w:color w:val="000000"/>
          <w:sz w:val="20"/>
          <w:szCs w:val="20"/>
          <w:lang w:eastAsia="es-ES"/>
        </w:rPr>
        <w:t xml:space="preserve"> Cuando la autoridad sancionadora haciendo uso de su arbitrio, estima justo imponer la multa mínima contemplada en la Ley Tributaria aplicable, ello determina que el incumplimiento de los elementos para la individualización de esa sanción pecuniaria, como lo son: la gravedad de la infracción, la capacidad económica del infractor, la reincidencia de este, etcétera, resulta irrelevante y no causa violación de garantías que amerite la concesión del amparo, toda vez que tales elementos sólo deben tomarse en cuenta cuando se impone multa mayor, pero no cuando se aplica la mínima, pues es inconcuso que legalmente no podría imponerse una menor de esta.”</w:t>
      </w:r>
    </w:p>
    <w:p w:rsidR="00076E78" w:rsidRPr="00134C17" w:rsidRDefault="00076E78" w:rsidP="00523F17">
      <w:pPr>
        <w:autoSpaceDE w:val="0"/>
        <w:autoSpaceDN w:val="0"/>
        <w:adjustRightInd w:val="0"/>
        <w:spacing w:after="0" w:line="240" w:lineRule="auto"/>
        <w:ind w:left="709"/>
        <w:jc w:val="both"/>
        <w:rPr>
          <w:rFonts w:ascii="Arial" w:eastAsia="Times New Roman" w:hAnsi="Arial" w:cs="Arial"/>
          <w:i/>
          <w:color w:val="000000"/>
          <w:sz w:val="20"/>
          <w:szCs w:val="20"/>
          <w:lang w:eastAsia="es-ES"/>
        </w:rPr>
      </w:pPr>
    </w:p>
    <w:p w:rsidR="00523F17" w:rsidRDefault="00523F17" w:rsidP="00523F17">
      <w:pPr>
        <w:autoSpaceDE w:val="0"/>
        <w:autoSpaceDN w:val="0"/>
        <w:adjustRightInd w:val="0"/>
        <w:spacing w:after="0" w:line="240" w:lineRule="auto"/>
        <w:ind w:left="709"/>
        <w:jc w:val="both"/>
        <w:rPr>
          <w:rFonts w:ascii="Arial" w:eastAsia="Times New Roman" w:hAnsi="Arial" w:cs="Arial"/>
          <w:color w:val="000000"/>
          <w:sz w:val="24"/>
          <w:szCs w:val="24"/>
          <w:lang w:eastAsia="es-ES"/>
        </w:rPr>
      </w:pPr>
    </w:p>
    <w:p w:rsidR="00892AE8" w:rsidRPr="00892AE8" w:rsidRDefault="00523F17" w:rsidP="00892AE8">
      <w:pPr>
        <w:autoSpaceDE w:val="0"/>
        <w:autoSpaceDN w:val="0"/>
        <w:adjustRightInd w:val="0"/>
        <w:spacing w:after="0" w:line="360" w:lineRule="auto"/>
        <w:ind w:firstLine="709"/>
        <w:jc w:val="both"/>
        <w:rPr>
          <w:rFonts w:ascii="Arial Narrow" w:hAnsi="Arial Narrow" w:cs="Arial"/>
          <w:sz w:val="28"/>
          <w:szCs w:val="28"/>
        </w:rPr>
      </w:pPr>
      <w:r w:rsidRPr="00892AE8">
        <w:rPr>
          <w:rFonts w:ascii="Arial Narrow" w:hAnsi="Arial Narrow" w:cs="Arial"/>
          <w:sz w:val="28"/>
          <w:szCs w:val="28"/>
        </w:rPr>
        <w:t>En este tenor, si la au</w:t>
      </w:r>
      <w:r w:rsidR="00892AE8" w:rsidRPr="00892AE8">
        <w:rPr>
          <w:rFonts w:ascii="Arial Narrow" w:hAnsi="Arial Narrow" w:cs="Arial"/>
          <w:sz w:val="28"/>
          <w:szCs w:val="28"/>
        </w:rPr>
        <w:t>toridad demandada, no fundamentó</w:t>
      </w:r>
      <w:r w:rsidRPr="00892AE8">
        <w:rPr>
          <w:rFonts w:ascii="Arial Narrow" w:hAnsi="Arial Narrow" w:cs="Arial"/>
          <w:sz w:val="28"/>
          <w:szCs w:val="28"/>
        </w:rPr>
        <w:t xml:space="preserve">  ni motiv</w:t>
      </w:r>
      <w:r w:rsidR="00892AE8" w:rsidRPr="00892AE8">
        <w:rPr>
          <w:rFonts w:ascii="Arial Narrow" w:hAnsi="Arial Narrow" w:cs="Arial"/>
          <w:sz w:val="28"/>
          <w:szCs w:val="28"/>
        </w:rPr>
        <w:t>ó</w:t>
      </w:r>
      <w:r w:rsidRPr="00892AE8">
        <w:rPr>
          <w:rFonts w:ascii="Arial Narrow" w:hAnsi="Arial Narrow" w:cs="Arial"/>
          <w:sz w:val="28"/>
          <w:szCs w:val="28"/>
        </w:rPr>
        <w:t xml:space="preserve"> la multa impuesta a la parte actora, al ser está la mínima prevista en </w:t>
      </w:r>
      <w:r w:rsidR="00892AE8" w:rsidRPr="00892AE8">
        <w:rPr>
          <w:rFonts w:ascii="Arial Narrow" w:hAnsi="Arial Narrow" w:cs="Arial"/>
          <w:sz w:val="28"/>
          <w:szCs w:val="28"/>
        </w:rPr>
        <w:t xml:space="preserve">la fracción II del artículo 91 del </w:t>
      </w:r>
      <w:r w:rsidR="00892AE8" w:rsidRPr="00892AE8">
        <w:rPr>
          <w:rFonts w:ascii="Arial Narrow" w:eastAsia="Times New Roman" w:hAnsi="Arial Narrow" w:cs="Arial"/>
          <w:color w:val="000000"/>
          <w:sz w:val="28"/>
          <w:szCs w:val="28"/>
          <w:lang w:eastAsia="es-ES"/>
        </w:rPr>
        <w:t xml:space="preserve">Reglamento </w:t>
      </w:r>
      <w:r w:rsidR="00892AE8" w:rsidRPr="00892AE8">
        <w:rPr>
          <w:rFonts w:ascii="Arial Narrow" w:hAnsi="Arial Narrow" w:cs="Arial"/>
          <w:sz w:val="28"/>
          <w:szCs w:val="28"/>
        </w:rPr>
        <w:t>para el Ejercicio de las Actividades Comerciales, Industriales y de Prestación de Servicios en el Municipio Libre de San Luis Potosí, luego entonces no se violenta su garantía de fundamentación y motivación, prevista en el artículo 16 Constitucional y por ende, resulta infundado el cuarto concepto de impugnación, vertido por la parte actora, en su escrito inicial de demanda, en contra de la sanción impuesta en la resolución emitida con fecha dieciocho de octubre de dos mil diecinueve y notificada al actor el veintisiete de enero de dos mil veinte.</w:t>
      </w:r>
    </w:p>
    <w:p w:rsidR="00C11809" w:rsidRDefault="00C11809" w:rsidP="00CD6A3E">
      <w:pPr>
        <w:spacing w:line="360" w:lineRule="auto"/>
        <w:ind w:firstLine="709"/>
        <w:jc w:val="both"/>
        <w:rPr>
          <w:rFonts w:ascii="Arial" w:hAnsi="Arial" w:cs="Arial"/>
          <w:sz w:val="24"/>
          <w:szCs w:val="24"/>
        </w:rPr>
      </w:pPr>
    </w:p>
    <w:p w:rsidR="00FC1F29" w:rsidRPr="00322D83" w:rsidRDefault="00CD6A3E" w:rsidP="00FC1F29">
      <w:pPr>
        <w:spacing w:after="0" w:line="360" w:lineRule="auto"/>
        <w:ind w:firstLine="708"/>
        <w:jc w:val="both"/>
        <w:rPr>
          <w:rFonts w:ascii="Arial Narrow" w:hAnsi="Arial Narrow" w:cs="Arial"/>
          <w:sz w:val="28"/>
          <w:szCs w:val="28"/>
        </w:rPr>
      </w:pPr>
      <w:r w:rsidRPr="00322D83">
        <w:rPr>
          <w:rFonts w:ascii="Arial Narrow" w:hAnsi="Arial Narrow" w:cs="Arial"/>
          <w:sz w:val="28"/>
          <w:szCs w:val="28"/>
        </w:rPr>
        <w:t xml:space="preserve">En </w:t>
      </w:r>
      <w:r w:rsidR="00FC1F29" w:rsidRPr="00322D83">
        <w:rPr>
          <w:rFonts w:ascii="Arial Narrow" w:hAnsi="Arial Narrow" w:cs="Arial"/>
          <w:sz w:val="28"/>
          <w:szCs w:val="28"/>
        </w:rPr>
        <w:t xml:space="preserve">base a lo anteriormente expuesto, </w:t>
      </w:r>
      <w:r w:rsidR="00FC1F29" w:rsidRPr="00322D83">
        <w:rPr>
          <w:rFonts w:ascii="Arial Narrow" w:eastAsia="Arial Unicode MS" w:hAnsi="Arial Narrow" w:cs="Arial"/>
          <w:b/>
          <w:sz w:val="28"/>
          <w:szCs w:val="28"/>
        </w:rPr>
        <w:t>esta Tercera Sala Unitaria</w:t>
      </w:r>
      <w:r w:rsidR="00FC1F29" w:rsidRPr="00322D83">
        <w:rPr>
          <w:rFonts w:ascii="Arial Narrow" w:eastAsia="Calibri" w:hAnsi="Arial Narrow" w:cs="Times New Roman"/>
          <w:sz w:val="28"/>
          <w:szCs w:val="28"/>
        </w:rPr>
        <w:t xml:space="preserve"> </w:t>
      </w:r>
      <w:r w:rsidR="00FC1F29" w:rsidRPr="00322D83">
        <w:rPr>
          <w:rFonts w:ascii="Arial Narrow" w:eastAsia="Arial Unicode MS" w:hAnsi="Arial Narrow" w:cs="Arial"/>
          <w:b/>
          <w:sz w:val="28"/>
          <w:szCs w:val="28"/>
        </w:rPr>
        <w:t>del Tribunal Estatal de Justicia Administrativa,</w:t>
      </w:r>
      <w:r w:rsidR="00FC1F29" w:rsidRPr="00322D83">
        <w:rPr>
          <w:rFonts w:ascii="Arial Narrow" w:eastAsia="Times New Roman" w:hAnsi="Arial Narrow" w:cs="Arial"/>
          <w:sz w:val="28"/>
          <w:szCs w:val="28"/>
          <w:lang w:val="es-ES" w:eastAsia="es-ES"/>
        </w:rPr>
        <w:t xml:space="preserve"> con fundamento en los artículos 249, 251 y 252 del </w:t>
      </w:r>
      <w:r w:rsidR="00FC1F29" w:rsidRPr="00322D83">
        <w:rPr>
          <w:rFonts w:ascii="Arial Narrow" w:eastAsia="Calibri" w:hAnsi="Arial Narrow" w:cs="Arial"/>
          <w:sz w:val="28"/>
          <w:szCs w:val="28"/>
        </w:rPr>
        <w:t xml:space="preserve"> Código Procesal Administrativo para el Estado de San Luis Potosí, se declara la </w:t>
      </w:r>
      <w:r w:rsidR="00FC1F29" w:rsidRPr="00322D83">
        <w:rPr>
          <w:rFonts w:ascii="Arial Narrow" w:eastAsia="Calibri" w:hAnsi="Arial Narrow" w:cs="Arial"/>
          <w:b/>
          <w:sz w:val="28"/>
          <w:szCs w:val="28"/>
        </w:rPr>
        <w:t xml:space="preserve">LEGALIDAD y VALIDEZ </w:t>
      </w:r>
      <w:r w:rsidR="00FC1F29" w:rsidRPr="00322D83">
        <w:rPr>
          <w:rFonts w:ascii="Arial Narrow" w:eastAsia="Calibri" w:hAnsi="Arial Narrow" w:cs="Arial"/>
          <w:sz w:val="28"/>
          <w:szCs w:val="28"/>
        </w:rPr>
        <w:t xml:space="preserve">de la Resolución Impugnada, de fecha </w:t>
      </w:r>
      <w:r w:rsidR="00FC1F29" w:rsidRPr="00322D83">
        <w:rPr>
          <w:rFonts w:ascii="Arial Narrow" w:hAnsi="Arial Narrow" w:cs="Arial"/>
          <w:sz w:val="28"/>
          <w:szCs w:val="28"/>
        </w:rPr>
        <w:t xml:space="preserve">dieciocho de octubre de dos mil diecinueve y emitida por el Director de Comercio del H. Ayuntamiento de San Luis Potosí, de acuerdo a los razonamientos precisados en </w:t>
      </w:r>
      <w:r w:rsidR="005916F4" w:rsidRPr="00322D83">
        <w:rPr>
          <w:rFonts w:ascii="Arial Narrow" w:hAnsi="Arial Narrow" w:cs="Arial"/>
          <w:sz w:val="28"/>
          <w:szCs w:val="28"/>
        </w:rPr>
        <w:t>los considerandos quinto y séptimo</w:t>
      </w:r>
      <w:r w:rsidR="00FC1F29" w:rsidRPr="00322D83">
        <w:rPr>
          <w:rFonts w:ascii="Arial Narrow" w:hAnsi="Arial Narrow" w:cs="Arial"/>
          <w:sz w:val="28"/>
          <w:szCs w:val="28"/>
        </w:rPr>
        <w:t xml:space="preserve"> </w:t>
      </w:r>
      <w:r w:rsidR="005916F4" w:rsidRPr="00322D83">
        <w:rPr>
          <w:rFonts w:ascii="Arial Narrow" w:hAnsi="Arial Narrow" w:cs="Arial"/>
          <w:sz w:val="28"/>
          <w:szCs w:val="28"/>
        </w:rPr>
        <w:t>de la presente sentencia.</w:t>
      </w:r>
    </w:p>
    <w:p w:rsidR="003E42CD" w:rsidRPr="00322D83" w:rsidRDefault="003E42CD" w:rsidP="00FC1F29">
      <w:pPr>
        <w:spacing w:after="0" w:line="360" w:lineRule="auto"/>
        <w:ind w:firstLine="708"/>
        <w:jc w:val="both"/>
        <w:rPr>
          <w:rFonts w:ascii="Arial Narrow" w:hAnsi="Arial Narrow" w:cs="Arial"/>
          <w:sz w:val="28"/>
          <w:szCs w:val="28"/>
        </w:rPr>
      </w:pPr>
    </w:p>
    <w:p w:rsidR="003E42CD" w:rsidRPr="00322D83" w:rsidRDefault="003E42CD" w:rsidP="003E42CD">
      <w:pPr>
        <w:pStyle w:val="Sinespaciado"/>
        <w:spacing w:line="360" w:lineRule="auto"/>
        <w:ind w:firstLine="709"/>
        <w:jc w:val="both"/>
        <w:rPr>
          <w:rFonts w:ascii="Arial Narrow" w:eastAsia="Arial Unicode MS" w:hAnsi="Arial Narrow" w:cs="Arial"/>
          <w:sz w:val="28"/>
          <w:szCs w:val="28"/>
        </w:rPr>
      </w:pPr>
      <w:r w:rsidRPr="00322D83">
        <w:rPr>
          <w:rFonts w:ascii="Arial Narrow" w:eastAsia="Arial Unicode MS" w:hAnsi="Arial Narrow" w:cs="Arial"/>
          <w:sz w:val="28"/>
          <w:szCs w:val="28"/>
        </w:rPr>
        <w:t>Por lo expuesto, fundado en los términos de los artículos 123 de la Constitución Política del Estado de San Luis Potosí, y 7°fracciones I y V, 9° fracción III, 35 fracción VIII y 42 de la Ley Orgánica del Tribunal Estatal de Justicia administrativa de San Luis Potosí, así como los diversos 248, 249 y 251 del Código Procesal Administrativo para el Estado de San Luis Potosí; es de resolverse y se,</w:t>
      </w:r>
    </w:p>
    <w:p w:rsidR="003E42CD" w:rsidRPr="00322D83" w:rsidRDefault="003E42CD" w:rsidP="003E42CD">
      <w:pPr>
        <w:pStyle w:val="Sinespaciado"/>
        <w:spacing w:line="360" w:lineRule="auto"/>
        <w:jc w:val="center"/>
        <w:rPr>
          <w:rFonts w:ascii="Arial Narrow" w:eastAsia="Arial Unicode MS" w:hAnsi="Arial Narrow" w:cs="Arial"/>
          <w:b/>
          <w:sz w:val="28"/>
          <w:szCs w:val="28"/>
        </w:rPr>
      </w:pPr>
      <w:r w:rsidRPr="00322D83">
        <w:rPr>
          <w:rFonts w:ascii="Arial Narrow" w:eastAsia="Arial Unicode MS" w:hAnsi="Arial Narrow" w:cs="Arial"/>
          <w:b/>
          <w:sz w:val="28"/>
          <w:szCs w:val="28"/>
        </w:rPr>
        <w:t>R E S U E L V E</w:t>
      </w:r>
    </w:p>
    <w:p w:rsidR="003E42CD" w:rsidRPr="00322D83" w:rsidRDefault="003E42CD" w:rsidP="003E42CD">
      <w:pPr>
        <w:pStyle w:val="Sinespaciado"/>
        <w:spacing w:line="360" w:lineRule="auto"/>
        <w:ind w:firstLine="709"/>
        <w:jc w:val="both"/>
        <w:rPr>
          <w:rFonts w:ascii="Arial Narrow" w:eastAsia="Arial Unicode MS" w:hAnsi="Arial Narrow" w:cs="Arial"/>
          <w:sz w:val="28"/>
          <w:szCs w:val="28"/>
        </w:rPr>
      </w:pPr>
    </w:p>
    <w:p w:rsidR="003E42CD" w:rsidRPr="00322D83" w:rsidRDefault="003E42CD" w:rsidP="003E42CD">
      <w:pPr>
        <w:pStyle w:val="Sinespaciado"/>
        <w:spacing w:line="360" w:lineRule="auto"/>
        <w:ind w:firstLine="709"/>
        <w:jc w:val="both"/>
        <w:rPr>
          <w:rFonts w:ascii="Arial Narrow" w:eastAsia="Arial Unicode MS" w:hAnsi="Arial Narrow" w:cs="Arial"/>
          <w:sz w:val="28"/>
          <w:szCs w:val="28"/>
        </w:rPr>
      </w:pPr>
      <w:r w:rsidRPr="00322D83">
        <w:rPr>
          <w:rFonts w:ascii="Arial Narrow" w:eastAsia="Arial Unicode MS" w:hAnsi="Arial Narrow" w:cs="Arial"/>
          <w:b/>
          <w:sz w:val="28"/>
          <w:szCs w:val="28"/>
        </w:rPr>
        <w:t>PRIMERO.-</w:t>
      </w:r>
      <w:r w:rsidRPr="00322D83">
        <w:rPr>
          <w:rFonts w:ascii="Arial Narrow" w:eastAsia="Arial Unicode MS" w:hAnsi="Arial Narrow" w:cs="Arial"/>
          <w:sz w:val="28"/>
          <w:szCs w:val="28"/>
        </w:rPr>
        <w:t xml:space="preserve"> Esta </w:t>
      </w:r>
      <w:r w:rsidRPr="00322D83">
        <w:rPr>
          <w:rFonts w:ascii="Arial Narrow" w:eastAsia="Arial Unicode MS" w:hAnsi="Arial Narrow" w:cs="Arial"/>
          <w:b/>
          <w:sz w:val="28"/>
          <w:szCs w:val="28"/>
        </w:rPr>
        <w:t>Sala Unitaria del Tribunal Estatal de Justicia Administrativa</w:t>
      </w:r>
      <w:r w:rsidRPr="00322D83">
        <w:rPr>
          <w:rFonts w:ascii="Arial Narrow" w:eastAsia="Arial Unicode MS" w:hAnsi="Arial Narrow" w:cs="Arial"/>
          <w:sz w:val="28"/>
          <w:szCs w:val="28"/>
        </w:rPr>
        <w:t>, resultó competente para conocer y resolver la presente controversia.</w:t>
      </w:r>
    </w:p>
    <w:p w:rsidR="003E42CD" w:rsidRPr="000F5467" w:rsidRDefault="003E42CD" w:rsidP="003E42CD">
      <w:pPr>
        <w:pStyle w:val="Sinespaciado"/>
        <w:spacing w:line="360" w:lineRule="auto"/>
        <w:ind w:firstLine="709"/>
        <w:jc w:val="both"/>
        <w:rPr>
          <w:rFonts w:ascii="Arial Narrow" w:eastAsia="Arial Unicode MS" w:hAnsi="Arial Narrow" w:cs="Arial"/>
          <w:sz w:val="16"/>
          <w:szCs w:val="16"/>
        </w:rPr>
      </w:pPr>
    </w:p>
    <w:p w:rsidR="000F5467" w:rsidRDefault="003E42CD" w:rsidP="001E510D">
      <w:pPr>
        <w:spacing w:before="240" w:after="240" w:line="360" w:lineRule="auto"/>
        <w:ind w:firstLine="708"/>
        <w:jc w:val="both"/>
        <w:rPr>
          <w:rFonts w:ascii="Arial Narrow" w:eastAsia="Arial Unicode MS" w:hAnsi="Arial Narrow" w:cs="Arial"/>
          <w:sz w:val="28"/>
          <w:szCs w:val="28"/>
        </w:rPr>
      </w:pPr>
      <w:r w:rsidRPr="00322D83">
        <w:rPr>
          <w:rFonts w:ascii="Arial Narrow" w:eastAsia="Arial Unicode MS" w:hAnsi="Arial Narrow" w:cs="Arial"/>
          <w:b/>
          <w:sz w:val="28"/>
          <w:szCs w:val="28"/>
        </w:rPr>
        <w:t>SEGUNDO.-</w:t>
      </w:r>
      <w:r w:rsidRPr="00322D83">
        <w:rPr>
          <w:rFonts w:ascii="Arial Narrow" w:eastAsia="Arial Unicode MS" w:hAnsi="Arial Narrow" w:cs="Arial"/>
          <w:sz w:val="28"/>
          <w:szCs w:val="28"/>
        </w:rPr>
        <w:t xml:space="preserve"> </w:t>
      </w:r>
      <w:r w:rsidR="000F5467">
        <w:rPr>
          <w:rFonts w:ascii="Arial Narrow" w:eastAsia="Arial Unicode MS" w:hAnsi="Arial Narrow" w:cs="Arial"/>
          <w:sz w:val="28"/>
          <w:szCs w:val="28"/>
        </w:rPr>
        <w:t xml:space="preserve">De acuerdo a los razonamientos vertidos en el considerando Cuarto de la presente sentencia, se decreta el </w:t>
      </w:r>
      <w:r w:rsidR="000F5467" w:rsidRPr="000F5467">
        <w:rPr>
          <w:rFonts w:ascii="Arial Narrow" w:eastAsia="Arial Unicode MS" w:hAnsi="Arial Narrow" w:cs="Arial"/>
          <w:b/>
          <w:sz w:val="28"/>
          <w:szCs w:val="28"/>
        </w:rPr>
        <w:t xml:space="preserve">SOBRESEIMIENTO </w:t>
      </w:r>
      <w:r w:rsidR="000F5467">
        <w:rPr>
          <w:rFonts w:ascii="Arial Narrow" w:eastAsia="Arial Unicode MS" w:hAnsi="Arial Narrow" w:cs="Arial"/>
          <w:sz w:val="28"/>
          <w:szCs w:val="28"/>
        </w:rPr>
        <w:t>del presente juicio, por lo que se refiere al H. Ayuntamiento de San Luis Potosí, representado por la Síndico Municipal</w:t>
      </w:r>
    </w:p>
    <w:p w:rsidR="000F5467" w:rsidRPr="000F5467" w:rsidRDefault="000F5467" w:rsidP="001E510D">
      <w:pPr>
        <w:spacing w:before="240" w:after="240" w:line="360" w:lineRule="auto"/>
        <w:ind w:firstLine="708"/>
        <w:jc w:val="both"/>
        <w:rPr>
          <w:rFonts w:ascii="Arial Narrow" w:eastAsia="Arial Unicode MS" w:hAnsi="Arial Narrow" w:cs="Arial"/>
          <w:sz w:val="16"/>
          <w:szCs w:val="16"/>
        </w:rPr>
      </w:pPr>
    </w:p>
    <w:p w:rsidR="001E510D" w:rsidRDefault="000F5467" w:rsidP="001E510D">
      <w:pPr>
        <w:spacing w:before="240" w:after="240" w:line="360" w:lineRule="auto"/>
        <w:ind w:firstLine="708"/>
        <w:jc w:val="both"/>
        <w:rPr>
          <w:rFonts w:ascii="Arial Narrow" w:hAnsi="Arial Narrow" w:cs="Arial"/>
          <w:sz w:val="28"/>
          <w:szCs w:val="28"/>
        </w:rPr>
      </w:pPr>
      <w:r w:rsidRPr="000F5467">
        <w:rPr>
          <w:rFonts w:ascii="Arial Narrow" w:eastAsia="Arial Unicode MS" w:hAnsi="Arial Narrow" w:cs="Arial"/>
          <w:b/>
          <w:sz w:val="28"/>
          <w:szCs w:val="28"/>
        </w:rPr>
        <w:t>TERCERA.-</w:t>
      </w:r>
      <w:r>
        <w:rPr>
          <w:rFonts w:ascii="Arial Narrow" w:eastAsia="Arial Unicode MS" w:hAnsi="Arial Narrow" w:cs="Arial"/>
          <w:sz w:val="28"/>
          <w:szCs w:val="28"/>
        </w:rPr>
        <w:t xml:space="preserve"> S</w:t>
      </w:r>
      <w:r w:rsidR="003E42CD" w:rsidRPr="00322D83">
        <w:rPr>
          <w:rFonts w:ascii="Arial Narrow" w:eastAsia="Arial Unicode MS" w:hAnsi="Arial Narrow" w:cs="Arial"/>
          <w:sz w:val="28"/>
          <w:szCs w:val="28"/>
        </w:rPr>
        <w:t xml:space="preserve">e declara la </w:t>
      </w:r>
      <w:r w:rsidR="003E42CD" w:rsidRPr="00322D83">
        <w:rPr>
          <w:rFonts w:ascii="Arial Narrow" w:eastAsia="Arial Unicode MS" w:hAnsi="Arial Narrow" w:cs="Arial"/>
          <w:b/>
          <w:sz w:val="28"/>
          <w:szCs w:val="28"/>
        </w:rPr>
        <w:t>NULIDAD</w:t>
      </w:r>
      <w:r w:rsidR="003E42CD" w:rsidRPr="00322D83">
        <w:rPr>
          <w:rFonts w:ascii="Arial Narrow" w:eastAsia="Arial Unicode MS" w:hAnsi="Arial Narrow" w:cs="Arial"/>
          <w:sz w:val="28"/>
          <w:szCs w:val="28"/>
        </w:rPr>
        <w:t xml:space="preserve"> </w:t>
      </w:r>
      <w:r w:rsidR="00062E83" w:rsidRPr="00062E83">
        <w:rPr>
          <w:rFonts w:ascii="Arial Narrow" w:eastAsia="Arial Unicode MS" w:hAnsi="Arial Narrow" w:cs="Arial"/>
          <w:b/>
          <w:sz w:val="28"/>
          <w:szCs w:val="28"/>
        </w:rPr>
        <w:t>LISA y LLANA</w:t>
      </w:r>
      <w:r w:rsidR="00062E83">
        <w:rPr>
          <w:rFonts w:ascii="Arial Narrow" w:eastAsia="Arial Unicode MS" w:hAnsi="Arial Narrow" w:cs="Arial"/>
          <w:sz w:val="28"/>
          <w:szCs w:val="28"/>
        </w:rPr>
        <w:t xml:space="preserve"> </w:t>
      </w:r>
      <w:r w:rsidR="001E510D" w:rsidRPr="00322D83">
        <w:rPr>
          <w:rFonts w:ascii="Arial Narrow" w:eastAsia="Arial Unicode MS" w:hAnsi="Arial Narrow" w:cs="Arial"/>
          <w:sz w:val="28"/>
          <w:szCs w:val="28"/>
        </w:rPr>
        <w:t xml:space="preserve">de la Resolución Administrativa </w:t>
      </w:r>
      <w:r w:rsidR="001E510D" w:rsidRPr="00322D83">
        <w:rPr>
          <w:rFonts w:ascii="Arial Narrow" w:hAnsi="Arial Narrow" w:cs="Arial"/>
          <w:sz w:val="28"/>
          <w:szCs w:val="28"/>
        </w:rPr>
        <w:t xml:space="preserve">de Visita de Inspección 001004, de fecha dieciocho de octubre de dos mil diecinueve, emitida por el Director de Comercio del H. Ayuntamiento de San Luis Potosí, mediante la cual se impone una Multa de Quince Unidades de Medida y Actualización y Clausura del Establecimiento al propietario y/o Representante legal y/o Titular de la Negociación ubicada en el inmueble de la calle </w:t>
      </w:r>
      <w:r w:rsidR="00A65CCB">
        <w:rPr>
          <w:rFonts w:ascii="Arial Narrow" w:hAnsi="Arial Narrow" w:cs="Arial"/>
          <w:color w:val="FF0000"/>
          <w:sz w:val="28"/>
          <w:szCs w:val="28"/>
        </w:rPr>
        <w:t>**********</w:t>
      </w:r>
      <w:r w:rsidR="001E510D" w:rsidRPr="00322D83">
        <w:rPr>
          <w:rFonts w:ascii="Arial Narrow" w:hAnsi="Arial Narrow" w:cs="Arial"/>
          <w:sz w:val="28"/>
          <w:szCs w:val="28"/>
        </w:rPr>
        <w:t>, de esta Ciudad, de acuerdo a los razonamientos precisados en el considerando sexto de esta sentencia.</w:t>
      </w:r>
    </w:p>
    <w:p w:rsidR="00C30DF0" w:rsidRPr="000F5467" w:rsidRDefault="00C30DF0" w:rsidP="001E510D">
      <w:pPr>
        <w:spacing w:before="240" w:after="240" w:line="360" w:lineRule="auto"/>
        <w:ind w:firstLine="708"/>
        <w:jc w:val="both"/>
        <w:rPr>
          <w:rFonts w:ascii="Arial Narrow" w:hAnsi="Arial Narrow" w:cs="Arial"/>
          <w:sz w:val="16"/>
          <w:szCs w:val="16"/>
        </w:rPr>
      </w:pPr>
    </w:p>
    <w:p w:rsidR="003E42CD" w:rsidRPr="00322D83" w:rsidRDefault="001E510D" w:rsidP="001E510D">
      <w:pPr>
        <w:spacing w:before="240" w:after="240" w:line="360" w:lineRule="auto"/>
        <w:ind w:firstLine="708"/>
        <w:jc w:val="both"/>
        <w:rPr>
          <w:rFonts w:ascii="Arial Narrow" w:eastAsia="Arial Unicode MS" w:hAnsi="Arial Narrow" w:cs="Arial"/>
          <w:sz w:val="28"/>
          <w:szCs w:val="28"/>
        </w:rPr>
      </w:pPr>
      <w:r w:rsidRPr="00322D83">
        <w:rPr>
          <w:rFonts w:ascii="Arial Narrow" w:hAnsi="Arial Narrow" w:cs="Arial"/>
          <w:b/>
          <w:sz w:val="28"/>
          <w:szCs w:val="28"/>
        </w:rPr>
        <w:t>C</w:t>
      </w:r>
      <w:r w:rsidR="000F5467">
        <w:rPr>
          <w:rFonts w:ascii="Arial Narrow" w:hAnsi="Arial Narrow" w:cs="Arial"/>
          <w:b/>
          <w:sz w:val="28"/>
          <w:szCs w:val="28"/>
        </w:rPr>
        <w:t>UARTO</w:t>
      </w:r>
      <w:r w:rsidRPr="00322D83">
        <w:rPr>
          <w:rFonts w:ascii="Arial Narrow" w:hAnsi="Arial Narrow" w:cs="Arial"/>
          <w:b/>
          <w:sz w:val="28"/>
          <w:szCs w:val="28"/>
        </w:rPr>
        <w:t>.-</w:t>
      </w:r>
      <w:r w:rsidRPr="00322D83">
        <w:rPr>
          <w:rFonts w:ascii="Arial Narrow" w:hAnsi="Arial Narrow" w:cs="Arial"/>
          <w:sz w:val="28"/>
          <w:szCs w:val="28"/>
        </w:rPr>
        <w:t xml:space="preserve"> </w:t>
      </w:r>
      <w:r w:rsidR="003E42CD" w:rsidRPr="00322D83">
        <w:rPr>
          <w:rFonts w:ascii="Arial Narrow" w:eastAsia="Arial Unicode MS" w:hAnsi="Arial Narrow" w:cs="Arial"/>
          <w:sz w:val="28"/>
          <w:szCs w:val="28"/>
        </w:rPr>
        <w:t xml:space="preserve">La parte actora no acreditó su acción y por tanto se declara la </w:t>
      </w:r>
      <w:r w:rsidR="003E42CD" w:rsidRPr="00322D83">
        <w:rPr>
          <w:rFonts w:ascii="Arial Narrow" w:eastAsia="Arial Unicode MS" w:hAnsi="Arial Narrow" w:cs="Arial"/>
          <w:b/>
          <w:sz w:val="28"/>
          <w:szCs w:val="28"/>
        </w:rPr>
        <w:t>LEGALIDAD y VALIDEZ</w:t>
      </w:r>
      <w:r w:rsidR="003E42CD" w:rsidRPr="00322D83">
        <w:rPr>
          <w:rFonts w:ascii="Arial Narrow" w:eastAsia="Arial Unicode MS" w:hAnsi="Arial Narrow" w:cs="Arial"/>
          <w:sz w:val="28"/>
          <w:szCs w:val="28"/>
        </w:rPr>
        <w:t xml:space="preserve"> de</w:t>
      </w:r>
      <w:r w:rsidRPr="00322D83">
        <w:rPr>
          <w:rFonts w:ascii="Arial Narrow" w:eastAsia="Arial Unicode MS" w:hAnsi="Arial Narrow" w:cs="Arial"/>
          <w:sz w:val="28"/>
          <w:szCs w:val="28"/>
        </w:rPr>
        <w:t xml:space="preserve"> </w:t>
      </w:r>
      <w:r w:rsidR="003E42CD" w:rsidRPr="00322D83">
        <w:rPr>
          <w:rFonts w:ascii="Arial Narrow" w:eastAsia="Arial Unicode MS" w:hAnsi="Arial Narrow" w:cs="Arial"/>
          <w:sz w:val="28"/>
          <w:szCs w:val="28"/>
        </w:rPr>
        <w:t>l</w:t>
      </w:r>
      <w:r w:rsidRPr="00322D83">
        <w:rPr>
          <w:rFonts w:ascii="Arial Narrow" w:eastAsia="Arial Unicode MS" w:hAnsi="Arial Narrow" w:cs="Arial"/>
          <w:sz w:val="28"/>
          <w:szCs w:val="28"/>
        </w:rPr>
        <w:t>a Resolución Administrativa de Visita de Inspección 001004, de fecha dieciocho de octubre de dos mil diecinueve, emitida por el Director de Comercio del H. Ayuntamiento de San Luis Potosí, mediante la cual se impone una multa de Quince Unidades de Medida y Actualización, de conformidad con las razones vertidas en los considerandos quinto y séptimo de la presente sentencia.</w:t>
      </w:r>
    </w:p>
    <w:p w:rsidR="003E42CD" w:rsidRPr="000F5467" w:rsidRDefault="003E42CD" w:rsidP="003E42CD">
      <w:pPr>
        <w:spacing w:line="360" w:lineRule="auto"/>
        <w:ind w:firstLine="708"/>
        <w:jc w:val="both"/>
        <w:rPr>
          <w:rFonts w:ascii="Arial Narrow" w:eastAsia="Arial Unicode MS" w:hAnsi="Arial Narrow" w:cs="Arial"/>
          <w:sz w:val="16"/>
          <w:szCs w:val="16"/>
        </w:rPr>
      </w:pPr>
    </w:p>
    <w:p w:rsidR="003E42CD" w:rsidRDefault="003E42CD" w:rsidP="003E42CD">
      <w:pPr>
        <w:spacing w:line="360" w:lineRule="auto"/>
        <w:ind w:firstLine="708"/>
        <w:jc w:val="both"/>
        <w:rPr>
          <w:rFonts w:ascii="Arial Narrow" w:eastAsia="Calibri" w:hAnsi="Arial Narrow" w:cs="Arial"/>
          <w:sz w:val="28"/>
          <w:szCs w:val="28"/>
        </w:rPr>
      </w:pPr>
      <w:r w:rsidRPr="00322D83">
        <w:rPr>
          <w:rFonts w:ascii="Arial Narrow" w:eastAsia="Arial Unicode MS" w:hAnsi="Arial Narrow" w:cs="Arial"/>
          <w:b/>
          <w:sz w:val="28"/>
          <w:szCs w:val="28"/>
        </w:rPr>
        <w:t>TERCERO.-</w:t>
      </w:r>
      <w:r w:rsidRPr="00322D83">
        <w:rPr>
          <w:rFonts w:ascii="Arial Narrow" w:eastAsia="Arial Unicode MS" w:hAnsi="Arial Narrow" w:cs="Arial"/>
          <w:sz w:val="28"/>
          <w:szCs w:val="28"/>
        </w:rPr>
        <w:t xml:space="preserve"> Notifíquese</w:t>
      </w:r>
      <w:r w:rsidRPr="00322D83">
        <w:rPr>
          <w:rFonts w:ascii="Arial Narrow" w:eastAsia="Calibri" w:hAnsi="Arial Narrow" w:cs="Arial"/>
          <w:sz w:val="28"/>
          <w:szCs w:val="28"/>
        </w:rPr>
        <w:t>.</w:t>
      </w:r>
    </w:p>
    <w:p w:rsidR="00076E78" w:rsidRDefault="00076E78" w:rsidP="003E42CD">
      <w:pPr>
        <w:spacing w:line="360" w:lineRule="auto"/>
        <w:ind w:firstLine="708"/>
        <w:jc w:val="both"/>
        <w:rPr>
          <w:rFonts w:ascii="Arial Narrow" w:eastAsia="Calibri" w:hAnsi="Arial Narrow" w:cs="Arial"/>
          <w:sz w:val="28"/>
          <w:szCs w:val="28"/>
        </w:rPr>
      </w:pPr>
    </w:p>
    <w:p w:rsidR="00A65CCB" w:rsidRDefault="00A65CCB" w:rsidP="00A65CCB">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FC1F29" w:rsidRPr="003558BA" w:rsidRDefault="00FC1F29" w:rsidP="00FC1F29">
      <w:pPr>
        <w:spacing w:after="0" w:line="360" w:lineRule="auto"/>
        <w:ind w:firstLine="708"/>
        <w:jc w:val="both"/>
        <w:rPr>
          <w:rFonts w:ascii="Arial Narrow" w:eastAsia="Calibri" w:hAnsi="Arial Narrow" w:cs="Arial"/>
          <w:sz w:val="24"/>
          <w:szCs w:val="24"/>
        </w:rPr>
      </w:pPr>
      <w:bookmarkStart w:id="0" w:name="_GoBack"/>
      <w:bookmarkEnd w:id="0"/>
    </w:p>
    <w:p w:rsidR="00FC1F29" w:rsidRPr="003558BA" w:rsidRDefault="00FC1F29" w:rsidP="00FC1F29">
      <w:pPr>
        <w:spacing w:after="0" w:line="360" w:lineRule="auto"/>
        <w:ind w:firstLine="708"/>
        <w:jc w:val="both"/>
        <w:rPr>
          <w:rFonts w:ascii="Arial Narrow" w:eastAsia="Calibri" w:hAnsi="Arial Narrow" w:cs="Arial"/>
          <w:sz w:val="24"/>
          <w:szCs w:val="24"/>
        </w:rPr>
      </w:pPr>
    </w:p>
    <w:p w:rsidR="001F6E99" w:rsidRDefault="001F6E99" w:rsidP="00517954">
      <w:pPr>
        <w:spacing w:before="240" w:after="240" w:line="360" w:lineRule="auto"/>
        <w:ind w:firstLine="709"/>
        <w:jc w:val="both"/>
        <w:rPr>
          <w:rFonts w:ascii="Arial Narrow" w:eastAsia="Arial Unicode MS" w:hAnsi="Arial Narrow" w:cs="Arial Unicode MS"/>
          <w:sz w:val="28"/>
          <w:szCs w:val="28"/>
        </w:rPr>
      </w:pPr>
    </w:p>
    <w:p w:rsidR="001F6E99" w:rsidRDefault="001F6E99" w:rsidP="00517954">
      <w:pPr>
        <w:spacing w:before="240" w:after="240" w:line="360" w:lineRule="auto"/>
        <w:ind w:firstLine="709"/>
        <w:jc w:val="both"/>
        <w:rPr>
          <w:rFonts w:ascii="Arial Narrow" w:eastAsia="Arial Unicode MS" w:hAnsi="Arial Narrow" w:cs="Arial Unicode MS"/>
          <w:sz w:val="28"/>
          <w:szCs w:val="28"/>
        </w:rPr>
      </w:pPr>
    </w:p>
    <w:p w:rsidR="001F6E99" w:rsidRDefault="001F6E99" w:rsidP="00517954">
      <w:pPr>
        <w:spacing w:before="240" w:after="240" w:line="360" w:lineRule="auto"/>
        <w:ind w:firstLine="709"/>
        <w:jc w:val="both"/>
        <w:rPr>
          <w:rFonts w:ascii="Arial Narrow" w:eastAsia="Arial Unicode MS" w:hAnsi="Arial Narrow" w:cs="Arial Unicode MS"/>
          <w:sz w:val="28"/>
          <w:szCs w:val="28"/>
        </w:rPr>
      </w:pPr>
    </w:p>
    <w:p w:rsidR="00AC5167" w:rsidRDefault="00AC5167" w:rsidP="00E7667E">
      <w:pPr>
        <w:spacing w:after="0" w:line="360" w:lineRule="auto"/>
        <w:ind w:firstLine="708"/>
        <w:jc w:val="both"/>
      </w:pPr>
    </w:p>
    <w:p w:rsidR="006A09ED" w:rsidRDefault="006A09ED"/>
    <w:sectPr w:rsidR="006A09ED" w:rsidSect="000605E0">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2D89" w:rsidRDefault="00292D89" w:rsidP="00A7083D">
      <w:pPr>
        <w:spacing w:after="0" w:line="240" w:lineRule="auto"/>
      </w:pPr>
      <w:r>
        <w:separator/>
      </w:r>
    </w:p>
  </w:endnote>
  <w:endnote w:type="continuationSeparator" w:id="0">
    <w:p w:rsidR="00292D89" w:rsidRDefault="00292D89" w:rsidP="00A708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2D89" w:rsidRDefault="00292D89" w:rsidP="00A7083D">
      <w:pPr>
        <w:spacing w:after="0" w:line="240" w:lineRule="auto"/>
      </w:pPr>
      <w:r>
        <w:separator/>
      </w:r>
    </w:p>
  </w:footnote>
  <w:footnote w:type="continuationSeparator" w:id="0">
    <w:p w:rsidR="00292D89" w:rsidRDefault="00292D89" w:rsidP="00A7083D">
      <w:pPr>
        <w:spacing w:after="0" w:line="240" w:lineRule="auto"/>
      </w:pPr>
      <w:r>
        <w:continuationSeparator/>
      </w:r>
    </w:p>
  </w:footnote>
  <w:footnote w:id="1">
    <w:p w:rsidR="00B05C1D" w:rsidRPr="009C3EA8" w:rsidRDefault="00B05C1D" w:rsidP="009C3EA8">
      <w:pPr>
        <w:pStyle w:val="Textonotapi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C1D" w:rsidRPr="00062CBC" w:rsidRDefault="00B05C1D" w:rsidP="00CD6A3E">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A65CCB" w:rsidRPr="00A65CCB">
          <w:rPr>
            <w:rFonts w:ascii="Arial Narrow" w:hAnsi="Arial Narrow"/>
            <w:noProof/>
            <w:lang w:val="es-ES"/>
          </w:rPr>
          <w:t>22</w:t>
        </w:r>
        <w:r w:rsidRPr="00062CBC">
          <w:rPr>
            <w:rFonts w:ascii="Arial Narrow" w:hAnsi="Arial Narrow"/>
          </w:rPr>
          <w:fldChar w:fldCharType="end"/>
        </w:r>
      </w:sdtContent>
    </w:sdt>
  </w:p>
  <w:p w:rsidR="00B05C1D" w:rsidRDefault="00B05C1D" w:rsidP="00CD6A3E">
    <w:pPr>
      <w:pStyle w:val="Encabezado"/>
      <w:jc w:val="right"/>
    </w:pPr>
    <w:r>
      <w:t>Exp. 160/2020-3</w:t>
    </w:r>
  </w:p>
  <w:p w:rsidR="00B05C1D" w:rsidRDefault="00B05C1D" w:rsidP="00CD6A3E">
    <w:pPr>
      <w:pStyle w:val="Encabezado"/>
      <w:jc w:val="right"/>
    </w:pPr>
  </w:p>
  <w:p w:rsidR="00B05C1D" w:rsidRDefault="00B05C1D" w:rsidP="00CD6A3E">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C1D" w:rsidRPr="00062CBC" w:rsidRDefault="00B05C1D">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A65CCB" w:rsidRPr="00A65CCB">
          <w:rPr>
            <w:rFonts w:ascii="Arial Narrow" w:hAnsi="Arial Narrow"/>
            <w:noProof/>
            <w:lang w:val="es-ES"/>
          </w:rPr>
          <w:t>23</w:t>
        </w:r>
        <w:r w:rsidRPr="00062CBC">
          <w:rPr>
            <w:rFonts w:ascii="Arial Narrow" w:hAnsi="Arial Narrow"/>
          </w:rPr>
          <w:fldChar w:fldCharType="end"/>
        </w:r>
      </w:sdtContent>
    </w:sdt>
  </w:p>
  <w:p w:rsidR="00B05C1D" w:rsidRDefault="00B05C1D" w:rsidP="00CD6A3E">
    <w:pPr>
      <w:pStyle w:val="Encabezado"/>
      <w:jc w:val="right"/>
    </w:pPr>
    <w:r>
      <w:t>Exp. 160/2020-3</w:t>
    </w:r>
  </w:p>
  <w:p w:rsidR="00B05C1D" w:rsidRDefault="00B05C1D" w:rsidP="00CD6A3E">
    <w:pPr>
      <w:pStyle w:val="Encabezado"/>
      <w:jc w:val="right"/>
    </w:pPr>
  </w:p>
  <w:p w:rsidR="00B05C1D" w:rsidRPr="00062CBC" w:rsidRDefault="00B05C1D" w:rsidP="00CD6A3E">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321CD2B6" wp14:editId="16CC6B9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5C1D" w:rsidRPr="00AA6DA7" w:rsidRDefault="00B05C1D" w:rsidP="00CD6A3E">
                          <w:pPr>
                            <w:spacing w:after="0" w:line="240" w:lineRule="auto"/>
                            <w:jc w:val="center"/>
                            <w:rPr>
                              <w:rFonts w:cs="Calibri"/>
                              <w:sz w:val="20"/>
                              <w:szCs w:val="20"/>
                            </w:rPr>
                          </w:pPr>
                          <w:r>
                            <w:rPr>
                              <w:rFonts w:cs="Calibri"/>
                              <w:noProof/>
                              <w:sz w:val="20"/>
                              <w:szCs w:val="20"/>
                              <w:lang w:eastAsia="es-MX"/>
                            </w:rPr>
                            <w:drawing>
                              <wp:inline distT="0" distB="0" distL="0" distR="0" wp14:anchorId="0470AD9F" wp14:editId="71C169C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05C1D" w:rsidRDefault="00B05C1D" w:rsidP="00CD6A3E">
                          <w:pPr>
                            <w:pStyle w:val="Sinespaciado"/>
                            <w:jc w:val="center"/>
                            <w:rPr>
                              <w:rFonts w:ascii="Microsoft Sans Serif" w:hAnsi="Microsoft Sans Serif" w:cs="Microsoft Sans Serif"/>
                              <w:sz w:val="14"/>
                              <w:szCs w:val="14"/>
                            </w:rPr>
                          </w:pPr>
                        </w:p>
                        <w:p w:rsidR="00B05C1D" w:rsidRPr="00AF006C" w:rsidRDefault="00B05C1D" w:rsidP="00CD6A3E">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05C1D" w:rsidRPr="00AF006C" w:rsidRDefault="00B05C1D" w:rsidP="00CD6A3E">
                          <w:pPr>
                            <w:pStyle w:val="Sinespaciado"/>
                            <w:jc w:val="center"/>
                            <w:rPr>
                              <w:rFonts w:ascii="Microsoft Sans Serif" w:hAnsi="Microsoft Sans Serif" w:cs="Microsoft Sans Serif"/>
                              <w:b/>
                              <w:sz w:val="16"/>
                              <w:szCs w:val="16"/>
                            </w:rPr>
                          </w:pPr>
                        </w:p>
                        <w:p w:rsidR="00B05C1D" w:rsidRPr="00AF006C" w:rsidRDefault="00B05C1D" w:rsidP="00CD6A3E">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B05C1D" w:rsidRPr="00AA6DA7" w:rsidRDefault="00B05C1D" w:rsidP="00CD6A3E">
                    <w:pPr>
                      <w:spacing w:after="0" w:line="240" w:lineRule="auto"/>
                      <w:jc w:val="center"/>
                      <w:rPr>
                        <w:rFonts w:cs="Calibri"/>
                        <w:sz w:val="20"/>
                        <w:szCs w:val="20"/>
                      </w:rPr>
                    </w:pPr>
                    <w:r>
                      <w:rPr>
                        <w:rFonts w:cs="Calibri"/>
                        <w:noProof/>
                        <w:sz w:val="20"/>
                        <w:szCs w:val="20"/>
                        <w:lang w:eastAsia="es-MX"/>
                      </w:rPr>
                      <w:drawing>
                        <wp:inline distT="0" distB="0" distL="0" distR="0" wp14:anchorId="0470AD9F" wp14:editId="71C169C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05C1D" w:rsidRDefault="00B05C1D" w:rsidP="00CD6A3E">
                    <w:pPr>
                      <w:pStyle w:val="Sinespaciado"/>
                      <w:jc w:val="center"/>
                      <w:rPr>
                        <w:rFonts w:ascii="Microsoft Sans Serif" w:hAnsi="Microsoft Sans Serif" w:cs="Microsoft Sans Serif"/>
                        <w:sz w:val="14"/>
                        <w:szCs w:val="14"/>
                      </w:rPr>
                    </w:pPr>
                  </w:p>
                  <w:p w:rsidR="00B05C1D" w:rsidRPr="00AF006C" w:rsidRDefault="00B05C1D" w:rsidP="00CD6A3E">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05C1D" w:rsidRPr="00AF006C" w:rsidRDefault="00B05C1D" w:rsidP="00CD6A3E">
                    <w:pPr>
                      <w:pStyle w:val="Sinespaciado"/>
                      <w:jc w:val="center"/>
                      <w:rPr>
                        <w:rFonts w:ascii="Microsoft Sans Serif" w:hAnsi="Microsoft Sans Serif" w:cs="Microsoft Sans Serif"/>
                        <w:b/>
                        <w:sz w:val="16"/>
                        <w:szCs w:val="16"/>
                      </w:rPr>
                    </w:pPr>
                  </w:p>
                  <w:p w:rsidR="00B05C1D" w:rsidRPr="00AF006C" w:rsidRDefault="00B05C1D" w:rsidP="00CD6A3E">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C1D" w:rsidRPr="004A456E" w:rsidRDefault="00B05C1D" w:rsidP="00CD6A3E">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3B48EAD5" wp14:editId="7765B8D4">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5C1D" w:rsidRPr="00AA6DA7" w:rsidRDefault="00B05C1D" w:rsidP="00CD6A3E">
                          <w:pPr>
                            <w:spacing w:after="0" w:line="240" w:lineRule="auto"/>
                            <w:jc w:val="center"/>
                            <w:rPr>
                              <w:rFonts w:cs="Calibri"/>
                              <w:sz w:val="20"/>
                              <w:szCs w:val="20"/>
                            </w:rPr>
                          </w:pPr>
                          <w:r>
                            <w:rPr>
                              <w:rFonts w:cs="Calibri"/>
                              <w:noProof/>
                              <w:sz w:val="20"/>
                              <w:szCs w:val="20"/>
                              <w:lang w:eastAsia="es-MX"/>
                            </w:rPr>
                            <w:drawing>
                              <wp:inline distT="0" distB="0" distL="0" distR="0" wp14:anchorId="32735B71" wp14:editId="0E87D379">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05C1D" w:rsidRDefault="00B05C1D" w:rsidP="00CD6A3E">
                          <w:pPr>
                            <w:pStyle w:val="Sinespaciado"/>
                            <w:jc w:val="center"/>
                            <w:rPr>
                              <w:rFonts w:ascii="Microsoft Sans Serif" w:hAnsi="Microsoft Sans Serif" w:cs="Microsoft Sans Serif"/>
                              <w:sz w:val="14"/>
                              <w:szCs w:val="14"/>
                            </w:rPr>
                          </w:pPr>
                        </w:p>
                        <w:p w:rsidR="00B05C1D" w:rsidRPr="00AF006C" w:rsidRDefault="00B05C1D" w:rsidP="00CD6A3E">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05C1D" w:rsidRPr="00AF006C" w:rsidRDefault="00B05C1D" w:rsidP="00CD6A3E">
                          <w:pPr>
                            <w:pStyle w:val="Sinespaciado"/>
                            <w:jc w:val="center"/>
                            <w:rPr>
                              <w:rFonts w:ascii="Microsoft Sans Serif" w:hAnsi="Microsoft Sans Serif" w:cs="Microsoft Sans Serif"/>
                              <w:b/>
                              <w:sz w:val="16"/>
                              <w:szCs w:val="16"/>
                            </w:rPr>
                          </w:pPr>
                        </w:p>
                        <w:p w:rsidR="00B05C1D" w:rsidRPr="00AF006C" w:rsidRDefault="00B05C1D" w:rsidP="00CD6A3E">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B05C1D" w:rsidRPr="00AA6DA7" w:rsidRDefault="00B05C1D" w:rsidP="00CD6A3E">
                    <w:pPr>
                      <w:spacing w:after="0" w:line="240" w:lineRule="auto"/>
                      <w:jc w:val="center"/>
                      <w:rPr>
                        <w:rFonts w:cs="Calibri"/>
                        <w:sz w:val="20"/>
                        <w:szCs w:val="20"/>
                      </w:rPr>
                    </w:pPr>
                    <w:r>
                      <w:rPr>
                        <w:rFonts w:cs="Calibri"/>
                        <w:noProof/>
                        <w:sz w:val="20"/>
                        <w:szCs w:val="20"/>
                        <w:lang w:eastAsia="es-MX"/>
                      </w:rPr>
                      <w:drawing>
                        <wp:inline distT="0" distB="0" distL="0" distR="0" wp14:anchorId="32735B71" wp14:editId="0E87D379">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05C1D" w:rsidRDefault="00B05C1D" w:rsidP="00CD6A3E">
                    <w:pPr>
                      <w:pStyle w:val="Sinespaciado"/>
                      <w:jc w:val="center"/>
                      <w:rPr>
                        <w:rFonts w:ascii="Microsoft Sans Serif" w:hAnsi="Microsoft Sans Serif" w:cs="Microsoft Sans Serif"/>
                        <w:sz w:val="14"/>
                        <w:szCs w:val="14"/>
                      </w:rPr>
                    </w:pPr>
                  </w:p>
                  <w:p w:rsidR="00B05C1D" w:rsidRPr="00AF006C" w:rsidRDefault="00B05C1D" w:rsidP="00CD6A3E">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05C1D" w:rsidRPr="00AF006C" w:rsidRDefault="00B05C1D" w:rsidP="00CD6A3E">
                    <w:pPr>
                      <w:pStyle w:val="Sinespaciado"/>
                      <w:jc w:val="center"/>
                      <w:rPr>
                        <w:rFonts w:ascii="Microsoft Sans Serif" w:hAnsi="Microsoft Sans Serif" w:cs="Microsoft Sans Serif"/>
                        <w:b/>
                        <w:sz w:val="16"/>
                        <w:szCs w:val="16"/>
                      </w:rPr>
                    </w:pPr>
                  </w:p>
                  <w:p w:rsidR="00B05C1D" w:rsidRPr="00AF006C" w:rsidRDefault="00B05C1D" w:rsidP="00CD6A3E">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8616C2"/>
    <w:multiLevelType w:val="hybridMultilevel"/>
    <w:tmpl w:val="72C671DA"/>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
    <w:nsid w:val="68C92CF8"/>
    <w:multiLevelType w:val="hybridMultilevel"/>
    <w:tmpl w:val="CD8CF7E6"/>
    <w:lvl w:ilvl="0" w:tplc="21AC1758">
      <w:start w:val="5"/>
      <w:numFmt w:val="bullet"/>
      <w:lvlText w:val=""/>
      <w:lvlJc w:val="left"/>
      <w:pPr>
        <w:ind w:left="1778" w:hanging="360"/>
      </w:pPr>
      <w:rPr>
        <w:rFonts w:ascii="Symbol" w:eastAsia="Times New Roman" w:hAnsi="Symbol" w:cs="Arial" w:hint="default"/>
      </w:rPr>
    </w:lvl>
    <w:lvl w:ilvl="1" w:tplc="080A0003" w:tentative="1">
      <w:start w:val="1"/>
      <w:numFmt w:val="bullet"/>
      <w:lvlText w:val="o"/>
      <w:lvlJc w:val="left"/>
      <w:pPr>
        <w:ind w:left="2498" w:hanging="360"/>
      </w:pPr>
      <w:rPr>
        <w:rFonts w:ascii="Courier New" w:hAnsi="Courier New" w:cs="Courier New" w:hint="default"/>
      </w:rPr>
    </w:lvl>
    <w:lvl w:ilvl="2" w:tplc="080A0005" w:tentative="1">
      <w:start w:val="1"/>
      <w:numFmt w:val="bullet"/>
      <w:lvlText w:val=""/>
      <w:lvlJc w:val="left"/>
      <w:pPr>
        <w:ind w:left="3218" w:hanging="360"/>
      </w:pPr>
      <w:rPr>
        <w:rFonts w:ascii="Wingdings" w:hAnsi="Wingdings" w:hint="default"/>
      </w:rPr>
    </w:lvl>
    <w:lvl w:ilvl="3" w:tplc="080A0001" w:tentative="1">
      <w:start w:val="1"/>
      <w:numFmt w:val="bullet"/>
      <w:lvlText w:val=""/>
      <w:lvlJc w:val="left"/>
      <w:pPr>
        <w:ind w:left="3938" w:hanging="360"/>
      </w:pPr>
      <w:rPr>
        <w:rFonts w:ascii="Symbol" w:hAnsi="Symbol" w:hint="default"/>
      </w:rPr>
    </w:lvl>
    <w:lvl w:ilvl="4" w:tplc="080A0003" w:tentative="1">
      <w:start w:val="1"/>
      <w:numFmt w:val="bullet"/>
      <w:lvlText w:val="o"/>
      <w:lvlJc w:val="left"/>
      <w:pPr>
        <w:ind w:left="4658" w:hanging="360"/>
      </w:pPr>
      <w:rPr>
        <w:rFonts w:ascii="Courier New" w:hAnsi="Courier New" w:cs="Courier New" w:hint="default"/>
      </w:rPr>
    </w:lvl>
    <w:lvl w:ilvl="5" w:tplc="080A0005" w:tentative="1">
      <w:start w:val="1"/>
      <w:numFmt w:val="bullet"/>
      <w:lvlText w:val=""/>
      <w:lvlJc w:val="left"/>
      <w:pPr>
        <w:ind w:left="5378" w:hanging="360"/>
      </w:pPr>
      <w:rPr>
        <w:rFonts w:ascii="Wingdings" w:hAnsi="Wingdings" w:hint="default"/>
      </w:rPr>
    </w:lvl>
    <w:lvl w:ilvl="6" w:tplc="080A0001" w:tentative="1">
      <w:start w:val="1"/>
      <w:numFmt w:val="bullet"/>
      <w:lvlText w:val=""/>
      <w:lvlJc w:val="left"/>
      <w:pPr>
        <w:ind w:left="6098" w:hanging="360"/>
      </w:pPr>
      <w:rPr>
        <w:rFonts w:ascii="Symbol" w:hAnsi="Symbol" w:hint="default"/>
      </w:rPr>
    </w:lvl>
    <w:lvl w:ilvl="7" w:tplc="080A0003" w:tentative="1">
      <w:start w:val="1"/>
      <w:numFmt w:val="bullet"/>
      <w:lvlText w:val="o"/>
      <w:lvlJc w:val="left"/>
      <w:pPr>
        <w:ind w:left="6818" w:hanging="360"/>
      </w:pPr>
      <w:rPr>
        <w:rFonts w:ascii="Courier New" w:hAnsi="Courier New" w:cs="Courier New" w:hint="default"/>
      </w:rPr>
    </w:lvl>
    <w:lvl w:ilvl="8" w:tplc="080A0005" w:tentative="1">
      <w:start w:val="1"/>
      <w:numFmt w:val="bullet"/>
      <w:lvlText w:val=""/>
      <w:lvlJc w:val="left"/>
      <w:pPr>
        <w:ind w:left="7538" w:hanging="360"/>
      </w:pPr>
      <w:rPr>
        <w:rFonts w:ascii="Wingdings" w:hAnsi="Wingdings" w:hint="default"/>
      </w:rPr>
    </w:lvl>
  </w:abstractNum>
  <w:abstractNum w:abstractNumId="2">
    <w:nsid w:val="6AEF23FD"/>
    <w:multiLevelType w:val="hybridMultilevel"/>
    <w:tmpl w:val="D696E09C"/>
    <w:lvl w:ilvl="0" w:tplc="C8CE39D4">
      <w:start w:val="1"/>
      <w:numFmt w:val="lowerLetter"/>
      <w:lvlText w:val="%1)"/>
      <w:lvlJc w:val="left"/>
      <w:pPr>
        <w:ind w:left="1080" w:hanging="360"/>
      </w:pPr>
      <w:rPr>
        <w:b/>
      </w:r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167"/>
    <w:rsid w:val="000035B7"/>
    <w:rsid w:val="00015250"/>
    <w:rsid w:val="00017C44"/>
    <w:rsid w:val="000272B0"/>
    <w:rsid w:val="000464F5"/>
    <w:rsid w:val="00051BBC"/>
    <w:rsid w:val="00057C05"/>
    <w:rsid w:val="000605E0"/>
    <w:rsid w:val="00062E83"/>
    <w:rsid w:val="00076E78"/>
    <w:rsid w:val="00085EFD"/>
    <w:rsid w:val="000924C0"/>
    <w:rsid w:val="00093F97"/>
    <w:rsid w:val="000C2423"/>
    <w:rsid w:val="000D09B8"/>
    <w:rsid w:val="000D106D"/>
    <w:rsid w:val="000D5076"/>
    <w:rsid w:val="000E4204"/>
    <w:rsid w:val="000E79A0"/>
    <w:rsid w:val="000F5467"/>
    <w:rsid w:val="001139B2"/>
    <w:rsid w:val="001318F3"/>
    <w:rsid w:val="00134C17"/>
    <w:rsid w:val="001470C5"/>
    <w:rsid w:val="00150B60"/>
    <w:rsid w:val="00150F7A"/>
    <w:rsid w:val="00183C8D"/>
    <w:rsid w:val="001A3340"/>
    <w:rsid w:val="001B6CB4"/>
    <w:rsid w:val="001C5D6F"/>
    <w:rsid w:val="001C7A0D"/>
    <w:rsid w:val="001E510D"/>
    <w:rsid w:val="001F42BE"/>
    <w:rsid w:val="001F6E99"/>
    <w:rsid w:val="002061F5"/>
    <w:rsid w:val="0021789F"/>
    <w:rsid w:val="00232D26"/>
    <w:rsid w:val="00234E83"/>
    <w:rsid w:val="00275F22"/>
    <w:rsid w:val="00282E3A"/>
    <w:rsid w:val="00284C0F"/>
    <w:rsid w:val="002863B7"/>
    <w:rsid w:val="00292D89"/>
    <w:rsid w:val="002C447A"/>
    <w:rsid w:val="002D5515"/>
    <w:rsid w:val="002D5C60"/>
    <w:rsid w:val="0030487E"/>
    <w:rsid w:val="00322D83"/>
    <w:rsid w:val="003305AA"/>
    <w:rsid w:val="00337270"/>
    <w:rsid w:val="003558BA"/>
    <w:rsid w:val="0035657F"/>
    <w:rsid w:val="00357E59"/>
    <w:rsid w:val="0037562F"/>
    <w:rsid w:val="00387D24"/>
    <w:rsid w:val="003C173C"/>
    <w:rsid w:val="003E2208"/>
    <w:rsid w:val="003E250C"/>
    <w:rsid w:val="003E42CD"/>
    <w:rsid w:val="00426955"/>
    <w:rsid w:val="00437F67"/>
    <w:rsid w:val="00444A83"/>
    <w:rsid w:val="004509C1"/>
    <w:rsid w:val="004957B9"/>
    <w:rsid w:val="004C3C9A"/>
    <w:rsid w:val="004C740B"/>
    <w:rsid w:val="004E664A"/>
    <w:rsid w:val="004F0287"/>
    <w:rsid w:val="005056DE"/>
    <w:rsid w:val="00517954"/>
    <w:rsid w:val="005223AC"/>
    <w:rsid w:val="00523F17"/>
    <w:rsid w:val="0054181F"/>
    <w:rsid w:val="00547FE9"/>
    <w:rsid w:val="00552614"/>
    <w:rsid w:val="00571D0B"/>
    <w:rsid w:val="00573A41"/>
    <w:rsid w:val="00584143"/>
    <w:rsid w:val="005847BE"/>
    <w:rsid w:val="00590E58"/>
    <w:rsid w:val="005916F4"/>
    <w:rsid w:val="005979E0"/>
    <w:rsid w:val="00597E7F"/>
    <w:rsid w:val="005B4F62"/>
    <w:rsid w:val="005B739A"/>
    <w:rsid w:val="005D4CB3"/>
    <w:rsid w:val="005E1D26"/>
    <w:rsid w:val="00600339"/>
    <w:rsid w:val="00601B64"/>
    <w:rsid w:val="00606286"/>
    <w:rsid w:val="006139B2"/>
    <w:rsid w:val="00620487"/>
    <w:rsid w:val="00623A11"/>
    <w:rsid w:val="00632F72"/>
    <w:rsid w:val="0063304F"/>
    <w:rsid w:val="00640228"/>
    <w:rsid w:val="00641431"/>
    <w:rsid w:val="00652DB6"/>
    <w:rsid w:val="00673821"/>
    <w:rsid w:val="00694B34"/>
    <w:rsid w:val="006A09ED"/>
    <w:rsid w:val="006C0A87"/>
    <w:rsid w:val="006E64BA"/>
    <w:rsid w:val="006F012A"/>
    <w:rsid w:val="007013A3"/>
    <w:rsid w:val="00723E0F"/>
    <w:rsid w:val="00736F60"/>
    <w:rsid w:val="0074571A"/>
    <w:rsid w:val="00763228"/>
    <w:rsid w:val="007A25D1"/>
    <w:rsid w:val="007B2896"/>
    <w:rsid w:val="007C55F7"/>
    <w:rsid w:val="007E4C0F"/>
    <w:rsid w:val="007E5FB5"/>
    <w:rsid w:val="007F302B"/>
    <w:rsid w:val="007F7F48"/>
    <w:rsid w:val="00801419"/>
    <w:rsid w:val="00803112"/>
    <w:rsid w:val="00803ADB"/>
    <w:rsid w:val="0082709B"/>
    <w:rsid w:val="0084016A"/>
    <w:rsid w:val="00892AE8"/>
    <w:rsid w:val="008A709C"/>
    <w:rsid w:val="008C31C8"/>
    <w:rsid w:val="008C644A"/>
    <w:rsid w:val="008D5842"/>
    <w:rsid w:val="008E1A1E"/>
    <w:rsid w:val="008E50B1"/>
    <w:rsid w:val="00905593"/>
    <w:rsid w:val="009100B4"/>
    <w:rsid w:val="00934E46"/>
    <w:rsid w:val="00944F74"/>
    <w:rsid w:val="00971AC2"/>
    <w:rsid w:val="00973C3C"/>
    <w:rsid w:val="0097692F"/>
    <w:rsid w:val="00976F04"/>
    <w:rsid w:val="00987B17"/>
    <w:rsid w:val="009905EB"/>
    <w:rsid w:val="009A5BBC"/>
    <w:rsid w:val="009C3EA8"/>
    <w:rsid w:val="009D63ED"/>
    <w:rsid w:val="00A16C33"/>
    <w:rsid w:val="00A17136"/>
    <w:rsid w:val="00A42D4F"/>
    <w:rsid w:val="00A627DF"/>
    <w:rsid w:val="00A62800"/>
    <w:rsid w:val="00A65CCB"/>
    <w:rsid w:val="00A70079"/>
    <w:rsid w:val="00A7083D"/>
    <w:rsid w:val="00A7757F"/>
    <w:rsid w:val="00A94CBB"/>
    <w:rsid w:val="00AA0857"/>
    <w:rsid w:val="00AB1C8D"/>
    <w:rsid w:val="00AB6C11"/>
    <w:rsid w:val="00AC5167"/>
    <w:rsid w:val="00AE145E"/>
    <w:rsid w:val="00B0251F"/>
    <w:rsid w:val="00B05C1D"/>
    <w:rsid w:val="00B12E7D"/>
    <w:rsid w:val="00B14B20"/>
    <w:rsid w:val="00B31F61"/>
    <w:rsid w:val="00B360DC"/>
    <w:rsid w:val="00B60A2B"/>
    <w:rsid w:val="00B81202"/>
    <w:rsid w:val="00B832CD"/>
    <w:rsid w:val="00C02399"/>
    <w:rsid w:val="00C11809"/>
    <w:rsid w:val="00C21241"/>
    <w:rsid w:val="00C23E4D"/>
    <w:rsid w:val="00C30DF0"/>
    <w:rsid w:val="00C361BC"/>
    <w:rsid w:val="00C471DC"/>
    <w:rsid w:val="00C814C8"/>
    <w:rsid w:val="00C87EA2"/>
    <w:rsid w:val="00CA6F2E"/>
    <w:rsid w:val="00CB1526"/>
    <w:rsid w:val="00CD3269"/>
    <w:rsid w:val="00CD6A3E"/>
    <w:rsid w:val="00CE36BF"/>
    <w:rsid w:val="00CE5832"/>
    <w:rsid w:val="00D3098B"/>
    <w:rsid w:val="00D579EC"/>
    <w:rsid w:val="00D71EFE"/>
    <w:rsid w:val="00D74DD6"/>
    <w:rsid w:val="00D76469"/>
    <w:rsid w:val="00DB5157"/>
    <w:rsid w:val="00DC0612"/>
    <w:rsid w:val="00DD0FFB"/>
    <w:rsid w:val="00DD320D"/>
    <w:rsid w:val="00DE0ECA"/>
    <w:rsid w:val="00DE2497"/>
    <w:rsid w:val="00DE2A09"/>
    <w:rsid w:val="00E37422"/>
    <w:rsid w:val="00E42098"/>
    <w:rsid w:val="00E62440"/>
    <w:rsid w:val="00E7667E"/>
    <w:rsid w:val="00E84242"/>
    <w:rsid w:val="00EA043C"/>
    <w:rsid w:val="00EA2DA5"/>
    <w:rsid w:val="00EC170F"/>
    <w:rsid w:val="00EE5E4F"/>
    <w:rsid w:val="00EE71D6"/>
    <w:rsid w:val="00EF73B9"/>
    <w:rsid w:val="00F31410"/>
    <w:rsid w:val="00F530C8"/>
    <w:rsid w:val="00F67CC8"/>
    <w:rsid w:val="00F74890"/>
    <w:rsid w:val="00F82025"/>
    <w:rsid w:val="00F86A0D"/>
    <w:rsid w:val="00F97940"/>
    <w:rsid w:val="00FA13DE"/>
    <w:rsid w:val="00FA59E4"/>
    <w:rsid w:val="00FC1F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16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516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C5167"/>
  </w:style>
  <w:style w:type="paragraph" w:styleId="Sinespaciado">
    <w:name w:val="No Spacing"/>
    <w:link w:val="SinespaciadoCar"/>
    <w:uiPriority w:val="1"/>
    <w:qFormat/>
    <w:rsid w:val="00AC5167"/>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AC5167"/>
    <w:rPr>
      <w:rFonts w:ascii="Calibri" w:eastAsia="Calibri" w:hAnsi="Calibri" w:cs="Times New Roman"/>
    </w:rPr>
  </w:style>
  <w:style w:type="paragraph" w:styleId="Textodeglobo">
    <w:name w:val="Balloon Text"/>
    <w:basedOn w:val="Normal"/>
    <w:link w:val="TextodegloboCar"/>
    <w:uiPriority w:val="99"/>
    <w:semiHidden/>
    <w:unhideWhenUsed/>
    <w:rsid w:val="00AC516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C5167"/>
    <w:rPr>
      <w:rFonts w:ascii="Tahoma" w:hAnsi="Tahoma" w:cs="Tahoma"/>
      <w:sz w:val="16"/>
      <w:szCs w:val="16"/>
    </w:rPr>
  </w:style>
  <w:style w:type="paragraph" w:styleId="Piedepgina">
    <w:name w:val="footer"/>
    <w:basedOn w:val="Normal"/>
    <w:link w:val="PiedepginaCar"/>
    <w:uiPriority w:val="99"/>
    <w:unhideWhenUsed/>
    <w:rsid w:val="00A7083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7083D"/>
  </w:style>
  <w:style w:type="paragraph" w:styleId="Prrafodelista">
    <w:name w:val="List Paragraph"/>
    <w:basedOn w:val="Normal"/>
    <w:uiPriority w:val="34"/>
    <w:qFormat/>
    <w:rsid w:val="001A3340"/>
    <w:pPr>
      <w:ind w:left="720"/>
      <w:contextualSpacing/>
    </w:pPr>
  </w:style>
  <w:style w:type="paragraph" w:styleId="Textonotapie">
    <w:name w:val="footnote text"/>
    <w:basedOn w:val="Normal"/>
    <w:link w:val="TextonotapieCar"/>
    <w:uiPriority w:val="99"/>
    <w:semiHidden/>
    <w:unhideWhenUsed/>
    <w:rsid w:val="002C447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C447A"/>
    <w:rPr>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uiPriority w:val="99"/>
    <w:qFormat/>
    <w:rsid w:val="002C447A"/>
    <w:rPr>
      <w:vertAlign w:val="superscript"/>
    </w:rPr>
  </w:style>
  <w:style w:type="paragraph" w:customStyle="1" w:styleId="Style1">
    <w:name w:val="Style 1"/>
    <w:basedOn w:val="Normal"/>
    <w:uiPriority w:val="99"/>
    <w:rsid w:val="00976F0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16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516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C5167"/>
  </w:style>
  <w:style w:type="paragraph" w:styleId="Sinespaciado">
    <w:name w:val="No Spacing"/>
    <w:link w:val="SinespaciadoCar"/>
    <w:uiPriority w:val="1"/>
    <w:qFormat/>
    <w:rsid w:val="00AC5167"/>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AC5167"/>
    <w:rPr>
      <w:rFonts w:ascii="Calibri" w:eastAsia="Calibri" w:hAnsi="Calibri" w:cs="Times New Roman"/>
    </w:rPr>
  </w:style>
  <w:style w:type="paragraph" w:styleId="Textodeglobo">
    <w:name w:val="Balloon Text"/>
    <w:basedOn w:val="Normal"/>
    <w:link w:val="TextodegloboCar"/>
    <w:uiPriority w:val="99"/>
    <w:semiHidden/>
    <w:unhideWhenUsed/>
    <w:rsid w:val="00AC516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C5167"/>
    <w:rPr>
      <w:rFonts w:ascii="Tahoma" w:hAnsi="Tahoma" w:cs="Tahoma"/>
      <w:sz w:val="16"/>
      <w:szCs w:val="16"/>
    </w:rPr>
  </w:style>
  <w:style w:type="paragraph" w:styleId="Piedepgina">
    <w:name w:val="footer"/>
    <w:basedOn w:val="Normal"/>
    <w:link w:val="PiedepginaCar"/>
    <w:uiPriority w:val="99"/>
    <w:unhideWhenUsed/>
    <w:rsid w:val="00A7083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7083D"/>
  </w:style>
  <w:style w:type="paragraph" w:styleId="Prrafodelista">
    <w:name w:val="List Paragraph"/>
    <w:basedOn w:val="Normal"/>
    <w:uiPriority w:val="34"/>
    <w:qFormat/>
    <w:rsid w:val="001A3340"/>
    <w:pPr>
      <w:ind w:left="720"/>
      <w:contextualSpacing/>
    </w:pPr>
  </w:style>
  <w:style w:type="paragraph" w:styleId="Textonotapie">
    <w:name w:val="footnote text"/>
    <w:basedOn w:val="Normal"/>
    <w:link w:val="TextonotapieCar"/>
    <w:uiPriority w:val="99"/>
    <w:semiHidden/>
    <w:unhideWhenUsed/>
    <w:rsid w:val="002C447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C447A"/>
    <w:rPr>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uiPriority w:val="99"/>
    <w:qFormat/>
    <w:rsid w:val="002C447A"/>
    <w:rPr>
      <w:vertAlign w:val="superscript"/>
    </w:rPr>
  </w:style>
  <w:style w:type="paragraph" w:customStyle="1" w:styleId="Style1">
    <w:name w:val="Style 1"/>
    <w:basedOn w:val="Normal"/>
    <w:uiPriority w:val="99"/>
    <w:rsid w:val="00976F0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824982">
      <w:bodyDiv w:val="1"/>
      <w:marLeft w:val="0"/>
      <w:marRight w:val="0"/>
      <w:marTop w:val="0"/>
      <w:marBottom w:val="0"/>
      <w:divBdr>
        <w:top w:val="none" w:sz="0" w:space="0" w:color="auto"/>
        <w:left w:val="none" w:sz="0" w:space="0" w:color="auto"/>
        <w:bottom w:val="none" w:sz="0" w:space="0" w:color="auto"/>
        <w:right w:val="none" w:sz="0" w:space="0" w:color="auto"/>
      </w:divBdr>
    </w:div>
    <w:div w:id="664750050">
      <w:bodyDiv w:val="1"/>
      <w:marLeft w:val="0"/>
      <w:marRight w:val="0"/>
      <w:marTop w:val="0"/>
      <w:marBottom w:val="0"/>
      <w:divBdr>
        <w:top w:val="none" w:sz="0" w:space="0" w:color="auto"/>
        <w:left w:val="none" w:sz="0" w:space="0" w:color="auto"/>
        <w:bottom w:val="none" w:sz="0" w:space="0" w:color="auto"/>
        <w:right w:val="none" w:sz="0" w:space="0" w:color="auto"/>
      </w:divBdr>
    </w:div>
    <w:div w:id="972712322">
      <w:bodyDiv w:val="1"/>
      <w:marLeft w:val="0"/>
      <w:marRight w:val="0"/>
      <w:marTop w:val="0"/>
      <w:marBottom w:val="0"/>
      <w:divBdr>
        <w:top w:val="none" w:sz="0" w:space="0" w:color="auto"/>
        <w:left w:val="none" w:sz="0" w:space="0" w:color="auto"/>
        <w:bottom w:val="none" w:sz="0" w:space="0" w:color="auto"/>
        <w:right w:val="none" w:sz="0" w:space="0" w:color="auto"/>
      </w:divBdr>
    </w:div>
    <w:div w:id="1085491408">
      <w:bodyDiv w:val="1"/>
      <w:marLeft w:val="0"/>
      <w:marRight w:val="0"/>
      <w:marTop w:val="0"/>
      <w:marBottom w:val="0"/>
      <w:divBdr>
        <w:top w:val="none" w:sz="0" w:space="0" w:color="auto"/>
        <w:left w:val="none" w:sz="0" w:space="0" w:color="auto"/>
        <w:bottom w:val="none" w:sz="0" w:space="0" w:color="auto"/>
        <w:right w:val="none" w:sz="0" w:space="0" w:color="auto"/>
      </w:divBdr>
    </w:div>
    <w:div w:id="2044939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2095</TotalTime>
  <Pages>23</Pages>
  <Words>8059</Words>
  <Characters>44325</Characters>
  <Application>Microsoft Office Word</Application>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239</cp:revision>
  <cp:lastPrinted>2022-03-01T20:45:00Z</cp:lastPrinted>
  <dcterms:created xsi:type="dcterms:W3CDTF">2021-12-15T19:40:00Z</dcterms:created>
  <dcterms:modified xsi:type="dcterms:W3CDTF">2022-03-10T16:22:00Z</dcterms:modified>
</cp:coreProperties>
</file>