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B3D" w:rsidRPr="00A358EC" w:rsidRDefault="00B95B3D" w:rsidP="00A358EC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B95B3D" w:rsidRPr="00A358EC" w:rsidRDefault="00B95B3D" w:rsidP="00A358EC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A358EC">
        <w:rPr>
          <w:rFonts w:ascii="Literata 18pt Light" w:hAnsi="Literata 18pt Light" w:cstheme="minorHAnsi"/>
          <w:color w:val="000000"/>
          <w:sz w:val="24"/>
          <w:szCs w:val="24"/>
        </w:rPr>
        <w:t xml:space="preserve">La Defensoría Pública es una dependencia que pertenece a la administración pública centralizada, que depende jerárquica y administrativamente del Poder Ejecutivo, como lo dispone la Ley Orgánica de la Administración Pública del Estado en los artículos 3 y 31 último párrafo, cuya </w:t>
      </w:r>
      <w:r w:rsidRPr="00A358EC">
        <w:rPr>
          <w:rFonts w:ascii="Literata 18pt Light" w:hAnsi="Literata 18pt Light" w:cstheme="minorHAnsi"/>
          <w:b/>
          <w:color w:val="000000"/>
          <w:sz w:val="24"/>
          <w:szCs w:val="24"/>
        </w:rPr>
        <w:t>función</w:t>
      </w:r>
      <w:r w:rsidRPr="00A358EC">
        <w:rPr>
          <w:rFonts w:ascii="Literata 18pt Light" w:hAnsi="Literata 18pt Light" w:cstheme="minorHAnsi"/>
          <w:color w:val="000000"/>
          <w:sz w:val="24"/>
          <w:szCs w:val="24"/>
        </w:rPr>
        <w:t xml:space="preserve"> es </w:t>
      </w:r>
      <w:r w:rsidRPr="00A358EC">
        <w:rPr>
          <w:rFonts w:ascii="Literata 18pt Light" w:hAnsi="Literata 18pt Light" w:cstheme="minorHAnsi"/>
          <w:sz w:val="24"/>
          <w:szCs w:val="24"/>
        </w:rPr>
        <w:t>regular la prestación del servicio de defensa pública en el Estado, establecer los servicios de asesoría y representación jurídica en toda controversia jurisdiccional en asuntos civiles, familiares, administrativos, mercantiles y de amparo, para las personas que por su condición socioeconómica, étnica, geográfica, cultural, de edad, género, o vulnerabilidad lo requieran o lo soliciten</w:t>
      </w:r>
      <w:r w:rsidRPr="00A358EC">
        <w:rPr>
          <w:rFonts w:ascii="Literata 18pt Light" w:hAnsi="Literata 18pt Light" w:cstheme="minorHAnsi"/>
          <w:color w:val="000000"/>
          <w:sz w:val="24"/>
          <w:szCs w:val="24"/>
        </w:rPr>
        <w:t xml:space="preserve">, de acuerdo a lo establecido en el arábigo 18 de la Constitución Política del Estado de San Luis Potosí.  </w:t>
      </w:r>
    </w:p>
    <w:p w:rsidR="00B95B3D" w:rsidRPr="00A358EC" w:rsidRDefault="00B95B3D" w:rsidP="00A358EC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B95B3D" w:rsidRPr="00A358EC" w:rsidRDefault="00B95B3D" w:rsidP="00A358EC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A358EC">
        <w:rPr>
          <w:rFonts w:ascii="Literata 18pt Light" w:hAnsi="Literata 18pt Light" w:cstheme="minorHAnsi"/>
          <w:b/>
          <w:sz w:val="24"/>
          <w:szCs w:val="24"/>
        </w:rPr>
        <w:t>“ARTICULO 18.</w:t>
      </w:r>
      <w:r w:rsidRPr="00A358EC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A358EC">
        <w:rPr>
          <w:rFonts w:ascii="Literata 18pt Light" w:hAnsi="Literata 18pt Light" w:cstheme="minorHAnsi"/>
          <w:b/>
          <w:sz w:val="24"/>
          <w:szCs w:val="24"/>
        </w:rPr>
        <w:t>Toda persona tendrá derecho a la adecuada defensa, representación y asesoramiento de sus derechos ante las autoridades estatales en toda controversia jurisdiccional. La ley organizará la Defensoría Pública, que se encargará de representar, patrocinar, asesorar y defender en forma gratuita a las personas que carezcan de medios económicos para contratar servicios de un abogado particular.</w:t>
      </w:r>
      <w:r w:rsidRPr="00A358EC">
        <w:rPr>
          <w:rFonts w:ascii="Literata 18pt Light" w:hAnsi="Literata 18pt Light" w:cstheme="minorHAnsi"/>
          <w:sz w:val="24"/>
          <w:szCs w:val="24"/>
        </w:rPr>
        <w:t xml:space="preserve"> El servicio que brinde la Defensoría Pública se prestará bajo los principios de probidad, honradez, profesionalismo, calidad, y de manera obligatoria en términos que establezca la ley. </w:t>
      </w:r>
    </w:p>
    <w:p w:rsidR="00B95B3D" w:rsidRPr="00A358EC" w:rsidRDefault="00B95B3D" w:rsidP="00A358EC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</w:p>
    <w:p w:rsidR="00B95B3D" w:rsidRPr="00A358EC" w:rsidRDefault="00B95B3D" w:rsidP="00A358EC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A358EC">
        <w:rPr>
          <w:rFonts w:ascii="Literata 18pt Light" w:hAnsi="Literata 18pt Light" w:cstheme="minorHAnsi"/>
          <w:sz w:val="24"/>
          <w:szCs w:val="24"/>
        </w:rPr>
        <w:t>(…)</w:t>
      </w:r>
    </w:p>
    <w:p w:rsidR="00B95B3D" w:rsidRPr="00A358EC" w:rsidRDefault="00B95B3D" w:rsidP="00A358EC">
      <w:pPr>
        <w:spacing w:after="0" w:line="240" w:lineRule="auto"/>
        <w:ind w:left="709"/>
        <w:jc w:val="both"/>
        <w:rPr>
          <w:rFonts w:ascii="Literata 18pt Light" w:hAnsi="Literata 18pt Light" w:cstheme="minorHAnsi"/>
          <w:b/>
          <w:sz w:val="24"/>
          <w:szCs w:val="24"/>
        </w:rPr>
      </w:pPr>
    </w:p>
    <w:p w:rsidR="00B95B3D" w:rsidRPr="00A358EC" w:rsidRDefault="00B95B3D" w:rsidP="00A358EC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A358EC">
        <w:rPr>
          <w:rFonts w:ascii="Literata 18pt Light" w:hAnsi="Literata 18pt Light" w:cstheme="minorHAnsi"/>
          <w:b/>
          <w:sz w:val="24"/>
          <w:szCs w:val="24"/>
        </w:rPr>
        <w:t>La Defensoría tendrá autonomía técnica y de gestión.</w:t>
      </w:r>
      <w:r w:rsidRPr="00A358EC">
        <w:rPr>
          <w:rFonts w:ascii="Literata 18pt Light" w:hAnsi="Literata 18pt Light" w:cstheme="minorHAnsi"/>
          <w:sz w:val="24"/>
          <w:szCs w:val="24"/>
        </w:rPr>
        <w:t xml:space="preserve"> Las autoridades estatales y municipales están obligadas a colaborar con las funciones de la Defensoría Pública del Estado…”</w:t>
      </w:r>
    </w:p>
    <w:p w:rsidR="00B95B3D" w:rsidRPr="00A358EC" w:rsidRDefault="00B95B3D" w:rsidP="00A358EC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</w:p>
    <w:p w:rsidR="00B95B3D" w:rsidRPr="00A358EC" w:rsidRDefault="00B95B3D" w:rsidP="00A358EC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A358EC">
        <w:rPr>
          <w:rFonts w:ascii="Literata 18pt Light" w:hAnsi="Literata 18pt Light" w:cstheme="minorHAnsi"/>
          <w:color w:val="000000"/>
          <w:sz w:val="24"/>
          <w:szCs w:val="24"/>
        </w:rPr>
        <w:t xml:space="preserve">La cual tiene como </w:t>
      </w:r>
      <w:r w:rsidRPr="00A358EC">
        <w:rPr>
          <w:rFonts w:ascii="Literata 18pt Light" w:hAnsi="Literata 18pt Light" w:cstheme="minorHAnsi"/>
          <w:b/>
          <w:color w:val="000000"/>
          <w:sz w:val="24"/>
          <w:szCs w:val="24"/>
        </w:rPr>
        <w:t>facultades</w:t>
      </w:r>
      <w:r w:rsidRPr="00A358EC">
        <w:rPr>
          <w:rFonts w:ascii="Literata 18pt Light" w:hAnsi="Literata 18pt Light" w:cstheme="minorHAnsi"/>
          <w:color w:val="000000"/>
          <w:sz w:val="24"/>
          <w:szCs w:val="24"/>
        </w:rPr>
        <w:t xml:space="preserve"> en el ámbito de la aplicación de la justicia la representación, patrocinio y asesoría de las personas que</w:t>
      </w:r>
      <w:r w:rsidR="00A358EC">
        <w:rPr>
          <w:rFonts w:ascii="Literata 18pt Light" w:hAnsi="Literata 18pt Light" w:cstheme="minorHAnsi"/>
          <w:color w:val="000000"/>
          <w:sz w:val="24"/>
          <w:szCs w:val="24"/>
        </w:rPr>
        <w:t xml:space="preserve"> carecen</w:t>
      </w:r>
      <w:r w:rsidRPr="00A358EC">
        <w:rPr>
          <w:rFonts w:ascii="Literata 18pt Light" w:hAnsi="Literata 18pt Light" w:cstheme="minorHAnsi"/>
          <w:color w:val="000000"/>
          <w:sz w:val="24"/>
          <w:szCs w:val="24"/>
        </w:rPr>
        <w:t xml:space="preserve"> de recursos económicos suficientes para contratar un profesional del derecho, y en el ámbito administrativo solo tiene </w:t>
      </w:r>
      <w:r w:rsidRPr="00A358EC">
        <w:rPr>
          <w:rFonts w:ascii="Literata 18pt Light" w:hAnsi="Literata 18pt Light" w:cstheme="minorHAnsi"/>
          <w:sz w:val="24"/>
          <w:szCs w:val="24"/>
        </w:rPr>
        <w:t xml:space="preserve">autonomía técnica y de gestión, </w:t>
      </w:r>
      <w:r w:rsidRPr="00A358EC">
        <w:rPr>
          <w:rFonts w:ascii="Literata 18pt Light" w:hAnsi="Literata 18pt Light" w:cstheme="minorHAnsi"/>
          <w:color w:val="000000"/>
          <w:sz w:val="24"/>
          <w:szCs w:val="24"/>
        </w:rPr>
        <w:t>de acuerdo a lo establecido en los artículos</w:t>
      </w:r>
      <w:r w:rsidRPr="00A358EC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A358EC">
        <w:rPr>
          <w:rFonts w:ascii="Literata 18pt Light" w:hAnsi="Literata 18pt Light" w:cstheme="minorHAnsi"/>
          <w:color w:val="000000"/>
          <w:sz w:val="24"/>
          <w:szCs w:val="24"/>
        </w:rPr>
        <w:t>1, 4, 12, 17, 19, 20, 22, 23, 25, 27, 28, 29, 31, 32, 38, 41, 50, 55, 58, y 62 de la Ley de la Defensoría Pública del Estado de San Luis Potosí</w:t>
      </w:r>
      <w:r w:rsidRPr="00A358EC">
        <w:rPr>
          <w:rFonts w:ascii="Literata 18pt Light" w:hAnsi="Literata 18pt Light" w:cstheme="minorHAnsi"/>
          <w:sz w:val="24"/>
          <w:szCs w:val="24"/>
        </w:rPr>
        <w:t xml:space="preserve">. </w:t>
      </w:r>
    </w:p>
    <w:p w:rsidR="00B95B3D" w:rsidRPr="00A358EC" w:rsidRDefault="00B95B3D" w:rsidP="00A358EC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B95B3D" w:rsidRPr="00A358EC" w:rsidRDefault="00B95B3D" w:rsidP="00A358EC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A358EC">
        <w:rPr>
          <w:rFonts w:ascii="Literata 18pt Light" w:hAnsi="Literata 18pt Light" w:cstheme="minorHAnsi"/>
          <w:color w:val="000000"/>
          <w:sz w:val="24"/>
          <w:szCs w:val="24"/>
        </w:rPr>
        <w:t xml:space="preserve">Conforme a lo anterior la Defensoría Pública no cuenta con atribuciones para </w:t>
      </w:r>
      <w:r w:rsidRPr="00A358EC">
        <w:rPr>
          <w:rFonts w:ascii="Literata 18pt Light" w:hAnsi="Literata 18pt Light" w:cstheme="minorHAnsi"/>
          <w:sz w:val="24"/>
          <w:szCs w:val="24"/>
        </w:rPr>
        <w:t>emitir resoluciones o laudos de carácter judicial, administrativo o arbitral</w:t>
      </w:r>
      <w:r w:rsidRPr="00A358EC">
        <w:rPr>
          <w:rFonts w:ascii="Literata 18pt Light" w:hAnsi="Literata 18pt Light" w:cstheme="minorHAnsi"/>
          <w:color w:val="000000"/>
          <w:sz w:val="24"/>
          <w:szCs w:val="24"/>
        </w:rPr>
        <w:t>,</w:t>
      </w:r>
      <w:r w:rsidRPr="00A358EC">
        <w:rPr>
          <w:rFonts w:ascii="Literata 18pt Light" w:hAnsi="Literata 18pt Light" w:cstheme="minorHAnsi"/>
          <w:sz w:val="24"/>
          <w:szCs w:val="24"/>
        </w:rPr>
        <w:t xml:space="preserve"> </w:t>
      </w:r>
      <w:r w:rsidR="00F54A68" w:rsidRPr="00F54A68">
        <w:rPr>
          <w:rFonts w:ascii="Literata 18pt Light" w:hAnsi="Literata 18pt Light" w:cstheme="minorHAnsi"/>
          <w:sz w:val="24"/>
          <w:szCs w:val="24"/>
        </w:rPr>
        <w:t>pues tiene como función regular la prestación del servicio de defensa pública en el Estado y establecer los servicios de asesoría y representación jurídica en toda controversia jurisdiccional</w:t>
      </w:r>
      <w:r w:rsidR="00F54A68" w:rsidRPr="00F54A68">
        <w:rPr>
          <w:rFonts w:ascii="Literata 18pt Light" w:hAnsi="Literata 18pt Light" w:cstheme="minorHAnsi"/>
          <w:sz w:val="24"/>
          <w:szCs w:val="24"/>
        </w:rPr>
        <w:t xml:space="preserve">, </w:t>
      </w:r>
      <w:r w:rsidRPr="00F54A68">
        <w:rPr>
          <w:rFonts w:ascii="Literata 18pt Light" w:hAnsi="Literata 18pt Light" w:cstheme="minorHAnsi"/>
          <w:sz w:val="24"/>
          <w:szCs w:val="24"/>
        </w:rPr>
        <w:t>por ello no se genera información al respec</w:t>
      </w:r>
      <w:r w:rsidRPr="00A358EC">
        <w:rPr>
          <w:rFonts w:ascii="Literata 18pt Light" w:hAnsi="Literata 18pt Light" w:cstheme="minorHAnsi"/>
          <w:sz w:val="24"/>
          <w:szCs w:val="24"/>
        </w:rPr>
        <w:t>to, ya que</w:t>
      </w:r>
      <w:r w:rsidRPr="00A358EC">
        <w:rPr>
          <w:rFonts w:ascii="Literata 18pt Light" w:hAnsi="Literata 18pt Light" w:cstheme="minorHAnsi"/>
          <w:color w:val="000000"/>
          <w:sz w:val="24"/>
          <w:szCs w:val="24"/>
        </w:rPr>
        <w:t xml:space="preserve"> no forma parte de las atribuciones, competencias o funciones de la dependencia.  </w:t>
      </w:r>
    </w:p>
    <w:p w:rsidR="00B95B3D" w:rsidRPr="00A358EC" w:rsidRDefault="00B95B3D" w:rsidP="00A358EC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3411AF" w:rsidRPr="00A358EC" w:rsidRDefault="003411AF" w:rsidP="00A358EC">
      <w:pPr>
        <w:spacing w:after="0" w:line="240" w:lineRule="auto"/>
        <w:rPr>
          <w:rFonts w:ascii="Literata 18pt Light" w:hAnsi="Literata 18pt Light"/>
        </w:rPr>
      </w:pPr>
      <w:bookmarkStart w:id="0" w:name="_GoBack"/>
      <w:bookmarkEnd w:id="0"/>
    </w:p>
    <w:sectPr w:rsidR="003411AF" w:rsidRPr="00A358EC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F04" w:rsidRDefault="00A15F04">
      <w:pPr>
        <w:spacing w:after="0" w:line="240" w:lineRule="auto"/>
      </w:pPr>
      <w:r>
        <w:separator/>
      </w:r>
    </w:p>
  </w:endnote>
  <w:endnote w:type="continuationSeparator" w:id="0">
    <w:p w:rsidR="00A15F04" w:rsidRDefault="00A15F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D8B5C023-EAC5-4313-A802-F846ED8AEB70}"/>
    <w:embedBold r:id="rId2" w:fontKey="{A9340D6E-D2C1-41F2-8751-11114C441328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32F" w:rsidRDefault="00A6032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BA3979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6415" cy="126365"/>
          <wp:effectExtent l="0" t="0" r="0" b="698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6415" cy="1263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32F" w:rsidRDefault="00A603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F04" w:rsidRDefault="00A15F04">
      <w:pPr>
        <w:spacing w:after="0" w:line="240" w:lineRule="auto"/>
      </w:pPr>
      <w:r>
        <w:separator/>
      </w:r>
    </w:p>
  </w:footnote>
  <w:footnote w:type="continuationSeparator" w:id="0">
    <w:p w:rsidR="00A15F04" w:rsidRDefault="00A15F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32F" w:rsidRDefault="00A6032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A6032F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32F" w:rsidRDefault="00A6032F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697704"/>
    <w:multiLevelType w:val="hybridMultilevel"/>
    <w:tmpl w:val="297017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E3800"/>
    <w:multiLevelType w:val="hybridMultilevel"/>
    <w:tmpl w:val="237E19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A7F5A"/>
    <w:multiLevelType w:val="hybridMultilevel"/>
    <w:tmpl w:val="C81C6E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822C46"/>
    <w:multiLevelType w:val="hybridMultilevel"/>
    <w:tmpl w:val="B0FC5B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A317B7"/>
    <w:multiLevelType w:val="hybridMultilevel"/>
    <w:tmpl w:val="EBE678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1874E4"/>
    <w:multiLevelType w:val="hybridMultilevel"/>
    <w:tmpl w:val="4DCA922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114696"/>
    <w:multiLevelType w:val="hybridMultilevel"/>
    <w:tmpl w:val="A78E78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43C52"/>
    <w:rsid w:val="00057967"/>
    <w:rsid w:val="00060A98"/>
    <w:rsid w:val="00070824"/>
    <w:rsid w:val="000819F9"/>
    <w:rsid w:val="000873A8"/>
    <w:rsid w:val="000B0A18"/>
    <w:rsid w:val="000B60BA"/>
    <w:rsid w:val="00102EFC"/>
    <w:rsid w:val="001041E5"/>
    <w:rsid w:val="001328EC"/>
    <w:rsid w:val="0018776A"/>
    <w:rsid w:val="001A6839"/>
    <w:rsid w:val="001B216A"/>
    <w:rsid w:val="001C0BC9"/>
    <w:rsid w:val="001C734A"/>
    <w:rsid w:val="002177BE"/>
    <w:rsid w:val="0022202D"/>
    <w:rsid w:val="00225961"/>
    <w:rsid w:val="002613AA"/>
    <w:rsid w:val="00265F21"/>
    <w:rsid w:val="00277FF2"/>
    <w:rsid w:val="002844F1"/>
    <w:rsid w:val="00291740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455ECB"/>
    <w:rsid w:val="0047461D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FAA"/>
    <w:rsid w:val="00540020"/>
    <w:rsid w:val="005459B3"/>
    <w:rsid w:val="00590018"/>
    <w:rsid w:val="005A2162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305C1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3AC8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15F04"/>
    <w:rsid w:val="00A358EC"/>
    <w:rsid w:val="00A532D1"/>
    <w:rsid w:val="00A6032F"/>
    <w:rsid w:val="00AA7C56"/>
    <w:rsid w:val="00AB5E36"/>
    <w:rsid w:val="00AF5CC5"/>
    <w:rsid w:val="00B10459"/>
    <w:rsid w:val="00B2103E"/>
    <w:rsid w:val="00B26B33"/>
    <w:rsid w:val="00B50BC2"/>
    <w:rsid w:val="00B56021"/>
    <w:rsid w:val="00B757A3"/>
    <w:rsid w:val="00B75DE8"/>
    <w:rsid w:val="00B95B3D"/>
    <w:rsid w:val="00BA3979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1B73"/>
    <w:rsid w:val="00D35719"/>
    <w:rsid w:val="00D36F42"/>
    <w:rsid w:val="00D62397"/>
    <w:rsid w:val="00D63E11"/>
    <w:rsid w:val="00D67C34"/>
    <w:rsid w:val="00D83A05"/>
    <w:rsid w:val="00D84EE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21CE6"/>
    <w:rsid w:val="00F24AC9"/>
    <w:rsid w:val="00F30188"/>
    <w:rsid w:val="00F4136C"/>
    <w:rsid w:val="00F54A68"/>
    <w:rsid w:val="00F82999"/>
    <w:rsid w:val="00F9001A"/>
    <w:rsid w:val="00F950A2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FE67417-0F14-409C-8C30-88A82BE2F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BA3979"/>
    <w:pPr>
      <w:ind w:left="720"/>
      <w:contextualSpacing/>
    </w:pPr>
  </w:style>
  <w:style w:type="table" w:styleId="Tablaconcuadrcula">
    <w:name w:val="Table Grid"/>
    <w:basedOn w:val="Tablanormal"/>
    <w:uiPriority w:val="59"/>
    <w:rsid w:val="00BA397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0A9188-93FA-49BF-9769-14D62BB84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390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18</cp:revision>
  <cp:lastPrinted>2021-10-05T15:00:00Z</cp:lastPrinted>
  <dcterms:created xsi:type="dcterms:W3CDTF">2021-10-19T18:08:00Z</dcterms:created>
  <dcterms:modified xsi:type="dcterms:W3CDTF">2022-02-10T21:21:00Z</dcterms:modified>
</cp:coreProperties>
</file>