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1FE" w:rsidRDefault="00E741FE" w:rsidP="00E741FE">
      <w:pPr>
        <w:rPr>
          <w:rFonts w:ascii="Arial" w:hAnsi="Arial" w:cs="Arial"/>
          <w:sz w:val="24"/>
          <w:szCs w:val="24"/>
          <w:lang w:val="es-MX"/>
        </w:rPr>
      </w:pPr>
    </w:p>
    <w:p w:rsidR="00F5260C" w:rsidRDefault="00F5260C" w:rsidP="00E741FE">
      <w:pPr>
        <w:rPr>
          <w:rFonts w:ascii="Arial" w:hAnsi="Arial" w:cs="Arial"/>
          <w:sz w:val="24"/>
          <w:szCs w:val="24"/>
          <w:lang w:val="es-MX"/>
        </w:rPr>
      </w:pPr>
    </w:p>
    <w:p w:rsidR="00F5260C" w:rsidRPr="00F5260C" w:rsidRDefault="00F5260C" w:rsidP="00F5260C">
      <w:pPr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F5260C">
        <w:rPr>
          <w:rFonts w:ascii="Arial" w:hAnsi="Arial" w:cs="Arial"/>
          <w:b/>
          <w:sz w:val="24"/>
          <w:szCs w:val="24"/>
        </w:rPr>
        <w:t>Durante el periodo no se generó información respecto a convocatorias a concursos para ocupar cargos públicos en relación al artículo 84 fracción XV inciso A en el Organismo Operador Paramunicipal de Agua Potable, Alcantarillado y Saneamiento de Rayón, S.L.P.</w:t>
      </w:r>
      <w:bookmarkStart w:id="0" w:name="_GoBack"/>
      <w:bookmarkEnd w:id="0"/>
    </w:p>
    <w:sectPr w:rsidR="00F5260C" w:rsidRPr="00F5260C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2C5B" w:rsidRDefault="00B22C5B" w:rsidP="00FE31A1">
      <w:r>
        <w:separator/>
      </w:r>
    </w:p>
  </w:endnote>
  <w:endnote w:type="continuationSeparator" w:id="0">
    <w:p w:rsidR="00B22C5B" w:rsidRDefault="00B22C5B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5260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5260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2C5B" w:rsidRDefault="00B22C5B" w:rsidP="00FE31A1">
      <w:r>
        <w:separator/>
      </w:r>
    </w:p>
  </w:footnote>
  <w:footnote w:type="continuationSeparator" w:id="0">
    <w:p w:rsidR="00B22C5B" w:rsidRDefault="00B22C5B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5260C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B22C5B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B22C5B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B22C5B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22C5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5260C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DB6D5-894F-48D6-B461-1259B3D67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2022-01-28T16:54:00Z</dcterms:created>
  <dcterms:modified xsi:type="dcterms:W3CDTF">2022-01-28T16:54:00Z</dcterms:modified>
</cp:coreProperties>
</file>