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C8EEF1" w14:textId="3631A36B" w:rsidR="001024C4" w:rsidRPr="00F50D34" w:rsidRDefault="001024C4" w:rsidP="001024C4">
      <w:pPr>
        <w:spacing w:after="0" w:line="276" w:lineRule="auto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ACUERDOS DE LA DÉCIMA </w:t>
      </w:r>
      <w:r w:rsidR="00D30091">
        <w:rPr>
          <w:rFonts w:ascii="Calibri" w:hAnsi="Calibri" w:cs="Calibri"/>
          <w:b/>
        </w:rPr>
        <w:t>SEXTA</w:t>
      </w:r>
      <w:r w:rsidRPr="00F50D34">
        <w:rPr>
          <w:rFonts w:ascii="Calibri" w:hAnsi="Calibri" w:cs="Calibri"/>
          <w:b/>
        </w:rPr>
        <w:t xml:space="preserve"> COMISIÓN DE ADMINISTRACIÓN Y PRESUPUESTO DE FECHA </w:t>
      </w:r>
      <w:r w:rsidR="00D30091">
        <w:rPr>
          <w:rFonts w:ascii="Calibri" w:hAnsi="Calibri" w:cs="Calibri"/>
          <w:b/>
        </w:rPr>
        <w:t>27</w:t>
      </w:r>
      <w:r w:rsidR="00DF60FC">
        <w:rPr>
          <w:rFonts w:ascii="Calibri" w:hAnsi="Calibri" w:cs="Calibri"/>
          <w:b/>
        </w:rPr>
        <w:t xml:space="preserve"> DE </w:t>
      </w:r>
      <w:r w:rsidR="00D30091">
        <w:rPr>
          <w:rFonts w:ascii="Calibri" w:hAnsi="Calibri" w:cs="Calibri"/>
          <w:b/>
        </w:rPr>
        <w:t>OCTUBRE</w:t>
      </w:r>
      <w:r w:rsidRPr="00F50D34">
        <w:rPr>
          <w:rFonts w:ascii="Calibri" w:hAnsi="Calibri" w:cs="Calibri"/>
          <w:b/>
        </w:rPr>
        <w:t xml:space="preserve"> DE 202</w:t>
      </w:r>
      <w:r>
        <w:rPr>
          <w:rFonts w:ascii="Calibri" w:hAnsi="Calibri" w:cs="Calibri"/>
          <w:b/>
        </w:rPr>
        <w:t>1</w:t>
      </w:r>
      <w:r w:rsidRPr="00F50D34">
        <w:rPr>
          <w:rFonts w:ascii="Calibri" w:hAnsi="Calibri" w:cs="Calibri"/>
          <w:b/>
        </w:rPr>
        <w:t>.</w:t>
      </w:r>
    </w:p>
    <w:p w14:paraId="6D835B2E" w14:textId="77777777" w:rsidR="001024C4" w:rsidRPr="00F50D34" w:rsidRDefault="001024C4" w:rsidP="001024C4">
      <w:pPr>
        <w:jc w:val="both"/>
        <w:rPr>
          <w:rFonts w:ascii="Calibri" w:hAnsi="Calibri" w:cs="Calibri"/>
        </w:rPr>
      </w:pPr>
    </w:p>
    <w:p w14:paraId="1F5D04B8" w14:textId="77777777" w:rsidR="00D30091" w:rsidRDefault="00D30091" w:rsidP="00D30091">
      <w:pPr>
        <w:keepNext/>
        <w:widowControl w:val="0"/>
        <w:pBdr>
          <w:between w:val="nil"/>
        </w:pBdr>
        <w:spacing w:after="0" w:line="276" w:lineRule="auto"/>
        <w:jc w:val="both"/>
        <w:rPr>
          <w:rFonts w:eastAsia="Times New Roman" w:cstheme="minorHAnsi"/>
          <w:sz w:val="24"/>
          <w:szCs w:val="24"/>
          <w:lang w:val="es-ES" w:eastAsia="es-ES"/>
        </w:rPr>
      </w:pPr>
      <w:r w:rsidRPr="00407FF4">
        <w:rPr>
          <w:rFonts w:ascii="Calibri" w:hAnsi="Calibri" w:cs="Calibri"/>
          <w:b/>
          <w:noProof/>
          <w:color w:val="000000"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29D05BB1" wp14:editId="395A50A5">
                <wp:simplePos x="0" y="0"/>
                <wp:positionH relativeFrom="column">
                  <wp:posOffset>2049320</wp:posOffset>
                </wp:positionH>
                <wp:positionV relativeFrom="paragraph">
                  <wp:posOffset>134515</wp:posOffset>
                </wp:positionV>
                <wp:extent cx="5760" cy="13680"/>
                <wp:effectExtent l="38100" t="38100" r="51435" b="43815"/>
                <wp:wrapNone/>
                <wp:docPr id="7" name="Entrada de lápiz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5760" cy="136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25171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trada de lápiz 7" o:spid="_x0000_s1026" type="#_x0000_t75" style="position:absolute;margin-left:161pt;margin-top:10.25pt;width:1.2pt;height:1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">
                <v:imagedata r:id="rId5" o:title=""/>
              </v:shape>
            </w:pict>
          </mc:Fallback>
        </mc:AlternateContent>
      </w:r>
      <w:r w:rsidRPr="00407FF4">
        <w:rPr>
          <w:rFonts w:ascii="Calibri" w:hAnsi="Calibri" w:cs="Calibri"/>
          <w:b/>
          <w:noProof/>
          <w:color w:val="000000"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58D49E62" wp14:editId="6FCD0AA3">
                <wp:simplePos x="0" y="0"/>
                <wp:positionH relativeFrom="column">
                  <wp:posOffset>4555130</wp:posOffset>
                </wp:positionH>
                <wp:positionV relativeFrom="paragraph">
                  <wp:posOffset>719745</wp:posOffset>
                </wp:positionV>
                <wp:extent cx="63000" cy="163080"/>
                <wp:effectExtent l="38100" t="38100" r="51435" b="46990"/>
                <wp:wrapNone/>
                <wp:docPr id="1" name="Entrada de lápiz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63000" cy="16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3BC53F" id="Entrada de lápiz 1" o:spid="_x0000_s1026" type="#_x0000_t75" style="position:absolute;margin-left:358.4pt;margin-top:56.4pt;width:5.4pt;height:13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">
                <v:imagedata r:id="rId7" o:title=""/>
              </v:shape>
            </w:pict>
          </mc:Fallback>
        </mc:AlternateContent>
      </w:r>
      <w:r w:rsidRPr="00407FF4">
        <w:rPr>
          <w:rFonts w:ascii="Calibri" w:hAnsi="Calibri" w:cs="Calibri"/>
          <w:b/>
          <w:color w:val="000000"/>
          <w:sz w:val="24"/>
          <w:szCs w:val="24"/>
        </w:rPr>
        <w:t xml:space="preserve">ACUERDO </w:t>
      </w:r>
      <w:proofErr w:type="spellStart"/>
      <w:r>
        <w:rPr>
          <w:rFonts w:ascii="Calibri" w:hAnsi="Calibri" w:cs="Calibri"/>
          <w:b/>
          <w:color w:val="000000"/>
          <w:sz w:val="24"/>
          <w:szCs w:val="24"/>
        </w:rPr>
        <w:t>CAyP</w:t>
      </w:r>
      <w:proofErr w:type="spellEnd"/>
      <w:r>
        <w:rPr>
          <w:rFonts w:ascii="Calibri" w:hAnsi="Calibri" w:cs="Calibri"/>
          <w:b/>
          <w:color w:val="000000"/>
          <w:sz w:val="24"/>
          <w:szCs w:val="24"/>
        </w:rPr>
        <w:t>/26</w:t>
      </w:r>
      <w:r w:rsidRPr="00407FF4">
        <w:rPr>
          <w:rFonts w:ascii="Calibri" w:hAnsi="Calibri" w:cs="Calibri"/>
          <w:b/>
          <w:color w:val="000000"/>
          <w:sz w:val="24"/>
          <w:szCs w:val="24"/>
        </w:rPr>
        <w:t>/10/20</w:t>
      </w:r>
      <w:r>
        <w:rPr>
          <w:rFonts w:ascii="Calibri" w:hAnsi="Calibri" w:cs="Calibri"/>
          <w:b/>
          <w:color w:val="000000"/>
          <w:sz w:val="24"/>
          <w:szCs w:val="24"/>
        </w:rPr>
        <w:t>21</w:t>
      </w:r>
      <w:r w:rsidRPr="00407FF4">
        <w:rPr>
          <w:rFonts w:ascii="Calibri" w:hAnsi="Calibri" w:cs="Calibri"/>
          <w:b/>
          <w:color w:val="000000"/>
          <w:sz w:val="24"/>
          <w:szCs w:val="24"/>
        </w:rPr>
        <w:t>.-</w:t>
      </w:r>
      <w:r w:rsidRPr="00407FF4">
        <w:rPr>
          <w:rFonts w:ascii="Calibri" w:hAnsi="Calibri" w:cs="Calibri"/>
          <w:color w:val="00000A"/>
          <w:sz w:val="24"/>
          <w:szCs w:val="24"/>
          <w:highlight w:val="white"/>
        </w:rPr>
        <w:t xml:space="preserve"> M</w:t>
      </w:r>
      <w:r w:rsidRPr="00407FF4">
        <w:rPr>
          <w:rFonts w:ascii="Calibri" w:hAnsi="Calibri" w:cs="Calibri"/>
          <w:color w:val="000000"/>
          <w:sz w:val="24"/>
          <w:szCs w:val="24"/>
          <w:highlight w:val="white"/>
        </w:rPr>
        <w:t>anifiestan</w:t>
      </w:r>
      <w:r w:rsidRPr="00407FF4">
        <w:rPr>
          <w:rFonts w:ascii="Calibri" w:hAnsi="Calibri" w:cs="Calibri"/>
          <w:b/>
          <w:color w:val="000000"/>
          <w:sz w:val="24"/>
          <w:szCs w:val="24"/>
          <w:highlight w:val="white"/>
        </w:rPr>
        <w:t xml:space="preserve"> </w:t>
      </w:r>
      <w:r w:rsidRPr="00407FF4">
        <w:rPr>
          <w:rFonts w:ascii="Calibri" w:hAnsi="Calibri" w:cs="Calibri"/>
          <w:color w:val="000000"/>
          <w:sz w:val="24"/>
          <w:szCs w:val="24"/>
        </w:rPr>
        <w:t>su conformidad respecto</w:t>
      </w:r>
      <w:r w:rsidRPr="00407FF4">
        <w:rPr>
          <w:rFonts w:ascii="Calibri" w:hAnsi="Calibri" w:cs="Calibri"/>
          <w:color w:val="00000A"/>
          <w:sz w:val="24"/>
          <w:szCs w:val="24"/>
          <w:highlight w:val="white"/>
        </w:rPr>
        <w:t xml:space="preserve"> del </w:t>
      </w:r>
      <w:r w:rsidRPr="00407FF4">
        <w:rPr>
          <w:rFonts w:ascii="Calibri" w:hAnsi="Calibri" w:cs="Calibri"/>
          <w:color w:val="000000"/>
          <w:sz w:val="24"/>
          <w:szCs w:val="24"/>
        </w:rPr>
        <w:t>estado que guardan las cuentas presupuestales al mes de octubre del presente año</w:t>
      </w:r>
      <w:r w:rsidRPr="00407FF4">
        <w:rPr>
          <w:rFonts w:ascii="Calibri" w:hAnsi="Calibri" w:cs="Calibri"/>
          <w:color w:val="00000A"/>
          <w:sz w:val="24"/>
          <w:szCs w:val="24"/>
        </w:rPr>
        <w:t>, así como de la ejecución y comportamiento</w:t>
      </w:r>
      <w:r w:rsidRPr="00407FF4">
        <w:rPr>
          <w:rFonts w:ascii="Calibri" w:hAnsi="Calibri" w:cs="Calibri"/>
          <w:b/>
          <w:color w:val="00000A"/>
          <w:sz w:val="24"/>
          <w:szCs w:val="24"/>
        </w:rPr>
        <w:t xml:space="preserve"> </w:t>
      </w:r>
      <w:r w:rsidRPr="00407FF4">
        <w:rPr>
          <w:rFonts w:ascii="Calibri" w:hAnsi="Calibri" w:cs="Calibri"/>
          <w:color w:val="00000A"/>
          <w:sz w:val="24"/>
          <w:szCs w:val="24"/>
        </w:rPr>
        <w:t>de los ingresos y egresos de la cuenta de Productos y del Fondo de Apoyo para la Administración de Justicia.</w:t>
      </w:r>
      <w:r w:rsidRPr="00407FF4">
        <w:rPr>
          <w:rFonts w:ascii="Calibri" w:hAnsi="Calibri" w:cs="Calibri"/>
          <w:color w:val="000000"/>
          <w:sz w:val="24"/>
          <w:szCs w:val="24"/>
        </w:rPr>
        <w:t xml:space="preserve"> Acordando</w:t>
      </w:r>
      <w:r w:rsidRPr="00407FF4">
        <w:rPr>
          <w:rFonts w:ascii="Calibri" w:eastAsia="SimSun" w:hAnsi="Calibri" w:cs="Calibri"/>
          <w:color w:val="00000A"/>
          <w:kern w:val="1"/>
          <w:sz w:val="24"/>
          <w:szCs w:val="24"/>
          <w:lang w:eastAsia="zh-CN" w:bidi="hi-IN"/>
        </w:rPr>
        <w:t xml:space="preserve"> conforme a las economías disponibles en el capítulo </w:t>
      </w:r>
      <w:r w:rsidRPr="00407FF4">
        <w:rPr>
          <w:rFonts w:ascii="Calibri" w:hAnsi="Calibri" w:cs="Calibri"/>
          <w:sz w:val="24"/>
          <w:szCs w:val="24"/>
        </w:rPr>
        <w:t xml:space="preserve">3000 “Servicios Generales” </w:t>
      </w:r>
      <w:r w:rsidRPr="00407FF4">
        <w:rPr>
          <w:rFonts w:ascii="Calibri" w:hAnsi="Calibri" w:cs="Calibri"/>
          <w:color w:val="000000"/>
          <w:sz w:val="24"/>
          <w:szCs w:val="24"/>
        </w:rPr>
        <w:t>autorizar una transferencia presupuestal</w:t>
      </w:r>
      <w:r w:rsidRPr="00407FF4">
        <w:rPr>
          <w:rFonts w:ascii="Calibri" w:hAnsi="Calibri" w:cs="Calibri"/>
          <w:sz w:val="24"/>
          <w:szCs w:val="24"/>
        </w:rPr>
        <w:t xml:space="preserve"> </w:t>
      </w:r>
      <w:r w:rsidRPr="00407FF4">
        <w:rPr>
          <w:rFonts w:ascii="Calibri" w:eastAsia="SimSun" w:hAnsi="Calibri" w:cs="Calibri"/>
          <w:color w:val="00000A"/>
          <w:kern w:val="1"/>
          <w:sz w:val="24"/>
          <w:szCs w:val="24"/>
          <w:lang w:eastAsia="zh-CN" w:bidi="hi-IN"/>
        </w:rPr>
        <w:t xml:space="preserve">del citado capítulo </w:t>
      </w:r>
      <w:r w:rsidRPr="00407FF4">
        <w:rPr>
          <w:rFonts w:ascii="Calibri" w:hAnsi="Calibri" w:cs="Calibri"/>
          <w:sz w:val="24"/>
          <w:szCs w:val="24"/>
        </w:rPr>
        <w:t xml:space="preserve">3000 </w:t>
      </w:r>
      <w:r w:rsidRPr="00407FF4">
        <w:rPr>
          <w:rFonts w:ascii="Calibri" w:eastAsia="SimSun" w:hAnsi="Calibri" w:cs="Calibri"/>
          <w:color w:val="00000A"/>
          <w:kern w:val="1"/>
          <w:sz w:val="24"/>
          <w:szCs w:val="24"/>
          <w:lang w:eastAsia="zh-CN" w:bidi="hi-IN"/>
        </w:rPr>
        <w:t xml:space="preserve">al capítulo </w:t>
      </w:r>
      <w:r w:rsidRPr="00407FF4">
        <w:rPr>
          <w:rFonts w:ascii="Calibri" w:hAnsi="Calibri" w:cs="Calibri"/>
          <w:sz w:val="24"/>
          <w:szCs w:val="24"/>
        </w:rPr>
        <w:t>2000 “Materiales y Suministros”</w:t>
      </w:r>
      <w:r w:rsidRPr="00407FF4">
        <w:rPr>
          <w:rFonts w:ascii="Calibri" w:hAnsi="Calibri" w:cs="Calibri"/>
        </w:rPr>
        <w:t xml:space="preserve"> </w:t>
      </w:r>
      <w:r w:rsidRPr="00407FF4">
        <w:rPr>
          <w:rFonts w:ascii="Calibri" w:hAnsi="Calibri" w:cs="Calibri"/>
          <w:sz w:val="24"/>
          <w:szCs w:val="24"/>
        </w:rPr>
        <w:t xml:space="preserve">por la cantidad de </w:t>
      </w:r>
      <w:r w:rsidRPr="00407FF4">
        <w:rPr>
          <w:rFonts w:ascii="Calibri" w:hAnsi="Calibri" w:cs="Calibri"/>
          <w:b/>
          <w:sz w:val="24"/>
          <w:szCs w:val="24"/>
          <w:lang w:eastAsia="es-ES"/>
        </w:rPr>
        <w:t>$453,818.00 (CUATROCIENTOS CINCUENTA Y TRES MIL OCHOCIENTOS DIECIOCHO PESOS 00/100 M.N.)</w:t>
      </w:r>
      <w:r w:rsidRPr="00407FF4">
        <w:rPr>
          <w:rFonts w:ascii="Calibri" w:hAnsi="Calibri" w:cs="Calibri"/>
          <w:sz w:val="24"/>
          <w:szCs w:val="24"/>
          <w:lang w:eastAsia="es-ES"/>
        </w:rPr>
        <w:t>,</w:t>
      </w:r>
      <w:r w:rsidRPr="00407FF4">
        <w:rPr>
          <w:rFonts w:ascii="Calibri" w:hAnsi="Calibri" w:cs="Calibri"/>
          <w:lang w:eastAsia="es-ES"/>
        </w:rPr>
        <w:t xml:space="preserve"> </w:t>
      </w:r>
      <w:r w:rsidRPr="00407FF4">
        <w:rPr>
          <w:rFonts w:ascii="Calibri" w:hAnsi="Calibri" w:cs="Calibri"/>
          <w:sz w:val="24"/>
          <w:szCs w:val="24"/>
          <w:lang w:eastAsia="es-ES"/>
        </w:rPr>
        <w:t>par</w:t>
      </w:r>
      <w:r w:rsidRPr="00407FF4">
        <w:rPr>
          <w:rFonts w:ascii="Calibri" w:eastAsia="Times New Roman" w:hAnsi="Calibri" w:cs="Calibri"/>
          <w:sz w:val="24"/>
          <w:szCs w:val="24"/>
          <w:lang w:val="es-ES" w:eastAsia="es-ES"/>
        </w:rPr>
        <w:t>a reforzar la última compra cuatrimestral de tóner para impresoras, material de oficina y de limpieza de los</w:t>
      </w:r>
      <w:r w:rsidRPr="000B2E1E">
        <w:rPr>
          <w:rFonts w:eastAsia="Times New Roman" w:cstheme="minorHAnsi"/>
          <w:sz w:val="24"/>
          <w:szCs w:val="24"/>
          <w:lang w:val="es-ES" w:eastAsia="es-ES"/>
        </w:rPr>
        <w:t xml:space="preserve"> diversos órganos jurisdiccionales y administrativos</w:t>
      </w:r>
      <w:r>
        <w:rPr>
          <w:rFonts w:eastAsia="Times New Roman" w:cstheme="minorHAnsi"/>
          <w:sz w:val="24"/>
          <w:szCs w:val="24"/>
          <w:lang w:val="es-ES" w:eastAsia="es-ES"/>
        </w:rPr>
        <w:t xml:space="preserve"> del Poder Judicial del Estado.</w:t>
      </w:r>
    </w:p>
    <w:p w14:paraId="3E032BF7" w14:textId="57535E25" w:rsidR="00D30091" w:rsidRDefault="00D30091" w:rsidP="00D30091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14:paraId="0EEF3C5E" w14:textId="77777777" w:rsidR="00D30091" w:rsidRDefault="00D30091" w:rsidP="00D30091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14:paraId="1ABA82F1" w14:textId="3D942A4E" w:rsidR="00D30091" w:rsidRPr="00BC259A" w:rsidRDefault="00D30091" w:rsidP="00D30091">
      <w:pPr>
        <w:spacing w:after="0" w:line="276" w:lineRule="auto"/>
        <w:jc w:val="both"/>
        <w:rPr>
          <w:rFonts w:ascii="Calibri" w:hAnsi="Calibri" w:cs="Calibri"/>
          <w:sz w:val="24"/>
          <w:szCs w:val="24"/>
          <w:lang w:eastAsia="es-ES"/>
        </w:rPr>
      </w:pPr>
      <w:r>
        <w:rPr>
          <w:b/>
          <w:color w:val="000000"/>
          <w:sz w:val="24"/>
          <w:szCs w:val="24"/>
        </w:rPr>
        <w:t xml:space="preserve">ACUERDO </w:t>
      </w:r>
      <w:proofErr w:type="spellStart"/>
      <w:r>
        <w:rPr>
          <w:b/>
          <w:color w:val="000000"/>
          <w:sz w:val="24"/>
          <w:szCs w:val="24"/>
        </w:rPr>
        <w:t>CAyP</w:t>
      </w:r>
      <w:proofErr w:type="spellEnd"/>
      <w:r>
        <w:rPr>
          <w:b/>
          <w:color w:val="000000"/>
          <w:sz w:val="24"/>
          <w:szCs w:val="24"/>
        </w:rPr>
        <w:t>/27</w:t>
      </w:r>
      <w:r w:rsidRPr="00DD1F34">
        <w:rPr>
          <w:b/>
          <w:color w:val="000000"/>
          <w:sz w:val="24"/>
          <w:szCs w:val="24"/>
        </w:rPr>
        <w:t>/</w:t>
      </w:r>
      <w:r>
        <w:rPr>
          <w:b/>
          <w:color w:val="000000"/>
          <w:sz w:val="24"/>
          <w:szCs w:val="24"/>
        </w:rPr>
        <w:t>10</w:t>
      </w:r>
      <w:r w:rsidRPr="00DD1F34">
        <w:rPr>
          <w:b/>
          <w:color w:val="000000"/>
          <w:sz w:val="24"/>
          <w:szCs w:val="24"/>
        </w:rPr>
        <w:t xml:space="preserve">/2021.- </w:t>
      </w:r>
      <w:r w:rsidRPr="004E3946">
        <w:rPr>
          <w:color w:val="000000"/>
          <w:sz w:val="24"/>
          <w:szCs w:val="24"/>
          <w:lang w:bidi="he-IL"/>
        </w:rPr>
        <w:t>En atención a lo</w:t>
      </w:r>
      <w:r>
        <w:rPr>
          <w:color w:val="000000"/>
          <w:w w:val="73"/>
          <w:sz w:val="24"/>
          <w:szCs w:val="24"/>
          <w:lang w:bidi="he-IL"/>
        </w:rPr>
        <w:t xml:space="preserve"> </w:t>
      </w:r>
      <w:r w:rsidRPr="004E3946">
        <w:rPr>
          <w:sz w:val="24"/>
          <w:szCs w:val="24"/>
        </w:rPr>
        <w:t>informado</w:t>
      </w:r>
      <w:r>
        <w:rPr>
          <w:sz w:val="24"/>
          <w:szCs w:val="24"/>
        </w:rPr>
        <w:t xml:space="preserve"> </w:t>
      </w:r>
      <w:r w:rsidRPr="004E3946">
        <w:rPr>
          <w:color w:val="000000"/>
          <w:sz w:val="24"/>
          <w:szCs w:val="24"/>
          <w:lang w:bidi="he-IL"/>
        </w:rPr>
        <w:t>mediante oficio</w:t>
      </w:r>
      <w:r w:rsidRPr="004E3946">
        <w:rPr>
          <w:rFonts w:eastAsia="Times New Roman"/>
          <w:b/>
          <w:sz w:val="24"/>
          <w:szCs w:val="24"/>
        </w:rPr>
        <w:t xml:space="preserve"> </w:t>
      </w:r>
      <w:r w:rsidRPr="00DD1F34">
        <w:rPr>
          <w:rFonts w:eastAsia="Times New Roman"/>
          <w:sz w:val="24"/>
          <w:szCs w:val="24"/>
        </w:rPr>
        <w:t>RM/</w:t>
      </w:r>
      <w:r>
        <w:rPr>
          <w:rFonts w:eastAsia="Times New Roman"/>
          <w:sz w:val="24"/>
          <w:szCs w:val="24"/>
        </w:rPr>
        <w:t>1311</w:t>
      </w:r>
      <w:r w:rsidRPr="00DD1F34">
        <w:rPr>
          <w:rFonts w:eastAsia="Times New Roman"/>
          <w:sz w:val="24"/>
          <w:szCs w:val="24"/>
        </w:rPr>
        <w:t>/202</w:t>
      </w:r>
      <w:r>
        <w:rPr>
          <w:rFonts w:eastAsia="Times New Roman"/>
          <w:sz w:val="24"/>
          <w:szCs w:val="24"/>
        </w:rPr>
        <w:t>1</w:t>
      </w:r>
      <w:r w:rsidRPr="00DD1F34">
        <w:rPr>
          <w:color w:val="000000"/>
          <w:sz w:val="24"/>
          <w:szCs w:val="24"/>
          <w:lang w:bidi="he-IL"/>
        </w:rPr>
        <w:t xml:space="preserve">, signado por la Directora de Recursos Materiales del Poder Judicial del Estado, </w:t>
      </w:r>
      <w:r w:rsidRPr="00DD1F34">
        <w:rPr>
          <w:sz w:val="24"/>
          <w:szCs w:val="24"/>
          <w:lang w:val="es-ES"/>
        </w:rPr>
        <w:t>los miembros de</w:t>
      </w:r>
      <w:r>
        <w:rPr>
          <w:sz w:val="24"/>
          <w:szCs w:val="24"/>
          <w:lang w:val="es-ES"/>
        </w:rPr>
        <w:t xml:space="preserve"> esta</w:t>
      </w:r>
      <w:r w:rsidRPr="00DD1F34">
        <w:rPr>
          <w:sz w:val="24"/>
          <w:szCs w:val="24"/>
          <w:lang w:val="es-ES"/>
        </w:rPr>
        <w:t xml:space="preserve"> Comisión, una vez analizada la solicitud </w:t>
      </w:r>
      <w:r w:rsidRPr="003C6E30">
        <w:rPr>
          <w:rFonts w:ascii="Calibri" w:hAnsi="Calibri" w:cs="Calibri"/>
          <w:sz w:val="24"/>
          <w:szCs w:val="24"/>
          <w:lang w:val="es-ES"/>
        </w:rPr>
        <w:t xml:space="preserve">y con el fin de proveer de los materiales y elementos a las diversas áreas judiciales de esta Institución, </w:t>
      </w:r>
      <w:r w:rsidRPr="003C6E30">
        <w:rPr>
          <w:rFonts w:ascii="Calibri" w:eastAsia="Calibri" w:hAnsi="Calibri" w:cs="Calibri"/>
          <w:bCs/>
          <w:sz w:val="24"/>
          <w:szCs w:val="24"/>
          <w:lang w:eastAsia="es-ES"/>
        </w:rPr>
        <w:t>determinaron autorizar la adquisición de la impresora a color</w:t>
      </w:r>
      <w:r>
        <w:rPr>
          <w:rFonts w:ascii="Calibri" w:eastAsia="Calibri" w:hAnsi="Calibri" w:cs="Calibri"/>
          <w:bCs/>
          <w:sz w:val="24"/>
          <w:szCs w:val="24"/>
          <w:lang w:eastAsia="es-ES"/>
        </w:rPr>
        <w:t xml:space="preserve"> para la</w:t>
      </w:r>
      <w:r>
        <w:rPr>
          <w:rFonts w:ascii="Calibri" w:eastAsia="Calibri" w:hAnsi="Calibri" w:cs="Calibri"/>
          <w:sz w:val="24"/>
          <w:szCs w:val="24"/>
          <w:lang w:eastAsia="es-ES"/>
        </w:rPr>
        <w:t xml:space="preserve"> Escuela Judicial</w:t>
      </w:r>
      <w:r w:rsidRPr="003C6E30">
        <w:rPr>
          <w:rFonts w:ascii="Calibri" w:eastAsia="Calibri" w:hAnsi="Calibri" w:cs="Calibri"/>
          <w:bCs/>
          <w:sz w:val="24"/>
          <w:szCs w:val="24"/>
          <w:lang w:eastAsia="es-ES"/>
        </w:rPr>
        <w:t>,</w:t>
      </w:r>
      <w:r>
        <w:rPr>
          <w:sz w:val="24"/>
          <w:szCs w:val="24"/>
          <w:lang w:val="es-ES"/>
        </w:rPr>
        <w:t xml:space="preserve"> </w:t>
      </w:r>
      <w:r>
        <w:rPr>
          <w:rFonts w:cstheme="minorHAnsi"/>
          <w:bCs/>
          <w:sz w:val="24"/>
          <w:szCs w:val="24"/>
        </w:rPr>
        <w:t xml:space="preserve">disponiendo del recurso de la cuenta </w:t>
      </w:r>
      <w:r w:rsidRPr="00BC259A">
        <w:rPr>
          <w:rFonts w:ascii="Calibri" w:hAnsi="Calibri" w:cs="Calibri"/>
          <w:sz w:val="24"/>
          <w:szCs w:val="24"/>
          <w:lang w:eastAsia="es-ES"/>
        </w:rPr>
        <w:t xml:space="preserve">de productos, en el entendido que </w:t>
      </w:r>
      <w:r w:rsidRPr="00BC259A">
        <w:rPr>
          <w:rFonts w:ascii="Calibri" w:eastAsia="Times New Roman" w:hAnsi="Calibri" w:cs="Calibri"/>
          <w:sz w:val="24"/>
          <w:szCs w:val="24"/>
          <w:lang w:eastAsia="es-ES"/>
        </w:rPr>
        <w:t>una vez observadas economías, dicho monto se reintegrará a la citada cuenta</w:t>
      </w:r>
      <w:r w:rsidRPr="00BC259A">
        <w:rPr>
          <w:rFonts w:ascii="Calibri" w:hAnsi="Calibri" w:cs="Calibri"/>
          <w:sz w:val="24"/>
          <w:szCs w:val="24"/>
          <w:lang w:eastAsia="es-ES"/>
        </w:rPr>
        <w:t>.</w:t>
      </w:r>
      <w:r>
        <w:rPr>
          <w:rFonts w:ascii="Calibri" w:hAnsi="Calibri" w:cs="Calibri"/>
          <w:sz w:val="24"/>
          <w:szCs w:val="24"/>
          <w:lang w:eastAsia="es-ES"/>
        </w:rPr>
        <w:t xml:space="preserve"> </w:t>
      </w:r>
      <w:bookmarkStart w:id="0" w:name="_GoBack"/>
      <w:bookmarkEnd w:id="0"/>
    </w:p>
    <w:p w14:paraId="003E13B9" w14:textId="77777777" w:rsidR="00D30091" w:rsidRPr="00DD6213" w:rsidRDefault="00D30091" w:rsidP="00D30091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</w:p>
    <w:p w14:paraId="148285AD" w14:textId="77777777" w:rsidR="00267531" w:rsidRPr="00DF60FC" w:rsidRDefault="00D30091" w:rsidP="001024C4">
      <w:pPr>
        <w:spacing w:line="276" w:lineRule="auto"/>
      </w:pPr>
    </w:p>
    <w:sectPr w:rsidR="00267531" w:rsidRPr="00DF60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4C4"/>
    <w:rsid w:val="001024C4"/>
    <w:rsid w:val="00455754"/>
    <w:rsid w:val="004A0376"/>
    <w:rsid w:val="005460C3"/>
    <w:rsid w:val="00582302"/>
    <w:rsid w:val="006C3B4F"/>
    <w:rsid w:val="008F6357"/>
    <w:rsid w:val="00D30091"/>
    <w:rsid w:val="00D93D9B"/>
    <w:rsid w:val="00DF60FC"/>
    <w:rsid w:val="00E02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B2806"/>
  <w15:chartTrackingRefBased/>
  <w15:docId w15:val="{DFB6FD75-2A03-4DDF-B92D-AB790125F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4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5" Type="http://schemas.openxmlformats.org/officeDocument/2006/relationships/image" Target="media/image1.emf"/><Relationship Id="rId4" Type="http://schemas.openxmlformats.org/officeDocument/2006/relationships/customXml" Target="ink/ink1.xml"/><Relationship Id="rId9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1:45:21.33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708 6 4936,'0'0'0,"-14"21"0,21-14-2576,-1 1 1608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01:44:54.07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1 451 1888,'0'0'0,"7"-28"0,5-18 0,-3 5 624,4-5-624,-2 8 632,3 1-632,-1 4 464,-2 3-464,2 5 464,-2 4-464,1 0-728,-1-1 728,0 5-720,-3 3 720,10-18-1312</inkml:trace>
</inkml:ink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227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ANTONIO CAPETILLO ALARCON</dc:creator>
  <cp:keywords/>
  <dc:description/>
  <cp:lastModifiedBy>JOSE ANTONIO CAPETILLO ALARCON</cp:lastModifiedBy>
  <cp:revision>5</cp:revision>
  <dcterms:created xsi:type="dcterms:W3CDTF">2021-08-09T01:57:00Z</dcterms:created>
  <dcterms:modified xsi:type="dcterms:W3CDTF">2021-12-01T18:44:00Z</dcterms:modified>
</cp:coreProperties>
</file>