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bookmarkStart w:id="0" w:name="_GoBack"/>
      <w:bookmarkEnd w:id="0"/>
      <w:r w:rsidRPr="00B357A6">
        <w:rPr>
          <w:rFonts w:ascii="Literata 18pt Light" w:hAnsi="Literata 18pt Light" w:cstheme="minorHAnsi"/>
          <w:b/>
          <w:bCs/>
          <w:sz w:val="24"/>
          <w:szCs w:val="24"/>
        </w:rPr>
        <w:t>Dirección de la Defensoría Pública Penal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B357A6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23 de la Ley de la Defensoría Pública del Estado,  s</w:t>
      </w:r>
      <w:r w:rsidRPr="00B357A6">
        <w:rPr>
          <w:rFonts w:ascii="Literata 18pt Light" w:hAnsi="Literata 18pt Light" w:cstheme="minorHAnsi"/>
          <w:sz w:val="24"/>
          <w:szCs w:val="24"/>
        </w:rPr>
        <w:t>on atribuciones del Director o Directora de la Defensoría Pública Penal, las siguientes:</w:t>
      </w:r>
    </w:p>
    <w:p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Supervisar el cumplimiento de las obligaciones de las servidoras y servidores públicos adscritos a la Dirección a su cargo;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Asesorar a las y los defendidos, así como a sus familiares en los casos de que por razones justificadas la o el defensor no lo hagan;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Formular los programas necesarios para la mayor eficiencia de la Defensoría Pública Penal para la aprobación de la Coordinación General;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Poner en conocimiento de la Coordinación General las quejas que los procesados o sentenciados presenten por falta de atención médica, vejaciones y malos tratos que sufran en el Centro de Readaptación Social en que se encuentren internos, que deban de ponerse en conocimiento del Gobernador del Estado, del Fiscal General del Estado, y de la Comisión Estatal de Derechos Humanos;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Gestionar lo conducente a fin de obtener pronta y efectiva justicia en favor de las personas acusadas;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Vigilar que los defensores en su encargo cumplan eficazmente las funciones de defensa conforme lo establece el artículo 20 de la Constitución Política de los Estados Unidos Mexicanos; y el artículo 18 de la Constitución Política del Estado;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B357A6">
        <w:rPr>
          <w:rFonts w:ascii="Literata 18pt Light" w:hAnsi="Literata 18pt Light" w:cstheme="minorHAnsi"/>
          <w:sz w:val="24"/>
          <w:szCs w:val="24"/>
        </w:rPr>
        <w:t>Brindar asesoría jurídica a las y los defensores de oficio adscritos a las dependencias del Ministerio Público y a los juzgados penales del Distrito Judicial que comprenda su zona;</w:t>
      </w:r>
    </w:p>
    <w:p w:rsidR="000C6BB1" w:rsidRPr="00B357A6" w:rsidRDefault="000C6BB1" w:rsidP="000C6BB1">
      <w:pPr>
        <w:pStyle w:val="Prrafodelista"/>
        <w:rPr>
          <w:rFonts w:ascii="Literata 18pt Light" w:hAnsi="Literata 18pt Light" w:cstheme="minorHAnsi"/>
          <w:sz w:val="24"/>
          <w:szCs w:val="24"/>
        </w:rPr>
      </w:pPr>
    </w:p>
    <w:p w:rsidR="000C6BB1" w:rsidRPr="00B357A6" w:rsidRDefault="000C6BB1" w:rsidP="000C6BB1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hAnsi="Literata 18pt Light" w:cstheme="minorHAnsi"/>
          <w:sz w:val="24"/>
          <w:szCs w:val="24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Informar al Coordinador General de todas aquellas quejas o anomalías en que incurran las y los defensores de oficio en el desempeño de sus funciones, para que éste proceda según la gravedad del caso, conforme a lo establecido por la Ley de la materia; </w:t>
      </w:r>
    </w:p>
    <w:p w:rsidR="000C6BB1" w:rsidRPr="00B357A6" w:rsidRDefault="000C6BB1" w:rsidP="000C6BB1">
      <w:pPr>
        <w:pStyle w:val="Default"/>
        <w:ind w:left="1080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Fomentar la capacitación y actualización del personal a su cargo;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Designar en casos urgentes, cuando no estuviere presente la o el defensor de oficio que tenga intervención en el asunto, a otra u otro defensor que sustituya a aquél, y </w:t>
      </w:r>
    </w:p>
    <w:p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>Las demás que les confieran esta Ley u otros ordenamientos jurídicos aplicables.</w:t>
      </w:r>
    </w:p>
    <w:p w:rsidR="000C6BB1" w:rsidRPr="00B357A6" w:rsidRDefault="000C6BB1" w:rsidP="000C6BB1">
      <w:pPr>
        <w:rPr>
          <w:rFonts w:ascii="Literata 18pt Light" w:hAnsi="Literata 18pt Light"/>
        </w:rPr>
      </w:pPr>
    </w:p>
    <w:p w:rsidR="00EC7158" w:rsidRPr="00B357A6" w:rsidRDefault="00EC7158" w:rsidP="000C6BB1">
      <w:pPr>
        <w:rPr>
          <w:rFonts w:ascii="Literata 18pt Light" w:hAnsi="Literata 18pt Light"/>
        </w:rPr>
      </w:pPr>
    </w:p>
    <w:p w:rsidR="000C6BB1" w:rsidRPr="00B357A6" w:rsidRDefault="000C6BB1" w:rsidP="000C6BB1">
      <w:pPr>
        <w:rPr>
          <w:rFonts w:ascii="Literata 18pt Light" w:hAnsi="Literata 18pt Light"/>
        </w:rPr>
      </w:pPr>
    </w:p>
    <w:sectPr w:rsidR="000C6BB1" w:rsidRPr="00B357A6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247" w:rsidRDefault="00EC7247">
      <w:pPr>
        <w:spacing w:after="0" w:line="240" w:lineRule="auto"/>
      </w:pPr>
      <w:r>
        <w:separator/>
      </w:r>
    </w:p>
  </w:endnote>
  <w:endnote w:type="continuationSeparator" w:id="0">
    <w:p w:rsidR="00EC7247" w:rsidRDefault="00EC7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834C7269-E6FB-478C-8A23-F9C71FC8120B}"/>
    <w:embedBold r:id="rId2" w:fontKey="{F9D54CC1-2317-4D7B-8C3F-A06A459CB804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247" w:rsidRDefault="00EC7247">
      <w:pPr>
        <w:spacing w:after="0" w:line="240" w:lineRule="auto"/>
      </w:pPr>
      <w:r>
        <w:separator/>
      </w:r>
    </w:p>
  </w:footnote>
  <w:footnote w:type="continuationSeparator" w:id="0">
    <w:p w:rsidR="00EC7247" w:rsidRDefault="00EC7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09367E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16D6"/>
    <w:rsid w:val="00027F81"/>
    <w:rsid w:val="00057967"/>
    <w:rsid w:val="00060A98"/>
    <w:rsid w:val="00070824"/>
    <w:rsid w:val="000819F9"/>
    <w:rsid w:val="0009367E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0F09"/>
    <w:rsid w:val="004014EC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357A6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C7247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E4851F9-7405-44BD-A041-8C41A0E98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BE0DB-B742-4CB9-B680-B1EB00511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34</cp:revision>
  <cp:lastPrinted>2021-10-05T15:00:00Z</cp:lastPrinted>
  <dcterms:created xsi:type="dcterms:W3CDTF">2021-10-19T18:08:00Z</dcterms:created>
  <dcterms:modified xsi:type="dcterms:W3CDTF">2021-12-07T20:54:00Z</dcterms:modified>
</cp:coreProperties>
</file>