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8B6" w:rsidRPr="007818D2" w:rsidRDefault="007818D2" w:rsidP="007818D2">
      <w:pPr>
        <w:jc w:val="both"/>
        <w:rPr>
          <w:rFonts w:ascii="LiterataRegular" w:hAnsi="LiterataRegular" w:cs="Arial"/>
          <w:sz w:val="24"/>
          <w:szCs w:val="24"/>
        </w:rPr>
      </w:pPr>
      <w:bookmarkStart w:id="0" w:name="_GoBack"/>
      <w:bookmarkEnd w:id="0"/>
      <w:r w:rsidRPr="007818D2">
        <w:rPr>
          <w:rFonts w:ascii="LiterataRegular" w:hAnsi="LiterataRegular" w:cs="Arial"/>
          <w:sz w:val="28"/>
          <w:szCs w:val="28"/>
        </w:rPr>
        <w:t>No se ha generado información a que hace referencia el presente formato, es decir, dentro de dicho periodo ningún organismo de protección de derecho humanos ha emitido recomendación en que la Comisión Ejecutiva Estatal de Atención a Víctimas haya sido responsable de violación a derechos humanos</w:t>
      </w:r>
      <w:r>
        <w:rPr>
          <w:rFonts w:ascii="LiterataRegular" w:hAnsi="LiterataRegular" w:cs="Arial"/>
          <w:sz w:val="24"/>
          <w:szCs w:val="24"/>
        </w:rPr>
        <w:t>.</w:t>
      </w:r>
    </w:p>
    <w:sectPr w:rsidR="008A28B6" w:rsidRPr="007818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8D2"/>
    <w:rsid w:val="007818D2"/>
    <w:rsid w:val="00C16164"/>
    <w:rsid w:val="00E50DD6"/>
    <w:rsid w:val="00FB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21ECC8-51D0-411F-9820-6000688FD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Clarivel Perez Avila</dc:creator>
  <cp:keywords/>
  <dc:description/>
  <cp:lastModifiedBy>Clarivel Perez Avila</cp:lastModifiedBy>
  <cp:revision>2</cp:revision>
  <dcterms:created xsi:type="dcterms:W3CDTF">2022-02-02T18:35:00Z</dcterms:created>
  <dcterms:modified xsi:type="dcterms:W3CDTF">2022-02-02T18:35:00Z</dcterms:modified>
</cp:coreProperties>
</file>