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19E7" w:rsidRDefault="001175CE">
      <w:pPr>
        <w:pStyle w:val="Textoindependiente"/>
        <w:ind w:left="100"/>
        <w:rPr>
          <w:rFonts w:ascii="Times New Roman"/>
          <w:sz w:val="20"/>
        </w:rPr>
      </w:pPr>
      <w:bookmarkStart w:id="0" w:name="_GoBack"/>
      <w:bookmarkEnd w:id="0"/>
      <w:r>
        <w:rPr>
          <w:rFonts w:ascii="Times New Roman"/>
          <w:noProof/>
          <w:sz w:val="20"/>
          <w:lang w:val="es-MX" w:eastAsia="es-MX"/>
        </w:rPr>
        <w:drawing>
          <wp:inline distT="0" distB="0" distL="0" distR="0">
            <wp:extent cx="1952441" cy="736568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2441" cy="736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19E7" w:rsidRDefault="007B19E7">
      <w:pPr>
        <w:pStyle w:val="Textoindependiente"/>
        <w:spacing w:before="1"/>
        <w:rPr>
          <w:rFonts w:ascii="Times New Roman"/>
          <w:sz w:val="2"/>
        </w:rPr>
      </w:pPr>
    </w:p>
    <w:tbl>
      <w:tblPr>
        <w:tblStyle w:val="TableNormal"/>
        <w:tblW w:w="0" w:type="auto"/>
        <w:tblInd w:w="168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Look w:val="01E0" w:firstRow="1" w:lastRow="1" w:firstColumn="1" w:lastColumn="1" w:noHBand="0" w:noVBand="0"/>
      </w:tblPr>
      <w:tblGrid>
        <w:gridCol w:w="4717"/>
        <w:gridCol w:w="4715"/>
      </w:tblGrid>
      <w:tr w:rsidR="007B19E7">
        <w:trPr>
          <w:trHeight w:val="736"/>
        </w:trPr>
        <w:tc>
          <w:tcPr>
            <w:tcW w:w="9432" w:type="dxa"/>
            <w:gridSpan w:val="2"/>
          </w:tcPr>
          <w:p w:rsidR="007B19E7" w:rsidRDefault="001175CE">
            <w:pPr>
              <w:pStyle w:val="TableParagraph"/>
              <w:spacing w:before="226"/>
              <w:ind w:left="2033" w:right="20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CALENDARIO OFICIAL DE ACTIVIDADES 2021</w:t>
            </w:r>
          </w:p>
        </w:tc>
      </w:tr>
      <w:tr w:rsidR="007B19E7">
        <w:trPr>
          <w:trHeight w:val="565"/>
        </w:trPr>
        <w:tc>
          <w:tcPr>
            <w:tcW w:w="4717" w:type="dxa"/>
          </w:tcPr>
          <w:p w:rsidR="007B19E7" w:rsidRDefault="001175CE">
            <w:pPr>
              <w:pStyle w:val="TableParagraph"/>
              <w:spacing w:line="271" w:lineRule="exact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CIRCULAR N°:</w:t>
            </w:r>
          </w:p>
          <w:p w:rsidR="007B19E7" w:rsidRDefault="001175CE">
            <w:pPr>
              <w:pStyle w:val="TableParagraph"/>
              <w:spacing w:line="275" w:lineRule="exact"/>
              <w:ind w:left="1797" w:right="1789"/>
              <w:jc w:val="center"/>
              <w:rPr>
                <w:sz w:val="24"/>
              </w:rPr>
            </w:pPr>
            <w:r>
              <w:rPr>
                <w:sz w:val="24"/>
              </w:rPr>
              <w:t>OM-01-21</w:t>
            </w:r>
          </w:p>
        </w:tc>
        <w:tc>
          <w:tcPr>
            <w:tcW w:w="4715" w:type="dxa"/>
          </w:tcPr>
          <w:p w:rsidR="007B19E7" w:rsidRDefault="001175CE">
            <w:pPr>
              <w:pStyle w:val="TableParagraph"/>
              <w:spacing w:line="271" w:lineRule="exact"/>
              <w:ind w:left="68"/>
              <w:rPr>
                <w:b/>
                <w:sz w:val="24"/>
              </w:rPr>
            </w:pPr>
            <w:r>
              <w:rPr>
                <w:b/>
                <w:sz w:val="24"/>
              </w:rPr>
              <w:t>FECHA:</w:t>
            </w:r>
          </w:p>
          <w:p w:rsidR="007B19E7" w:rsidRDefault="001175CE">
            <w:pPr>
              <w:pStyle w:val="TableParagraph"/>
              <w:spacing w:line="275" w:lineRule="exact"/>
              <w:ind w:left="1427"/>
              <w:rPr>
                <w:sz w:val="24"/>
              </w:rPr>
            </w:pPr>
            <w:r>
              <w:rPr>
                <w:sz w:val="24"/>
              </w:rPr>
              <w:t>ENERO DE 2021</w:t>
            </w:r>
          </w:p>
        </w:tc>
      </w:tr>
    </w:tbl>
    <w:p w:rsidR="007B19E7" w:rsidRDefault="007B19E7">
      <w:pPr>
        <w:pStyle w:val="Textoindependiente"/>
        <w:rPr>
          <w:rFonts w:ascii="Times New Roman"/>
          <w:sz w:val="20"/>
        </w:rPr>
      </w:pPr>
    </w:p>
    <w:p w:rsidR="007B19E7" w:rsidRDefault="007B19E7">
      <w:pPr>
        <w:pStyle w:val="Textoindependiente"/>
        <w:spacing w:before="5"/>
        <w:rPr>
          <w:rFonts w:ascii="Times New Roman"/>
          <w:sz w:val="23"/>
        </w:rPr>
      </w:pPr>
    </w:p>
    <w:p w:rsidR="007B19E7" w:rsidRDefault="001175CE">
      <w:pPr>
        <w:pStyle w:val="Ttulo1"/>
      </w:pPr>
      <w:r>
        <w:t>Objetivo:</w:t>
      </w:r>
    </w:p>
    <w:p w:rsidR="007B19E7" w:rsidRDefault="007B19E7">
      <w:pPr>
        <w:pStyle w:val="Textoindependiente"/>
        <w:spacing w:before="5"/>
        <w:rPr>
          <w:b/>
          <w:i/>
          <w:sz w:val="22"/>
        </w:rPr>
      </w:pPr>
    </w:p>
    <w:p w:rsidR="007B19E7" w:rsidRDefault="001175CE">
      <w:pPr>
        <w:pStyle w:val="Textoindependiente"/>
        <w:spacing w:before="1" w:line="225" w:lineRule="auto"/>
        <w:ind w:left="158" w:right="175"/>
        <w:jc w:val="both"/>
      </w:pPr>
      <w:r>
        <w:rPr>
          <w:spacing w:val="12"/>
        </w:rPr>
        <w:t xml:space="preserve">Dar </w:t>
      </w:r>
      <w:r>
        <w:t xml:space="preserve">a </w:t>
      </w:r>
      <w:r>
        <w:rPr>
          <w:spacing w:val="16"/>
        </w:rPr>
        <w:t xml:space="preserve">conocer </w:t>
      </w:r>
      <w:r>
        <w:rPr>
          <w:spacing w:val="11"/>
        </w:rPr>
        <w:t xml:space="preserve">el </w:t>
      </w:r>
      <w:r>
        <w:rPr>
          <w:spacing w:val="17"/>
        </w:rPr>
        <w:t xml:space="preserve">calendario </w:t>
      </w:r>
      <w:r>
        <w:rPr>
          <w:spacing w:val="16"/>
        </w:rPr>
        <w:t xml:space="preserve">oficial </w:t>
      </w:r>
      <w:r>
        <w:rPr>
          <w:spacing w:val="9"/>
        </w:rPr>
        <w:t xml:space="preserve">de </w:t>
      </w:r>
      <w:r>
        <w:rPr>
          <w:spacing w:val="17"/>
        </w:rPr>
        <w:t xml:space="preserve">actividades, </w:t>
      </w:r>
      <w:r>
        <w:rPr>
          <w:spacing w:val="13"/>
        </w:rPr>
        <w:t xml:space="preserve">así </w:t>
      </w:r>
      <w:r>
        <w:rPr>
          <w:spacing w:val="15"/>
        </w:rPr>
        <w:t xml:space="preserve">como </w:t>
      </w:r>
      <w:r>
        <w:rPr>
          <w:spacing w:val="12"/>
        </w:rPr>
        <w:t xml:space="preserve">los </w:t>
      </w:r>
      <w:r>
        <w:rPr>
          <w:spacing w:val="16"/>
        </w:rPr>
        <w:t xml:space="preserve">periodos </w:t>
      </w:r>
      <w:r>
        <w:rPr>
          <w:spacing w:val="17"/>
        </w:rPr>
        <w:t xml:space="preserve">vacacionales </w:t>
      </w:r>
      <w:r>
        <w:t xml:space="preserve">y </w:t>
      </w:r>
      <w:r>
        <w:rPr>
          <w:spacing w:val="15"/>
        </w:rPr>
        <w:t xml:space="preserve">días </w:t>
      </w:r>
      <w:r>
        <w:rPr>
          <w:spacing w:val="10"/>
        </w:rPr>
        <w:t xml:space="preserve">de </w:t>
      </w:r>
      <w:r>
        <w:rPr>
          <w:spacing w:val="16"/>
        </w:rPr>
        <w:t xml:space="preserve">descanso </w:t>
      </w:r>
      <w:r>
        <w:rPr>
          <w:spacing w:val="15"/>
        </w:rPr>
        <w:t xml:space="preserve">para </w:t>
      </w:r>
      <w:r>
        <w:rPr>
          <w:spacing w:val="9"/>
        </w:rPr>
        <w:t xml:space="preserve">el </w:t>
      </w:r>
      <w:r>
        <w:rPr>
          <w:spacing w:val="17"/>
        </w:rPr>
        <w:t xml:space="preserve">ejercicio </w:t>
      </w:r>
      <w:r>
        <w:rPr>
          <w:spacing w:val="14"/>
        </w:rPr>
        <w:t xml:space="preserve">2021 </w:t>
      </w:r>
      <w:r>
        <w:t xml:space="preserve">, </w:t>
      </w:r>
      <w:r>
        <w:rPr>
          <w:spacing w:val="12"/>
        </w:rPr>
        <w:t xml:space="preserve">que </w:t>
      </w:r>
      <w:r>
        <w:rPr>
          <w:spacing w:val="17"/>
        </w:rPr>
        <w:t xml:space="preserve">aplican </w:t>
      </w:r>
      <w:r>
        <w:rPr>
          <w:spacing w:val="14"/>
        </w:rPr>
        <w:t xml:space="preserve">para  </w:t>
      </w:r>
      <w:r>
        <w:rPr>
          <w:spacing w:val="12"/>
        </w:rPr>
        <w:t xml:space="preserve">las </w:t>
      </w:r>
      <w:r>
        <w:rPr>
          <w:spacing w:val="18"/>
        </w:rPr>
        <w:t xml:space="preserve">Dependencias </w:t>
      </w:r>
      <w:r>
        <w:t xml:space="preserve">y </w:t>
      </w:r>
      <w:r>
        <w:rPr>
          <w:spacing w:val="17"/>
        </w:rPr>
        <w:t xml:space="preserve">Entidades </w:t>
      </w:r>
      <w:r>
        <w:rPr>
          <w:spacing w:val="12"/>
        </w:rPr>
        <w:t xml:space="preserve">del </w:t>
      </w:r>
      <w:r>
        <w:rPr>
          <w:spacing w:val="15"/>
        </w:rPr>
        <w:t xml:space="preserve">Poder </w:t>
      </w:r>
      <w:r>
        <w:rPr>
          <w:spacing w:val="16"/>
        </w:rPr>
        <w:t xml:space="preserve">Ejecutivo, </w:t>
      </w:r>
      <w:r>
        <w:rPr>
          <w:spacing w:val="12"/>
        </w:rPr>
        <w:t xml:space="preserve">que </w:t>
      </w:r>
      <w:r>
        <w:rPr>
          <w:spacing w:val="15"/>
        </w:rPr>
        <w:t xml:space="preserve">deberá </w:t>
      </w:r>
      <w:r>
        <w:rPr>
          <w:spacing w:val="16"/>
        </w:rPr>
        <w:t xml:space="preserve">difundirse </w:t>
      </w:r>
      <w:r>
        <w:rPr>
          <w:spacing w:val="15"/>
        </w:rPr>
        <w:t xml:space="preserve">entre </w:t>
      </w:r>
      <w:r>
        <w:rPr>
          <w:spacing w:val="9"/>
        </w:rPr>
        <w:t>el</w:t>
      </w:r>
      <w:r>
        <w:rPr>
          <w:spacing w:val="63"/>
        </w:rPr>
        <w:t xml:space="preserve"> </w:t>
      </w:r>
      <w:r>
        <w:rPr>
          <w:spacing w:val="17"/>
        </w:rPr>
        <w:t>personal.</w:t>
      </w:r>
    </w:p>
    <w:p w:rsidR="007B19E7" w:rsidRDefault="007B19E7">
      <w:pPr>
        <w:pStyle w:val="Textoindependiente"/>
        <w:spacing w:before="8"/>
        <w:rPr>
          <w:sz w:val="21"/>
        </w:rPr>
      </w:pPr>
    </w:p>
    <w:p w:rsidR="007B19E7" w:rsidRDefault="001175CE">
      <w:pPr>
        <w:pStyle w:val="Ttulo1"/>
      </w:pPr>
      <w:r>
        <w:t>Lineamientos:</w:t>
      </w:r>
    </w:p>
    <w:p w:rsidR="007B19E7" w:rsidRDefault="007B19E7">
      <w:pPr>
        <w:pStyle w:val="Textoindependiente"/>
        <w:spacing w:before="3"/>
        <w:rPr>
          <w:b/>
          <w:i/>
          <w:sz w:val="22"/>
        </w:rPr>
      </w:pPr>
    </w:p>
    <w:p w:rsidR="007B19E7" w:rsidRDefault="001175CE">
      <w:pPr>
        <w:pStyle w:val="Textoindependiente"/>
        <w:spacing w:line="225" w:lineRule="auto"/>
        <w:ind w:left="158" w:right="178"/>
        <w:jc w:val="both"/>
      </w:pPr>
      <w:r>
        <w:rPr>
          <w:spacing w:val="14"/>
        </w:rPr>
        <w:t xml:space="preserve">Para </w:t>
      </w:r>
      <w:r>
        <w:rPr>
          <w:spacing w:val="9"/>
        </w:rPr>
        <w:t xml:space="preserve">el </w:t>
      </w:r>
      <w:r>
        <w:rPr>
          <w:spacing w:val="16"/>
        </w:rPr>
        <w:t xml:space="preserve">primer periodo </w:t>
      </w:r>
      <w:r>
        <w:rPr>
          <w:spacing w:val="17"/>
        </w:rPr>
        <w:t xml:space="preserve">vacacional </w:t>
      </w:r>
      <w:r>
        <w:rPr>
          <w:spacing w:val="16"/>
        </w:rPr>
        <w:t xml:space="preserve">(opción </w:t>
      </w:r>
      <w:r>
        <w:t xml:space="preserve">1 y </w:t>
      </w:r>
      <w:proofErr w:type="gramStart"/>
      <w:r>
        <w:t>2 )</w:t>
      </w:r>
      <w:proofErr w:type="gramEnd"/>
      <w:r>
        <w:t xml:space="preserve"> , </w:t>
      </w:r>
      <w:r>
        <w:rPr>
          <w:spacing w:val="14"/>
        </w:rPr>
        <w:t xml:space="preserve">cada </w:t>
      </w:r>
      <w:r>
        <w:rPr>
          <w:spacing w:val="17"/>
        </w:rPr>
        <w:t xml:space="preserve">institución </w:t>
      </w:r>
      <w:r>
        <w:rPr>
          <w:spacing w:val="16"/>
        </w:rPr>
        <w:t xml:space="preserve">programará </w:t>
      </w:r>
      <w:r>
        <w:rPr>
          <w:spacing w:val="11"/>
        </w:rPr>
        <w:t xml:space="preserve">el </w:t>
      </w:r>
      <w:r>
        <w:rPr>
          <w:spacing w:val="16"/>
        </w:rPr>
        <w:t xml:space="preserve">periodo </w:t>
      </w:r>
      <w:r>
        <w:rPr>
          <w:spacing w:val="17"/>
        </w:rPr>
        <w:t xml:space="preserve">correspondiente </w:t>
      </w:r>
      <w:r>
        <w:rPr>
          <w:spacing w:val="9"/>
        </w:rPr>
        <w:t xml:space="preserve">de 10 </w:t>
      </w:r>
      <w:r>
        <w:rPr>
          <w:spacing w:val="13"/>
        </w:rPr>
        <w:t xml:space="preserve">días </w:t>
      </w:r>
      <w:r>
        <w:rPr>
          <w:spacing w:val="14"/>
        </w:rPr>
        <w:t xml:space="preserve">para </w:t>
      </w:r>
      <w:r>
        <w:rPr>
          <w:spacing w:val="12"/>
        </w:rPr>
        <w:t xml:space="preserve">sus </w:t>
      </w:r>
      <w:r>
        <w:rPr>
          <w:spacing w:val="17"/>
        </w:rPr>
        <w:t xml:space="preserve">trabajadores, </w:t>
      </w:r>
      <w:r>
        <w:rPr>
          <w:spacing w:val="16"/>
        </w:rPr>
        <w:t xml:space="preserve">conforme </w:t>
      </w:r>
      <w:r>
        <w:t xml:space="preserve">a </w:t>
      </w:r>
      <w:r>
        <w:rPr>
          <w:spacing w:val="12"/>
        </w:rPr>
        <w:t xml:space="preserve">las </w:t>
      </w:r>
      <w:r>
        <w:rPr>
          <w:spacing w:val="16"/>
        </w:rPr>
        <w:t xml:space="preserve">cargas </w:t>
      </w:r>
      <w:r>
        <w:rPr>
          <w:spacing w:val="9"/>
        </w:rPr>
        <w:t xml:space="preserve">de </w:t>
      </w:r>
      <w:r>
        <w:rPr>
          <w:spacing w:val="16"/>
        </w:rPr>
        <w:t>trabajo.</w:t>
      </w:r>
    </w:p>
    <w:p w:rsidR="007B19E7" w:rsidRDefault="007B19E7">
      <w:pPr>
        <w:pStyle w:val="Textoindependiente"/>
        <w:spacing w:before="11"/>
        <w:rPr>
          <w:sz w:val="22"/>
        </w:rPr>
      </w:pPr>
    </w:p>
    <w:p w:rsidR="007B19E7" w:rsidRDefault="001175CE">
      <w:pPr>
        <w:pStyle w:val="Textoindependiente"/>
        <w:spacing w:line="225" w:lineRule="auto"/>
        <w:ind w:left="158" w:right="175"/>
        <w:jc w:val="both"/>
      </w:pPr>
      <w:r>
        <w:t xml:space="preserve">Aquellas dependencias o entidades que por la naturaleza del servicio que prestan, no deban suspender actividades en los días de descanso indicados en el calendario, </w:t>
      </w:r>
      <w:r>
        <w:rPr>
          <w:b/>
          <w:i/>
          <w:u w:val="thick"/>
        </w:rPr>
        <w:t>programarán con toda anticipación</w:t>
      </w:r>
      <w:r>
        <w:rPr>
          <w:b/>
          <w:i/>
        </w:rPr>
        <w:t xml:space="preserve"> </w:t>
      </w:r>
      <w:r>
        <w:t>las guardias correspondientes, pa</w:t>
      </w:r>
      <w:r>
        <w:t>ra que se continúe prestando el servicio.</w:t>
      </w:r>
    </w:p>
    <w:p w:rsidR="007B19E7" w:rsidRDefault="007B19E7">
      <w:pPr>
        <w:pStyle w:val="Textoindependiente"/>
        <w:spacing w:before="8"/>
        <w:rPr>
          <w:sz w:val="22"/>
        </w:rPr>
      </w:pPr>
    </w:p>
    <w:p w:rsidR="007B19E7" w:rsidRDefault="001175CE">
      <w:pPr>
        <w:pStyle w:val="Textoindependiente"/>
        <w:spacing w:line="225" w:lineRule="auto"/>
        <w:ind w:left="158" w:right="176"/>
        <w:jc w:val="both"/>
      </w:pPr>
      <w:r>
        <w:rPr>
          <w:spacing w:val="16"/>
        </w:rPr>
        <w:t xml:space="preserve">Asimismo, </w:t>
      </w:r>
      <w:r>
        <w:rPr>
          <w:spacing w:val="9"/>
        </w:rPr>
        <w:t xml:space="preserve">se </w:t>
      </w:r>
      <w:r>
        <w:rPr>
          <w:spacing w:val="16"/>
        </w:rPr>
        <w:t xml:space="preserve">deberá informar </w:t>
      </w:r>
      <w:r>
        <w:rPr>
          <w:spacing w:val="12"/>
        </w:rPr>
        <w:t xml:space="preserve">con </w:t>
      </w:r>
      <w:r>
        <w:rPr>
          <w:spacing w:val="17"/>
        </w:rPr>
        <w:t xml:space="preserve">oportunidad </w:t>
      </w:r>
      <w:r>
        <w:rPr>
          <w:spacing w:val="9"/>
        </w:rPr>
        <w:t xml:space="preserve">al </w:t>
      </w:r>
      <w:r>
        <w:rPr>
          <w:spacing w:val="16"/>
        </w:rPr>
        <w:t xml:space="preserve">público </w:t>
      </w:r>
      <w:r>
        <w:rPr>
          <w:spacing w:val="15"/>
        </w:rPr>
        <w:t xml:space="preserve">usuario </w:t>
      </w:r>
      <w:r>
        <w:rPr>
          <w:spacing w:val="13"/>
        </w:rPr>
        <w:t>los</w:t>
      </w:r>
      <w:r>
        <w:rPr>
          <w:spacing w:val="92"/>
        </w:rPr>
        <w:t xml:space="preserve"> </w:t>
      </w:r>
      <w:proofErr w:type="gramStart"/>
      <w:r>
        <w:rPr>
          <w:spacing w:val="14"/>
        </w:rPr>
        <w:t xml:space="preserve">días  </w:t>
      </w:r>
      <w:r>
        <w:rPr>
          <w:spacing w:val="9"/>
        </w:rPr>
        <w:t>de</w:t>
      </w:r>
      <w:proofErr w:type="gramEnd"/>
      <w:r>
        <w:rPr>
          <w:spacing w:val="9"/>
        </w:rPr>
        <w:t xml:space="preserve"> </w:t>
      </w:r>
      <w:r>
        <w:rPr>
          <w:spacing w:val="16"/>
        </w:rPr>
        <w:t xml:space="preserve">suspensión </w:t>
      </w:r>
      <w:r>
        <w:rPr>
          <w:spacing w:val="11"/>
        </w:rPr>
        <w:t>de</w:t>
      </w:r>
      <w:r>
        <w:rPr>
          <w:spacing w:val="88"/>
        </w:rPr>
        <w:t xml:space="preserve"> </w:t>
      </w:r>
      <w:r>
        <w:rPr>
          <w:spacing w:val="17"/>
        </w:rPr>
        <w:t xml:space="preserve">actividades, </w:t>
      </w:r>
      <w:r>
        <w:rPr>
          <w:spacing w:val="13"/>
        </w:rPr>
        <w:t xml:space="preserve">por </w:t>
      </w:r>
      <w:r>
        <w:rPr>
          <w:spacing w:val="9"/>
        </w:rPr>
        <w:t xml:space="preserve">lo </w:t>
      </w:r>
      <w:r>
        <w:rPr>
          <w:spacing w:val="15"/>
        </w:rPr>
        <w:t xml:space="preserve">menos </w:t>
      </w:r>
      <w:r>
        <w:rPr>
          <w:spacing w:val="12"/>
        </w:rPr>
        <w:t xml:space="preserve">con una </w:t>
      </w:r>
      <w:r>
        <w:rPr>
          <w:spacing w:val="15"/>
        </w:rPr>
        <w:t xml:space="preserve">semana </w:t>
      </w:r>
      <w:r>
        <w:rPr>
          <w:spacing w:val="8"/>
        </w:rPr>
        <w:t xml:space="preserve">de </w:t>
      </w:r>
      <w:r>
        <w:rPr>
          <w:spacing w:val="17"/>
        </w:rPr>
        <w:t>anticipación.</w:t>
      </w:r>
    </w:p>
    <w:p w:rsidR="007B19E7" w:rsidRDefault="007B19E7">
      <w:pPr>
        <w:pStyle w:val="Textoindependiente"/>
        <w:spacing w:before="10"/>
        <w:rPr>
          <w:sz w:val="22"/>
        </w:rPr>
      </w:pPr>
    </w:p>
    <w:p w:rsidR="007B19E7" w:rsidRDefault="001175CE">
      <w:pPr>
        <w:pStyle w:val="Textoindependiente"/>
        <w:spacing w:line="225" w:lineRule="auto"/>
        <w:ind w:left="158" w:right="174"/>
        <w:jc w:val="both"/>
      </w:pPr>
      <w:r>
        <w:rPr>
          <w:spacing w:val="12"/>
        </w:rPr>
        <w:t xml:space="preserve">Los </w:t>
      </w:r>
      <w:r>
        <w:rPr>
          <w:spacing w:val="16"/>
        </w:rPr>
        <w:t xml:space="preserve">sectores </w:t>
      </w:r>
      <w:r>
        <w:rPr>
          <w:spacing w:val="17"/>
        </w:rPr>
        <w:t xml:space="preserve">educativos, </w:t>
      </w:r>
      <w:r>
        <w:rPr>
          <w:spacing w:val="14"/>
        </w:rPr>
        <w:t xml:space="preserve">salud </w:t>
      </w:r>
      <w:r>
        <w:t xml:space="preserve">y </w:t>
      </w:r>
      <w:r>
        <w:rPr>
          <w:spacing w:val="16"/>
        </w:rPr>
        <w:t xml:space="preserve">cuerpos </w:t>
      </w:r>
      <w:r>
        <w:rPr>
          <w:spacing w:val="9"/>
        </w:rPr>
        <w:t xml:space="preserve">de </w:t>
      </w:r>
      <w:r>
        <w:rPr>
          <w:spacing w:val="17"/>
        </w:rPr>
        <w:t xml:space="preserve">seguridad </w:t>
      </w:r>
      <w:r>
        <w:t xml:space="preserve">y </w:t>
      </w:r>
      <w:r>
        <w:rPr>
          <w:spacing w:val="17"/>
        </w:rPr>
        <w:t>custodia</w:t>
      </w:r>
      <w:proofErr w:type="gramStart"/>
      <w:r>
        <w:rPr>
          <w:spacing w:val="17"/>
        </w:rPr>
        <w:t xml:space="preserve">,  </w:t>
      </w:r>
      <w:r>
        <w:rPr>
          <w:spacing w:val="9"/>
        </w:rPr>
        <w:t>se</w:t>
      </w:r>
      <w:proofErr w:type="gramEnd"/>
      <w:r>
        <w:rPr>
          <w:spacing w:val="9"/>
        </w:rPr>
        <w:t xml:space="preserve"> </w:t>
      </w:r>
      <w:r>
        <w:rPr>
          <w:spacing w:val="16"/>
        </w:rPr>
        <w:t xml:space="preserve">regirán </w:t>
      </w:r>
      <w:r>
        <w:rPr>
          <w:spacing w:val="9"/>
        </w:rPr>
        <w:t xml:space="preserve">de </w:t>
      </w:r>
      <w:r>
        <w:rPr>
          <w:spacing w:val="16"/>
        </w:rPr>
        <w:t xml:space="preserve">acuerdo </w:t>
      </w:r>
      <w:r>
        <w:rPr>
          <w:spacing w:val="12"/>
        </w:rPr>
        <w:t xml:space="preserve">con </w:t>
      </w:r>
      <w:r>
        <w:rPr>
          <w:spacing w:val="9"/>
        </w:rPr>
        <w:t xml:space="preserve">la </w:t>
      </w:r>
      <w:r>
        <w:rPr>
          <w:spacing w:val="17"/>
        </w:rPr>
        <w:t xml:space="preserve">normatividad correspondiente </w:t>
      </w:r>
      <w:r>
        <w:rPr>
          <w:spacing w:val="14"/>
        </w:rPr>
        <w:t xml:space="preserve">para cada </w:t>
      </w:r>
      <w:r>
        <w:rPr>
          <w:spacing w:val="12"/>
        </w:rPr>
        <w:t xml:space="preserve">uno </w:t>
      </w:r>
      <w:r>
        <w:rPr>
          <w:spacing w:val="9"/>
        </w:rPr>
        <w:t xml:space="preserve">de </w:t>
      </w:r>
      <w:r>
        <w:rPr>
          <w:spacing w:val="15"/>
        </w:rPr>
        <w:t xml:space="preserve">ellos, </w:t>
      </w:r>
      <w:r>
        <w:rPr>
          <w:spacing w:val="12"/>
        </w:rPr>
        <w:t xml:space="preserve">sin que </w:t>
      </w:r>
      <w:r>
        <w:rPr>
          <w:spacing w:val="9"/>
        </w:rPr>
        <w:t xml:space="preserve">el </w:t>
      </w:r>
      <w:r>
        <w:rPr>
          <w:spacing w:val="17"/>
        </w:rPr>
        <w:t xml:space="preserve">presente calendario contravenga </w:t>
      </w:r>
      <w:r>
        <w:rPr>
          <w:spacing w:val="9"/>
        </w:rPr>
        <w:t>su</w:t>
      </w:r>
      <w:r>
        <w:rPr>
          <w:spacing w:val="-6"/>
        </w:rPr>
        <w:t xml:space="preserve"> </w:t>
      </w:r>
      <w:r>
        <w:rPr>
          <w:spacing w:val="17"/>
        </w:rPr>
        <w:t>operatividad.</w:t>
      </w:r>
    </w:p>
    <w:p w:rsidR="007B19E7" w:rsidRDefault="007B19E7">
      <w:pPr>
        <w:pStyle w:val="Textoindependiente"/>
        <w:spacing w:before="9"/>
        <w:rPr>
          <w:sz w:val="22"/>
        </w:rPr>
      </w:pPr>
    </w:p>
    <w:p w:rsidR="007B19E7" w:rsidRDefault="001175CE">
      <w:pPr>
        <w:pStyle w:val="Textoindependiente"/>
        <w:spacing w:line="225" w:lineRule="auto"/>
        <w:ind w:left="158" w:right="180"/>
        <w:jc w:val="both"/>
      </w:pPr>
      <w:r>
        <w:rPr>
          <w:spacing w:val="13"/>
        </w:rPr>
        <w:t xml:space="preserve">Los </w:t>
      </w:r>
      <w:r>
        <w:rPr>
          <w:spacing w:val="17"/>
        </w:rPr>
        <w:t xml:space="preserve">trabajadores </w:t>
      </w:r>
      <w:r>
        <w:rPr>
          <w:spacing w:val="12"/>
        </w:rPr>
        <w:t xml:space="preserve">que </w:t>
      </w:r>
      <w:r>
        <w:rPr>
          <w:spacing w:val="15"/>
        </w:rPr>
        <w:t xml:space="preserve">tengan </w:t>
      </w:r>
      <w:r>
        <w:rPr>
          <w:spacing w:val="16"/>
        </w:rPr>
        <w:t xml:space="preserve">derecho </w:t>
      </w:r>
      <w:r>
        <w:rPr>
          <w:spacing w:val="12"/>
        </w:rPr>
        <w:t xml:space="preserve">por </w:t>
      </w:r>
      <w:r>
        <w:rPr>
          <w:spacing w:val="17"/>
        </w:rPr>
        <w:t xml:space="preserve">antigüedad </w:t>
      </w:r>
      <w:r>
        <w:t xml:space="preserve">a </w:t>
      </w:r>
      <w:r>
        <w:rPr>
          <w:spacing w:val="15"/>
        </w:rPr>
        <w:t xml:space="preserve">mayor número </w:t>
      </w:r>
      <w:r>
        <w:rPr>
          <w:spacing w:val="9"/>
        </w:rPr>
        <w:t xml:space="preserve">de </w:t>
      </w:r>
      <w:r>
        <w:rPr>
          <w:spacing w:val="13"/>
        </w:rPr>
        <w:t xml:space="preserve">días </w:t>
      </w:r>
      <w:r>
        <w:rPr>
          <w:spacing w:val="9"/>
        </w:rPr>
        <w:t xml:space="preserve">de </w:t>
      </w:r>
      <w:r>
        <w:rPr>
          <w:spacing w:val="17"/>
        </w:rPr>
        <w:t xml:space="preserve">vacaciones, </w:t>
      </w:r>
      <w:r>
        <w:rPr>
          <w:spacing w:val="16"/>
        </w:rPr>
        <w:t xml:space="preserve">deberán tomarlos </w:t>
      </w:r>
      <w:r>
        <w:rPr>
          <w:spacing w:val="11"/>
        </w:rPr>
        <w:t>al</w:t>
      </w:r>
      <w:r>
        <w:rPr>
          <w:spacing w:val="88"/>
        </w:rPr>
        <w:t xml:space="preserve"> </w:t>
      </w:r>
      <w:r>
        <w:rPr>
          <w:spacing w:val="15"/>
        </w:rPr>
        <w:t xml:space="preserve">inicio </w:t>
      </w:r>
      <w:r>
        <w:rPr>
          <w:spacing w:val="12"/>
        </w:rPr>
        <w:t xml:space="preserve">del </w:t>
      </w:r>
      <w:r>
        <w:rPr>
          <w:spacing w:val="15"/>
        </w:rPr>
        <w:t xml:space="preserve">segundo </w:t>
      </w:r>
      <w:r>
        <w:rPr>
          <w:spacing w:val="16"/>
        </w:rPr>
        <w:t xml:space="preserve">periodo </w:t>
      </w:r>
      <w:r>
        <w:rPr>
          <w:spacing w:val="17"/>
        </w:rPr>
        <w:t>vacacional.</w:t>
      </w:r>
    </w:p>
    <w:p w:rsidR="007B19E7" w:rsidRDefault="007B19E7">
      <w:pPr>
        <w:pStyle w:val="Textoindependiente"/>
        <w:spacing w:before="8"/>
        <w:rPr>
          <w:sz w:val="22"/>
        </w:rPr>
      </w:pPr>
    </w:p>
    <w:p w:rsidR="007B19E7" w:rsidRDefault="001175CE">
      <w:pPr>
        <w:pStyle w:val="Textoindependiente"/>
        <w:spacing w:line="225" w:lineRule="auto"/>
        <w:ind w:left="158" w:right="175"/>
        <w:jc w:val="both"/>
      </w:pPr>
      <w:r>
        <w:t xml:space="preserve">El calendario podrá consultarse en la página Web de Oficialía Mayor </w:t>
      </w:r>
      <w:hyperlink r:id="rId5">
        <w:r>
          <w:rPr>
            <w:u w:val="single"/>
          </w:rPr>
          <w:t>www.omayorslp. gob.mx</w:t>
        </w:r>
      </w:hyperlink>
      <w:r>
        <w:t xml:space="preserve"> del Sistema de Gestión Administrativa, sección Servicios, </w:t>
      </w:r>
      <w:r>
        <w:t>opción Circulares.</w:t>
      </w:r>
    </w:p>
    <w:p w:rsidR="007B19E7" w:rsidRDefault="007B19E7">
      <w:pPr>
        <w:pStyle w:val="Textoindependiente"/>
        <w:spacing w:before="1"/>
        <w:rPr>
          <w:sz w:val="23"/>
        </w:rPr>
      </w:pPr>
    </w:p>
    <w:tbl>
      <w:tblPr>
        <w:tblStyle w:val="TableNormal"/>
        <w:tblW w:w="0" w:type="auto"/>
        <w:tblInd w:w="238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Look w:val="01E0" w:firstRow="1" w:lastRow="1" w:firstColumn="1" w:lastColumn="1" w:noHBand="0" w:noVBand="0"/>
      </w:tblPr>
      <w:tblGrid>
        <w:gridCol w:w="3111"/>
        <w:gridCol w:w="3106"/>
        <w:gridCol w:w="3109"/>
      </w:tblGrid>
      <w:tr w:rsidR="007B19E7">
        <w:trPr>
          <w:trHeight w:val="453"/>
        </w:trPr>
        <w:tc>
          <w:tcPr>
            <w:tcW w:w="3111" w:type="dxa"/>
          </w:tcPr>
          <w:p w:rsidR="007B19E7" w:rsidRDefault="001175CE">
            <w:pPr>
              <w:pStyle w:val="TableParagraph"/>
              <w:spacing w:before="103"/>
              <w:ind w:left="95" w:right="110"/>
              <w:jc w:val="center"/>
              <w:rPr>
                <w:b/>
              </w:rPr>
            </w:pPr>
            <w:r>
              <w:rPr>
                <w:b/>
              </w:rPr>
              <w:t>EMITE</w:t>
            </w:r>
          </w:p>
        </w:tc>
        <w:tc>
          <w:tcPr>
            <w:tcW w:w="3106" w:type="dxa"/>
          </w:tcPr>
          <w:p w:rsidR="007B19E7" w:rsidRDefault="001175CE">
            <w:pPr>
              <w:pStyle w:val="TableParagraph"/>
              <w:spacing w:before="103"/>
              <w:ind w:left="938"/>
              <w:rPr>
                <w:b/>
              </w:rPr>
            </w:pPr>
            <w:r>
              <w:rPr>
                <w:b/>
              </w:rPr>
              <w:t>APRUEBA</w:t>
            </w:r>
          </w:p>
        </w:tc>
        <w:tc>
          <w:tcPr>
            <w:tcW w:w="3109" w:type="dxa"/>
          </w:tcPr>
          <w:p w:rsidR="007B19E7" w:rsidRDefault="001175CE">
            <w:pPr>
              <w:pStyle w:val="TableParagraph"/>
              <w:spacing w:before="103"/>
              <w:ind w:left="904"/>
              <w:rPr>
                <w:b/>
              </w:rPr>
            </w:pPr>
            <w:r>
              <w:rPr>
                <w:b/>
              </w:rPr>
              <w:t>AUTORIZA</w:t>
            </w:r>
          </w:p>
        </w:tc>
      </w:tr>
      <w:tr w:rsidR="007B19E7">
        <w:trPr>
          <w:trHeight w:val="1600"/>
        </w:trPr>
        <w:tc>
          <w:tcPr>
            <w:tcW w:w="3111" w:type="dxa"/>
          </w:tcPr>
          <w:p w:rsidR="007B19E7" w:rsidRDefault="001175CE">
            <w:pPr>
              <w:pStyle w:val="TableParagraph"/>
              <w:spacing w:before="207" w:line="242" w:lineRule="auto"/>
              <w:ind w:left="119" w:right="110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 xml:space="preserve">Luis Damián Alejo </w:t>
            </w:r>
            <w:r>
              <w:rPr>
                <w:spacing w:val="-3"/>
                <w:sz w:val="24"/>
              </w:rPr>
              <w:t xml:space="preserve">Fuentes </w:t>
            </w:r>
            <w:r>
              <w:rPr>
                <w:b/>
                <w:sz w:val="24"/>
              </w:rPr>
              <w:t>Director General de Planeación Modernización</w:t>
            </w:r>
          </w:p>
          <w:p w:rsidR="007B19E7" w:rsidRDefault="001175CE">
            <w:pPr>
              <w:pStyle w:val="TableParagraph"/>
              <w:spacing w:line="259" w:lineRule="exact"/>
              <w:ind w:left="111" w:right="1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Administrativa</w:t>
            </w:r>
          </w:p>
        </w:tc>
        <w:tc>
          <w:tcPr>
            <w:tcW w:w="3106" w:type="dxa"/>
          </w:tcPr>
          <w:p w:rsidR="007B19E7" w:rsidRDefault="001175CE">
            <w:pPr>
              <w:pStyle w:val="TableParagraph"/>
              <w:spacing w:before="128" w:line="267" w:lineRule="exact"/>
              <w:ind w:right="362"/>
              <w:jc w:val="center"/>
              <w:rPr>
                <w:sz w:val="24"/>
              </w:rPr>
            </w:pPr>
            <w:r>
              <w:rPr>
                <w:sz w:val="24"/>
              </w:rPr>
              <w:t>Olga Lidia Contreras</w:t>
            </w:r>
          </w:p>
          <w:p w:rsidR="007B19E7" w:rsidRDefault="001175CE">
            <w:pPr>
              <w:pStyle w:val="TableParagraph"/>
              <w:spacing w:line="244" w:lineRule="exact"/>
              <w:ind w:left="351" w:right="362"/>
              <w:jc w:val="center"/>
            </w:pPr>
            <w:r>
              <w:t>Martínez</w:t>
            </w:r>
          </w:p>
          <w:p w:rsidR="007B19E7" w:rsidRDefault="007B19E7">
            <w:pPr>
              <w:pStyle w:val="TableParagraph"/>
              <w:spacing w:before="9"/>
              <w:ind w:left="0"/>
              <w:rPr>
                <w:sz w:val="20"/>
              </w:rPr>
            </w:pPr>
          </w:p>
          <w:p w:rsidR="007B19E7" w:rsidRDefault="001175CE">
            <w:pPr>
              <w:pStyle w:val="TableParagraph"/>
              <w:spacing w:line="244" w:lineRule="auto"/>
              <w:ind w:right="3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Directora General de Recursos Humanos</w:t>
            </w:r>
          </w:p>
        </w:tc>
        <w:tc>
          <w:tcPr>
            <w:tcW w:w="3109" w:type="dxa"/>
          </w:tcPr>
          <w:p w:rsidR="007B19E7" w:rsidRDefault="001175CE">
            <w:pPr>
              <w:pStyle w:val="TableParagraph"/>
              <w:spacing w:before="217" w:line="208" w:lineRule="auto"/>
              <w:ind w:left="1026" w:right="232" w:hanging="768"/>
              <w:rPr>
                <w:sz w:val="24"/>
              </w:rPr>
            </w:pPr>
            <w:r>
              <w:rPr>
                <w:sz w:val="24"/>
              </w:rPr>
              <w:t>Jorge Daniel Hernández Delgadillo</w:t>
            </w:r>
          </w:p>
          <w:p w:rsidR="007B19E7" w:rsidRDefault="001175CE">
            <w:pPr>
              <w:pStyle w:val="TableParagraph"/>
              <w:spacing w:before="122" w:line="244" w:lineRule="auto"/>
              <w:ind w:left="1019" w:right="209" w:hanging="802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Oficial Mayor del </w:t>
            </w:r>
            <w:r>
              <w:rPr>
                <w:b/>
                <w:spacing w:val="-3"/>
                <w:sz w:val="24"/>
              </w:rPr>
              <w:t xml:space="preserve">Poder </w:t>
            </w:r>
            <w:r>
              <w:rPr>
                <w:b/>
                <w:sz w:val="24"/>
              </w:rPr>
              <w:t>Ejecutivo</w:t>
            </w:r>
          </w:p>
        </w:tc>
      </w:tr>
    </w:tbl>
    <w:p w:rsidR="001175CE" w:rsidRDefault="001175CE"/>
    <w:sectPr w:rsidR="001175CE">
      <w:type w:val="continuous"/>
      <w:pgSz w:w="12240" w:h="15840"/>
      <w:pgMar w:top="400" w:right="1260" w:bottom="280" w:left="1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19E7"/>
    <w:rsid w:val="001175CE"/>
    <w:rsid w:val="007B19E7"/>
    <w:rsid w:val="00EE3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657AA74-126D-45CA-961F-98F66B29E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paragraph" w:styleId="Ttulo1">
    <w:name w:val="heading 1"/>
    <w:basedOn w:val="Normal"/>
    <w:uiPriority w:val="1"/>
    <w:qFormat/>
    <w:pPr>
      <w:ind w:left="158"/>
      <w:jc w:val="both"/>
      <w:outlineLvl w:val="0"/>
    </w:pPr>
    <w:rPr>
      <w:b/>
      <w:bCs/>
      <w:i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36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omayorslp.gob.mx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274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Lineamientos Para Aplicación de Movimientos Personal</vt:lpstr>
    </vt:vector>
  </TitlesOfParts>
  <Company>Hewlett-Packard Company</Company>
  <LinksUpToDate>false</LinksUpToDate>
  <CharactersWithSpaces>1778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Lineamientos Para Aplicación de Movimientos Personal</dc:title>
  <dc:creator>ahfrancisco</dc:creator>
  <cp:lastModifiedBy>Cuenta Microsoft</cp:lastModifiedBy>
  <cp:revision>2</cp:revision>
  <dcterms:created xsi:type="dcterms:W3CDTF">2021-12-08T17:42:00Z</dcterms:created>
  <dcterms:modified xsi:type="dcterms:W3CDTF">2021-12-08T17:42:00Z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2020-12-22T00:00:00Z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2021-12-08T00:00:00Z</vt:filetime>
  </property>
</Properties>
</file>