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6A2932" w:rsidRDefault="00E22421" w:rsidP="00E22421">
      <w:pPr>
        <w:spacing w:after="0" w:line="276" w:lineRule="auto"/>
        <w:jc w:val="both"/>
        <w:rPr>
          <w:rFonts w:ascii="Arial" w:eastAsia="Calibri" w:hAnsi="Arial" w:cs="Arial"/>
          <w:b/>
          <w:lang w:val="es-MX"/>
        </w:rPr>
      </w:pPr>
      <w:r w:rsidRPr="00FE10DF">
        <w:rPr>
          <w:rFonts w:ascii="Arial" w:eastAsia="Calibri" w:hAnsi="Arial" w:cs="Arial"/>
          <w:b/>
          <w:lang w:val="es-MX"/>
        </w:rPr>
        <w:t>DEMZ-</w:t>
      </w:r>
      <w:r w:rsidR="00B37305">
        <w:rPr>
          <w:rFonts w:ascii="Arial" w:eastAsia="Calibri" w:hAnsi="Arial" w:cs="Arial"/>
          <w:b/>
          <w:lang w:val="es-MX"/>
        </w:rPr>
        <w:t>563</w:t>
      </w:r>
      <w:r w:rsidRPr="00FE10DF">
        <w:rPr>
          <w:rFonts w:ascii="Arial" w:eastAsia="Calibri" w:hAnsi="Arial" w:cs="Arial"/>
          <w:b/>
          <w:lang w:val="es-MX"/>
        </w:rPr>
        <w:t xml:space="preserve">/2022. TITULAR DE UNIDAD DE TRANSPARENCIA </w:t>
      </w:r>
      <w:r w:rsidR="00711A63">
        <w:rPr>
          <w:rFonts w:ascii="Arial" w:eastAsia="Calibri" w:hAnsi="Arial" w:cs="Arial"/>
          <w:b/>
          <w:lang w:val="es-MX"/>
        </w:rPr>
        <w:t>DEL MUNICIPIO DE SAN LUIS POTOSÍ</w:t>
      </w:r>
      <w:bookmarkStart w:id="0" w:name="_GoBack"/>
      <w:bookmarkEnd w:id="0"/>
    </w:p>
    <w:p w:rsidR="00E22421" w:rsidRPr="00FE10DF" w:rsidRDefault="00E22421" w:rsidP="00E22421">
      <w:pPr>
        <w:spacing w:after="0" w:line="276" w:lineRule="auto"/>
        <w:jc w:val="both"/>
        <w:rPr>
          <w:rFonts w:ascii="Arial" w:eastAsia="Calibri" w:hAnsi="Arial" w:cs="Arial"/>
          <w:b/>
          <w:lang w:val="es-MX"/>
        </w:rPr>
      </w:pPr>
      <w:r w:rsidRPr="00FE10DF">
        <w:rPr>
          <w:rFonts w:ascii="Arial" w:eastAsia="Calibri" w:hAnsi="Arial" w:cs="Arial"/>
          <w:b/>
          <w:lang w:val="es-MX"/>
        </w:rPr>
        <w:t>PRESENTE.-</w:t>
      </w:r>
    </w:p>
    <w:p w:rsidR="00E22421" w:rsidRPr="00FE10DF" w:rsidRDefault="00E22421" w:rsidP="005A47D6">
      <w:pPr>
        <w:spacing w:after="200" w:line="276" w:lineRule="auto"/>
        <w:jc w:val="both"/>
        <w:rPr>
          <w:rFonts w:ascii="Arial" w:eastAsia="Calibri" w:hAnsi="Arial" w:cs="Arial"/>
          <w:b/>
          <w:lang w:val="es-MX"/>
        </w:rPr>
      </w:pPr>
    </w:p>
    <w:p w:rsidR="005A47D6" w:rsidRPr="00FE10DF" w:rsidRDefault="005A47D6" w:rsidP="005A47D6">
      <w:pPr>
        <w:spacing w:after="200" w:line="360" w:lineRule="auto"/>
        <w:jc w:val="both"/>
        <w:rPr>
          <w:rFonts w:ascii="Arial" w:eastAsia="Calibri" w:hAnsi="Arial" w:cs="Arial"/>
          <w:bCs/>
          <w:lang w:val="es-MX"/>
        </w:rPr>
      </w:pPr>
      <w:r w:rsidRPr="00FE10DF">
        <w:rPr>
          <w:rFonts w:ascii="Arial" w:eastAsia="Calibri" w:hAnsi="Arial" w:cs="Arial"/>
          <w:lang w:val="es-MX"/>
        </w:rPr>
        <w:t>Por medio del presente hágase del con</w:t>
      </w:r>
      <w:r w:rsidR="007B53A2" w:rsidRPr="00FE10DF">
        <w:rPr>
          <w:rFonts w:ascii="Arial" w:eastAsia="Calibri" w:hAnsi="Arial" w:cs="Arial"/>
          <w:lang w:val="es-MX"/>
        </w:rPr>
        <w:t xml:space="preserve">ocimiento que en </w:t>
      </w:r>
      <w:r w:rsidR="00B37305">
        <w:rPr>
          <w:rFonts w:ascii="Arial" w:eastAsia="Calibri" w:hAnsi="Arial" w:cs="Arial"/>
          <w:lang w:val="es-MX"/>
        </w:rPr>
        <w:t>28 veintiocho</w:t>
      </w:r>
      <w:r w:rsidR="006A2932">
        <w:rPr>
          <w:rFonts w:ascii="Arial" w:eastAsia="Calibri" w:hAnsi="Arial" w:cs="Arial"/>
          <w:lang w:val="es-MX"/>
        </w:rPr>
        <w:t xml:space="preserve"> de marzo</w:t>
      </w:r>
      <w:r w:rsidR="00E22421" w:rsidRPr="00FE10DF">
        <w:rPr>
          <w:rFonts w:ascii="Arial" w:eastAsia="Calibri" w:hAnsi="Arial" w:cs="Arial"/>
          <w:lang w:val="es-MX"/>
        </w:rPr>
        <w:t xml:space="preserve"> de 2022</w:t>
      </w:r>
      <w:r w:rsidR="00FE10DF" w:rsidRPr="00FE10DF">
        <w:rPr>
          <w:rFonts w:ascii="Arial" w:eastAsia="Calibri" w:hAnsi="Arial" w:cs="Arial"/>
          <w:lang w:val="es-MX"/>
        </w:rPr>
        <w:t xml:space="preserve"> dos mil veintidós</w:t>
      </w:r>
      <w:r w:rsidRPr="00FE10DF">
        <w:rPr>
          <w:rFonts w:ascii="Arial" w:eastAsia="Calibri" w:hAnsi="Arial" w:cs="Arial"/>
          <w:lang w:val="es-MX"/>
        </w:rPr>
        <w:t xml:space="preserve">, se dictó un proveído dentro de los autos que integran el recurso de revisión </w:t>
      </w:r>
      <w:r w:rsidRPr="00FE10DF">
        <w:rPr>
          <w:rFonts w:ascii="Arial" w:eastAsia="Calibri" w:hAnsi="Arial" w:cs="Arial"/>
          <w:b/>
          <w:lang w:val="es-MX"/>
        </w:rPr>
        <w:t>RR-</w:t>
      </w:r>
      <w:r w:rsidR="00B37305">
        <w:rPr>
          <w:rFonts w:ascii="Arial" w:eastAsia="Calibri" w:hAnsi="Arial" w:cs="Arial"/>
          <w:b/>
          <w:lang w:val="es-MX"/>
        </w:rPr>
        <w:t>412/2019-1</w:t>
      </w:r>
      <w:r w:rsidRPr="00FE10DF">
        <w:rPr>
          <w:rFonts w:ascii="Arial" w:eastAsia="Calibri" w:hAnsi="Arial" w:cs="Arial"/>
          <w:b/>
          <w:lang w:val="es-MX"/>
        </w:rPr>
        <w:t>,</w:t>
      </w:r>
      <w:r w:rsidRPr="00FE10DF">
        <w:rPr>
          <w:rFonts w:ascii="Arial" w:eastAsia="Calibri" w:hAnsi="Arial" w:cs="Arial"/>
          <w:bCs/>
          <w:lang w:val="es-MX"/>
        </w:rPr>
        <w:t xml:space="preserve"> mismo que a la letra dice:</w:t>
      </w:r>
    </w:p>
    <w:p w:rsidR="00B37305" w:rsidRPr="00B37305" w:rsidRDefault="00B37305" w:rsidP="00B37305">
      <w:pPr>
        <w:spacing w:line="276" w:lineRule="auto"/>
        <w:ind w:firstLine="567"/>
        <w:jc w:val="both"/>
        <w:rPr>
          <w:rFonts w:ascii="Arial" w:hAnsi="Arial" w:cs="Arial"/>
          <w:color w:val="5B9BD5" w:themeColor="accent1"/>
        </w:rPr>
      </w:pPr>
      <w:r w:rsidRPr="00B37305">
        <w:rPr>
          <w:rFonts w:ascii="Arial" w:hAnsi="Arial" w:cs="Arial"/>
          <w:color w:val="5B9BD5" w:themeColor="accent1"/>
        </w:rPr>
        <w:t>San Luis Potosí, San Luis Potosí, 28 veintiocho de marzo de 2022 dos mil veintidós.</w:t>
      </w:r>
    </w:p>
    <w:p w:rsidR="00B37305" w:rsidRPr="00B37305" w:rsidRDefault="00B37305" w:rsidP="00B37305">
      <w:pPr>
        <w:spacing w:line="276" w:lineRule="auto"/>
        <w:ind w:firstLine="567"/>
        <w:jc w:val="both"/>
        <w:rPr>
          <w:rFonts w:ascii="Arial" w:hAnsi="Arial" w:cs="Arial"/>
          <w:iCs/>
          <w:color w:val="5B9BD5" w:themeColor="accent1"/>
        </w:rPr>
      </w:pPr>
      <w:r w:rsidRPr="00B37305">
        <w:rPr>
          <w:rFonts w:ascii="Arial" w:hAnsi="Arial" w:cs="Arial"/>
          <w:iCs/>
          <w:color w:val="5B9BD5" w:themeColor="accent1"/>
        </w:rPr>
        <w:t xml:space="preserve">Visto el estado que guardan los presentes autos y de una revisión a las constancias que integran el expediente número </w:t>
      </w:r>
      <w:proofErr w:type="spellStart"/>
      <w:r w:rsidRPr="00B37305">
        <w:rPr>
          <w:rFonts w:ascii="Arial" w:hAnsi="Arial" w:cs="Arial"/>
          <w:b/>
          <w:bCs/>
          <w:iCs/>
          <w:color w:val="5B9BD5" w:themeColor="accent1"/>
        </w:rPr>
        <w:t>RR</w:t>
      </w:r>
      <w:proofErr w:type="spellEnd"/>
      <w:r w:rsidRPr="00B37305">
        <w:rPr>
          <w:rFonts w:ascii="Arial" w:hAnsi="Arial" w:cs="Arial"/>
          <w:b/>
          <w:bCs/>
          <w:iCs/>
          <w:color w:val="5B9BD5" w:themeColor="accent1"/>
        </w:rPr>
        <w:t>-412/2019-1</w:t>
      </w:r>
      <w:r w:rsidRPr="00B37305">
        <w:rPr>
          <w:rFonts w:ascii="Arial" w:hAnsi="Arial" w:cs="Arial"/>
          <w:iCs/>
          <w:color w:val="5B9BD5" w:themeColor="accent1"/>
        </w:rPr>
        <w:t xml:space="preserve"> 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en que se actúa.</w:t>
      </w:r>
    </w:p>
    <w:p w:rsidR="00B37305" w:rsidRPr="00B37305" w:rsidRDefault="00B37305" w:rsidP="00B37305">
      <w:pPr>
        <w:spacing w:line="276" w:lineRule="auto"/>
        <w:ind w:firstLine="567"/>
        <w:jc w:val="both"/>
        <w:rPr>
          <w:rFonts w:ascii="Arial" w:hAnsi="Arial" w:cs="Arial"/>
          <w:iCs/>
          <w:color w:val="5B9BD5" w:themeColor="accent1"/>
        </w:rPr>
      </w:pPr>
      <w:r w:rsidRPr="00B37305">
        <w:rPr>
          <w:rFonts w:ascii="Arial" w:hAnsi="Arial" w:cs="Arial"/>
          <w:iCs/>
          <w:color w:val="5B9BD5" w:themeColor="accent1"/>
        </w:rPr>
        <w:t>En primer término, resulta necesario insertar los efectos dictados en la resolución:</w:t>
      </w:r>
    </w:p>
    <w:p w:rsidR="00B37305" w:rsidRPr="00B37305" w:rsidRDefault="00B37305" w:rsidP="00B37305">
      <w:pPr>
        <w:spacing w:line="276" w:lineRule="auto"/>
        <w:ind w:firstLine="567"/>
        <w:jc w:val="both"/>
        <w:rPr>
          <w:rFonts w:ascii="Arial" w:hAnsi="Arial" w:cs="Arial"/>
          <w:i/>
          <w:color w:val="5B9BD5" w:themeColor="accent1"/>
          <w:lang w:val="es-MX"/>
        </w:rPr>
      </w:pPr>
      <w:r w:rsidRPr="00B37305">
        <w:rPr>
          <w:rFonts w:ascii="Arial" w:hAnsi="Arial" w:cs="Arial"/>
          <w:i/>
          <w:color w:val="5B9BD5" w:themeColor="accent1"/>
          <w:lang w:val="es-MX"/>
        </w:rPr>
        <w:t>“[…]</w:t>
      </w:r>
    </w:p>
    <w:p w:rsidR="00B37305" w:rsidRPr="00B37305" w:rsidRDefault="00B37305" w:rsidP="00B37305">
      <w:pPr>
        <w:spacing w:line="276" w:lineRule="auto"/>
        <w:ind w:firstLine="567"/>
        <w:jc w:val="both"/>
        <w:rPr>
          <w:rFonts w:ascii="Arial" w:hAnsi="Arial" w:cs="Arial"/>
          <w:i/>
          <w:color w:val="5B9BD5" w:themeColor="accent1"/>
          <w:lang w:val="es-MX"/>
        </w:rPr>
      </w:pPr>
      <w:r w:rsidRPr="00B37305">
        <w:rPr>
          <w:rFonts w:ascii="Arial" w:hAnsi="Arial" w:cs="Arial"/>
          <w:i/>
          <w:color w:val="5B9BD5" w:themeColor="accent1"/>
          <w:lang w:val="es-MX"/>
        </w:rPr>
        <w:t xml:space="preserve">Por las condiciones expuestas, esta Comisión Estatal de Garantía de Acceso a la Información Pública de conformidad con el artículo 175, fracción III de la Ley de Transparencia y Acceso a la Información Pública del Estado </w:t>
      </w:r>
      <w:r w:rsidRPr="00B37305">
        <w:rPr>
          <w:rFonts w:ascii="Arial" w:hAnsi="Arial" w:cs="Arial"/>
          <w:b/>
          <w:i/>
          <w:color w:val="5B9BD5" w:themeColor="accent1"/>
          <w:lang w:val="es-MX"/>
        </w:rPr>
        <w:t xml:space="preserve">MODIFICA </w:t>
      </w:r>
      <w:r w:rsidRPr="00B37305">
        <w:rPr>
          <w:rFonts w:ascii="Arial" w:hAnsi="Arial" w:cs="Arial"/>
          <w:i/>
          <w:color w:val="5B9BD5" w:themeColor="accent1"/>
          <w:lang w:val="es-MX"/>
        </w:rPr>
        <w:t>la respuesta proporcionada por el ente obligado y lo conmina para que:</w:t>
      </w:r>
    </w:p>
    <w:p w:rsidR="00B37305" w:rsidRPr="00B37305" w:rsidRDefault="00B37305" w:rsidP="00B37305">
      <w:pPr>
        <w:numPr>
          <w:ilvl w:val="0"/>
          <w:numId w:val="2"/>
        </w:numPr>
        <w:spacing w:line="276" w:lineRule="auto"/>
        <w:jc w:val="both"/>
        <w:rPr>
          <w:rFonts w:ascii="Arial" w:hAnsi="Arial" w:cs="Arial"/>
          <w:i/>
          <w:color w:val="5B9BD5" w:themeColor="accent1"/>
          <w:lang w:val="es-MX"/>
        </w:rPr>
      </w:pPr>
      <w:r w:rsidRPr="00B37305">
        <w:rPr>
          <w:rFonts w:ascii="Arial" w:hAnsi="Arial" w:cs="Arial"/>
          <w:i/>
          <w:color w:val="5B9BD5" w:themeColor="accent1"/>
          <w:lang w:val="es-MX"/>
        </w:rPr>
        <w:t>Entregue al particular la versión pública del padrón catastral con su respectivo acuerdo de reserva y el acta de aprobación del comité de transparencia.</w:t>
      </w:r>
    </w:p>
    <w:p w:rsidR="00B37305" w:rsidRPr="00B37305" w:rsidRDefault="00B37305" w:rsidP="00B37305">
      <w:pPr>
        <w:numPr>
          <w:ilvl w:val="0"/>
          <w:numId w:val="2"/>
        </w:numPr>
        <w:spacing w:line="276" w:lineRule="auto"/>
        <w:jc w:val="both"/>
        <w:rPr>
          <w:rFonts w:ascii="Arial" w:hAnsi="Arial" w:cs="Arial"/>
          <w:i/>
          <w:color w:val="5B9BD5" w:themeColor="accent1"/>
          <w:lang w:val="es-MX"/>
        </w:rPr>
      </w:pPr>
      <w:r w:rsidRPr="00B37305">
        <w:rPr>
          <w:rFonts w:ascii="Arial" w:hAnsi="Arial" w:cs="Arial"/>
          <w:i/>
          <w:color w:val="5B9BD5" w:themeColor="accent1"/>
          <w:lang w:val="es-MX"/>
        </w:rPr>
        <w:t>Entregue al particular la versión pública de los recibos de pago del impuesto predial de enero de 2019 dos mil diecinueve, acompañada del acuerdo de aprobación del comité de transparencia.</w:t>
      </w:r>
    </w:p>
    <w:p w:rsidR="00B37305" w:rsidRPr="00B37305" w:rsidRDefault="00B37305" w:rsidP="00B37305">
      <w:pPr>
        <w:spacing w:line="276" w:lineRule="auto"/>
        <w:ind w:firstLine="567"/>
        <w:jc w:val="both"/>
        <w:rPr>
          <w:rFonts w:ascii="Arial" w:hAnsi="Arial" w:cs="Arial"/>
          <w:iCs/>
          <w:color w:val="5B9BD5" w:themeColor="accent1"/>
        </w:rPr>
      </w:pPr>
      <w:r w:rsidRPr="00B37305">
        <w:rPr>
          <w:rFonts w:ascii="Arial" w:hAnsi="Arial" w:cs="Arial"/>
          <w:iCs/>
          <w:color w:val="5B9BD5" w:themeColor="accent1"/>
        </w:rPr>
        <w:t xml:space="preserve">En cumplimiento a lo anterior, el sujeto obligado presentó el oficio número </w:t>
      </w:r>
      <w:proofErr w:type="spellStart"/>
      <w:r w:rsidRPr="00B37305">
        <w:rPr>
          <w:rFonts w:ascii="Arial" w:hAnsi="Arial" w:cs="Arial"/>
          <w:iCs/>
          <w:color w:val="5B9BD5" w:themeColor="accent1"/>
        </w:rPr>
        <w:t>U.T</w:t>
      </w:r>
      <w:proofErr w:type="spellEnd"/>
      <w:r w:rsidRPr="00B37305">
        <w:rPr>
          <w:rFonts w:ascii="Arial" w:hAnsi="Arial" w:cs="Arial"/>
          <w:iCs/>
          <w:color w:val="5B9BD5" w:themeColor="accent1"/>
        </w:rPr>
        <w:t>. 2677/2020, recibido en la oficialía de partes de este cuerpo colegiado el 04 cuatro de septiembre de 2020 dos mil veinte, junto con tres anexos, uno de ellos un disco compacto, donde adjunta acerca del cumplimiento al resolutivo en análisis y en el que señaló medularmente lo siguiente:</w:t>
      </w:r>
    </w:p>
    <w:p w:rsidR="00B37305" w:rsidRPr="00B37305" w:rsidRDefault="00B37305" w:rsidP="00B37305">
      <w:pPr>
        <w:spacing w:line="276" w:lineRule="auto"/>
        <w:ind w:firstLine="567"/>
        <w:jc w:val="both"/>
        <w:rPr>
          <w:rFonts w:ascii="Arial" w:hAnsi="Arial" w:cs="Arial"/>
          <w:iCs/>
          <w:color w:val="5B9BD5" w:themeColor="accent1"/>
        </w:rPr>
      </w:pPr>
      <w:r w:rsidRPr="00B37305">
        <w:rPr>
          <w:rFonts w:ascii="Arial" w:hAnsi="Arial" w:cs="Arial"/>
          <w:iCs/>
          <w:color w:val="5B9BD5" w:themeColor="accent1"/>
        </w:rPr>
        <w:t xml:space="preserve">“[…] </w:t>
      </w:r>
      <w:r w:rsidRPr="00B37305">
        <w:rPr>
          <w:rFonts w:ascii="Arial" w:hAnsi="Arial" w:cs="Arial"/>
          <w:i/>
          <w:color w:val="5B9BD5" w:themeColor="accent1"/>
        </w:rPr>
        <w:t xml:space="preserve">Este ente obligado se encuentra realizando las gestiones necesarias para llevar a cabo de manera íntegra el cumplimiento a lo citado en el párrafo que antecede, desde girar el oficio </w:t>
      </w:r>
      <w:proofErr w:type="spellStart"/>
      <w:r w:rsidRPr="00B37305">
        <w:rPr>
          <w:rFonts w:ascii="Arial" w:hAnsi="Arial" w:cs="Arial"/>
          <w:i/>
          <w:color w:val="5B9BD5" w:themeColor="accent1"/>
        </w:rPr>
        <w:t>U.T.2402</w:t>
      </w:r>
      <w:proofErr w:type="spellEnd"/>
      <w:r w:rsidRPr="00B37305">
        <w:rPr>
          <w:rFonts w:ascii="Arial" w:hAnsi="Arial" w:cs="Arial"/>
          <w:i/>
          <w:color w:val="5B9BD5" w:themeColor="accent1"/>
        </w:rPr>
        <w:t>/2020 recabando la información de la Dirección de Ingresos con oficio TM/DI/575/</w:t>
      </w:r>
      <w:proofErr w:type="gramStart"/>
      <w:r w:rsidRPr="00B37305">
        <w:rPr>
          <w:rFonts w:ascii="Arial" w:hAnsi="Arial" w:cs="Arial"/>
          <w:i/>
          <w:color w:val="5B9BD5" w:themeColor="accent1"/>
        </w:rPr>
        <w:t>2020</w:t>
      </w:r>
      <w:r w:rsidRPr="00B37305">
        <w:rPr>
          <w:rFonts w:ascii="Arial" w:hAnsi="Arial" w:cs="Arial"/>
          <w:iCs/>
          <w:color w:val="5B9BD5" w:themeColor="accent1"/>
        </w:rPr>
        <w:t xml:space="preserve">  [</w:t>
      </w:r>
      <w:proofErr w:type="gramEnd"/>
      <w:r w:rsidRPr="00B37305">
        <w:rPr>
          <w:rFonts w:ascii="Arial" w:hAnsi="Arial" w:cs="Arial"/>
          <w:iCs/>
          <w:color w:val="5B9BD5" w:themeColor="accent1"/>
        </w:rPr>
        <w:t xml:space="preserve">…].” </w:t>
      </w:r>
    </w:p>
    <w:p w:rsidR="00B37305" w:rsidRPr="00B37305" w:rsidRDefault="00B37305" w:rsidP="00B37305">
      <w:pPr>
        <w:spacing w:line="276" w:lineRule="auto"/>
        <w:ind w:firstLine="567"/>
        <w:jc w:val="both"/>
        <w:rPr>
          <w:rFonts w:ascii="Arial" w:hAnsi="Arial" w:cs="Arial"/>
          <w:iCs/>
          <w:color w:val="5B9BD5" w:themeColor="accent1"/>
          <w:lang w:val="es-MX"/>
        </w:rPr>
      </w:pPr>
      <w:r w:rsidRPr="00B37305">
        <w:rPr>
          <w:rFonts w:ascii="Arial" w:hAnsi="Arial" w:cs="Arial"/>
          <w:iCs/>
          <w:color w:val="5B9BD5" w:themeColor="accent1"/>
          <w:lang w:val="es-MX"/>
        </w:rPr>
        <w:t>Ahora, para efecto del presente estudio es importante revisar el contenido de los anexos remitidos por el sujeto obligado (visible de foja 81 a 115 de autos), mismo que comprenden la gestión realizada por el sujeto obligado, así como, los correos electrónicos enviados al recurrente y cuyos anexos se analizan a continuación.</w:t>
      </w:r>
    </w:p>
    <w:p w:rsidR="00B37305" w:rsidRPr="00B37305" w:rsidRDefault="00B37305" w:rsidP="00B37305">
      <w:pPr>
        <w:spacing w:line="276" w:lineRule="auto"/>
        <w:ind w:firstLine="567"/>
        <w:jc w:val="both"/>
        <w:rPr>
          <w:rFonts w:ascii="Arial" w:hAnsi="Arial" w:cs="Arial"/>
          <w:iCs/>
          <w:color w:val="5B9BD5" w:themeColor="accent1"/>
        </w:rPr>
      </w:pPr>
    </w:p>
    <w:p w:rsidR="00B37305" w:rsidRPr="00B37305" w:rsidRDefault="00B37305" w:rsidP="00B37305">
      <w:pPr>
        <w:spacing w:line="276" w:lineRule="auto"/>
        <w:ind w:firstLine="567"/>
        <w:jc w:val="both"/>
        <w:rPr>
          <w:rFonts w:ascii="Arial" w:hAnsi="Arial" w:cs="Arial"/>
          <w:iCs/>
          <w:color w:val="5B9BD5" w:themeColor="accent1"/>
        </w:rPr>
      </w:pPr>
      <w:r w:rsidRPr="00B37305">
        <w:rPr>
          <w:rFonts w:ascii="Arial" w:hAnsi="Arial" w:cs="Arial"/>
          <w:iCs/>
          <w:color w:val="5B9BD5" w:themeColor="accent1"/>
        </w:rPr>
        <w:lastRenderedPageBreak/>
        <w:t>Pues bien, de las constancias remitidas por el sujeto obligado se puede advertir que mediante el oficio</w:t>
      </w:r>
      <w:r w:rsidRPr="00B37305">
        <w:rPr>
          <w:rFonts w:ascii="Arial" w:hAnsi="Arial" w:cs="Arial"/>
          <w:color w:val="5B9BD5" w:themeColor="accent1"/>
        </w:rPr>
        <w:t xml:space="preserve"> </w:t>
      </w:r>
      <w:proofErr w:type="spellStart"/>
      <w:r w:rsidRPr="00B37305">
        <w:rPr>
          <w:rFonts w:ascii="Arial" w:hAnsi="Arial" w:cs="Arial"/>
          <w:iCs/>
          <w:color w:val="5B9BD5" w:themeColor="accent1"/>
        </w:rPr>
        <w:t>U.T.2402</w:t>
      </w:r>
      <w:proofErr w:type="spellEnd"/>
      <w:r w:rsidRPr="00B37305">
        <w:rPr>
          <w:rFonts w:ascii="Arial" w:hAnsi="Arial" w:cs="Arial"/>
          <w:iCs/>
          <w:color w:val="5B9BD5" w:themeColor="accent1"/>
        </w:rPr>
        <w:t>/2020, se hace del conocimiento del recurrente las gestiones realizadas por la Unidad de Transparencia del Municipio de San Luis Potosí.</w:t>
      </w:r>
    </w:p>
    <w:p w:rsidR="00B37305" w:rsidRPr="00B37305" w:rsidRDefault="00B37305" w:rsidP="00B37305">
      <w:pPr>
        <w:spacing w:line="276" w:lineRule="auto"/>
        <w:ind w:firstLine="567"/>
        <w:jc w:val="both"/>
        <w:rPr>
          <w:rFonts w:ascii="Arial" w:hAnsi="Arial" w:cs="Arial"/>
          <w:iCs/>
          <w:color w:val="5B9BD5" w:themeColor="accent1"/>
        </w:rPr>
      </w:pPr>
      <w:r w:rsidRPr="00B37305">
        <w:rPr>
          <w:rFonts w:ascii="Arial" w:hAnsi="Arial" w:cs="Arial"/>
          <w:iCs/>
          <w:color w:val="5B9BD5" w:themeColor="accent1"/>
        </w:rPr>
        <w:t>Por otro lado, se advierte que dentro de los oficios contenidos dentro del informe rendido por el sujeto obligado también se encuentra Oficio de número TM/DI/1412/2019-1 de fecha 04 cuatro de septiembre de 2020 mediante el cual el Director de Ingresos del H. Ayuntamiento de San Luis Potosí pretende dar debida contestación al presente recurso. Es preciso mencionar que en este oficio se encuentran las instrucciones claras para que el recurrente pueda acceder a la información previamente solicitada. Dicho oficio es visible a fojas 83 a 112 de autos.</w:t>
      </w:r>
    </w:p>
    <w:p w:rsidR="00B37305" w:rsidRPr="00B37305" w:rsidRDefault="00B37305" w:rsidP="00B37305">
      <w:pPr>
        <w:spacing w:line="276" w:lineRule="auto"/>
        <w:ind w:firstLine="567"/>
        <w:jc w:val="both"/>
        <w:rPr>
          <w:rFonts w:ascii="Arial" w:hAnsi="Arial" w:cs="Arial"/>
          <w:iCs/>
          <w:color w:val="5B9BD5" w:themeColor="accent1"/>
        </w:rPr>
      </w:pPr>
      <w:r w:rsidRPr="00B37305">
        <w:rPr>
          <w:rFonts w:ascii="Arial" w:hAnsi="Arial" w:cs="Arial"/>
          <w:iCs/>
          <w:color w:val="5B9BD5" w:themeColor="accent1"/>
        </w:rPr>
        <w:t>Así pues, el sujeto obligado también adjuntó las constancias que acreditan la notificación al recurrente, misma que fue realizada vía correo electrónico proporcionado por el recurrente para oír y recibir notificaciones, las cuales se encuentran visibles a foja 113 y 114 de autos.</w:t>
      </w:r>
    </w:p>
    <w:p w:rsidR="00B37305" w:rsidRPr="00B37305" w:rsidRDefault="00B37305" w:rsidP="00B37305">
      <w:pPr>
        <w:spacing w:line="276" w:lineRule="auto"/>
        <w:ind w:firstLine="567"/>
        <w:jc w:val="both"/>
        <w:rPr>
          <w:rFonts w:ascii="Arial" w:hAnsi="Arial" w:cs="Arial"/>
          <w:iCs/>
          <w:color w:val="5B9BD5" w:themeColor="accent1"/>
        </w:rPr>
      </w:pPr>
      <w:r w:rsidRPr="00B37305">
        <w:rPr>
          <w:rFonts w:ascii="Arial" w:hAnsi="Arial" w:cs="Arial"/>
          <w:iCs/>
          <w:color w:val="5B9BD5" w:themeColor="accent1"/>
        </w:rPr>
        <w:t>De tal suerte, como se puede observar, se tiene que las documentales remitidas por el sujeto obligado, son suficientes para colmar los extremos fijados en la resolución de mérito y por tanto se encuentra cumplida.</w:t>
      </w:r>
    </w:p>
    <w:p w:rsidR="00B37305" w:rsidRPr="00B37305" w:rsidRDefault="00B37305" w:rsidP="00B37305">
      <w:pPr>
        <w:spacing w:line="276" w:lineRule="auto"/>
        <w:ind w:firstLine="567"/>
        <w:jc w:val="both"/>
        <w:rPr>
          <w:rFonts w:ascii="Arial" w:hAnsi="Arial" w:cs="Arial"/>
          <w:iCs/>
          <w:color w:val="5B9BD5" w:themeColor="accent1"/>
        </w:rPr>
      </w:pPr>
      <w:r w:rsidRPr="00B37305">
        <w:rPr>
          <w:rFonts w:ascii="Arial" w:hAnsi="Arial" w:cs="Arial"/>
          <w:iCs/>
          <w:color w:val="5B9BD5" w:themeColor="accent1"/>
        </w:rPr>
        <w:t>Por otro lado, esta Comisión por medio de proveído de fecha 15 quince de diciembre de 2020 dos mil veinte, dio vista a la parte recurrente con las constancias remitidas por el sujeto obligado, para el efecto de que realizara las manifestaciones que a sus intereses conviniera, sin que hubiera realizado manifestación alguna al respecto, aun cuando fue debidamente notificado.</w:t>
      </w:r>
    </w:p>
    <w:p w:rsidR="00B37305" w:rsidRPr="00B37305" w:rsidRDefault="00B37305" w:rsidP="00B37305">
      <w:pPr>
        <w:spacing w:line="276" w:lineRule="auto"/>
        <w:ind w:firstLine="567"/>
        <w:jc w:val="both"/>
        <w:rPr>
          <w:rFonts w:ascii="Arial" w:hAnsi="Arial" w:cs="Arial"/>
          <w:iCs/>
          <w:color w:val="5B9BD5" w:themeColor="accent1"/>
        </w:rPr>
      </w:pPr>
      <w:r w:rsidRPr="00B37305">
        <w:rPr>
          <w:rFonts w:ascii="Arial" w:hAnsi="Arial" w:cs="Arial"/>
          <w:iCs/>
          <w:color w:val="5B9BD5" w:themeColor="accent1"/>
        </w:rPr>
        <w:t xml:space="preserve">En ese sentido, es dable asentar que no existe constancia alguna agregada a los autos que contravenga las documentales remitidas por el sujeto obligado para acreditar el cumplimiento de la resolución. </w:t>
      </w:r>
    </w:p>
    <w:p w:rsidR="00B37305" w:rsidRPr="00B37305" w:rsidRDefault="00B37305" w:rsidP="00B37305">
      <w:pPr>
        <w:spacing w:line="276" w:lineRule="auto"/>
        <w:ind w:firstLine="567"/>
        <w:jc w:val="both"/>
        <w:rPr>
          <w:rFonts w:ascii="Arial" w:hAnsi="Arial" w:cs="Arial"/>
          <w:b/>
          <w:iCs/>
          <w:color w:val="5B9BD5" w:themeColor="accent1"/>
        </w:rPr>
      </w:pPr>
      <w:r w:rsidRPr="00B37305">
        <w:rPr>
          <w:rFonts w:ascii="Arial" w:hAnsi="Arial" w:cs="Arial"/>
          <w:iCs/>
          <w:color w:val="5B9BD5" w:themeColor="accent1"/>
        </w:rPr>
        <w:t xml:space="preserve">En consecuencia, por lo anteriormente expuesto y con fundamento en los artículos 27° primer párrafo y 185 de la Ley de Transparencia y Acceso a la Información Pública del Estado, </w:t>
      </w:r>
      <w:r w:rsidRPr="00B37305">
        <w:rPr>
          <w:rFonts w:ascii="Arial" w:hAnsi="Arial" w:cs="Arial"/>
          <w:b/>
          <w:iCs/>
          <w:color w:val="5B9BD5" w:themeColor="accent1"/>
        </w:rPr>
        <w:t xml:space="preserve">se tiene por cumplida la resolución, dictada en el recurso de revisión </w:t>
      </w:r>
      <w:proofErr w:type="spellStart"/>
      <w:r w:rsidRPr="00B37305">
        <w:rPr>
          <w:rFonts w:ascii="Arial" w:hAnsi="Arial" w:cs="Arial"/>
          <w:b/>
          <w:iCs/>
          <w:color w:val="5B9BD5" w:themeColor="accent1"/>
        </w:rPr>
        <w:t>RR</w:t>
      </w:r>
      <w:proofErr w:type="spellEnd"/>
      <w:r w:rsidRPr="00B37305">
        <w:rPr>
          <w:rFonts w:ascii="Arial" w:hAnsi="Arial" w:cs="Arial"/>
          <w:b/>
          <w:iCs/>
          <w:color w:val="5B9BD5" w:themeColor="accent1"/>
        </w:rPr>
        <w:t>-412/2019-1.</w:t>
      </w:r>
    </w:p>
    <w:p w:rsidR="00B37305" w:rsidRPr="00B37305" w:rsidRDefault="00B37305" w:rsidP="00B37305">
      <w:pPr>
        <w:spacing w:line="276" w:lineRule="auto"/>
        <w:ind w:firstLine="567"/>
        <w:jc w:val="both"/>
        <w:rPr>
          <w:rFonts w:ascii="Arial" w:hAnsi="Arial" w:cs="Arial"/>
          <w:iCs/>
          <w:color w:val="5B9BD5" w:themeColor="accent1"/>
        </w:rPr>
      </w:pPr>
      <w:r w:rsidRPr="00B37305">
        <w:rPr>
          <w:rFonts w:ascii="Arial" w:hAnsi="Arial" w:cs="Arial"/>
          <w:iCs/>
          <w:color w:val="5B9BD5" w:themeColor="accent1"/>
        </w:rPr>
        <w:t xml:space="preserve"> Por último, archívese en su oportunidad este expediente como asunto totalmente concluido. </w:t>
      </w:r>
      <w:r w:rsidRPr="00B37305">
        <w:rPr>
          <w:rFonts w:ascii="Arial" w:hAnsi="Arial" w:cs="Arial"/>
          <w:b/>
          <w:iCs/>
          <w:color w:val="5B9BD5" w:themeColor="accent1"/>
        </w:rPr>
        <w:t>Notifíquese por lista y personalmente a las partes.</w:t>
      </w:r>
    </w:p>
    <w:p w:rsidR="00BD4366" w:rsidRPr="00B37305" w:rsidRDefault="00BD4366" w:rsidP="00B37305">
      <w:pPr>
        <w:spacing w:line="276" w:lineRule="auto"/>
        <w:ind w:firstLine="567"/>
        <w:jc w:val="both"/>
        <w:rPr>
          <w:rFonts w:ascii="Arial" w:hAnsi="Arial" w:cs="Arial"/>
          <w:color w:val="5B9BD5" w:themeColor="accent1"/>
          <w:lang w:val="es-MX"/>
        </w:rPr>
      </w:pPr>
    </w:p>
    <w:p w:rsidR="00FE10DF" w:rsidRDefault="00BD4366" w:rsidP="00BD4366">
      <w:pPr>
        <w:tabs>
          <w:tab w:val="left" w:pos="932"/>
        </w:tabs>
        <w:spacing w:after="200" w:line="276" w:lineRule="auto"/>
        <w:jc w:val="both"/>
        <w:rPr>
          <w:rFonts w:ascii="Arial" w:eastAsia="Calibri" w:hAnsi="Arial" w:cs="Arial"/>
          <w:sz w:val="20"/>
          <w:szCs w:val="18"/>
          <w:lang w:val="es-MX"/>
        </w:rPr>
      </w:pPr>
      <w:r w:rsidRPr="00FE10DF">
        <w:rPr>
          <w:rFonts w:ascii="Arial" w:eastAsia="Calibri" w:hAnsi="Arial" w:cs="Arial"/>
          <w:sz w:val="20"/>
          <w:szCs w:val="18"/>
          <w:lang w:val="es-MX"/>
        </w:rPr>
        <w:t xml:space="preserve">         </w:t>
      </w:r>
    </w:p>
    <w:p w:rsidR="00BD4366" w:rsidRPr="00FE10DF" w:rsidRDefault="00BD4366" w:rsidP="00BD4366">
      <w:pPr>
        <w:tabs>
          <w:tab w:val="left" w:pos="932"/>
        </w:tabs>
        <w:spacing w:after="200" w:line="276" w:lineRule="auto"/>
        <w:jc w:val="both"/>
        <w:rPr>
          <w:rFonts w:ascii="Arial" w:eastAsia="Calibri" w:hAnsi="Arial" w:cs="Arial"/>
          <w:szCs w:val="18"/>
          <w:lang w:val="es-MX"/>
        </w:rPr>
      </w:pPr>
      <w:r w:rsidRPr="00FE10DF">
        <w:rPr>
          <w:rFonts w:ascii="Arial" w:eastAsia="Calibri" w:hAnsi="Arial" w:cs="Arial"/>
          <w:szCs w:val="18"/>
          <w:lang w:val="es-MX"/>
        </w:rPr>
        <w:t xml:space="preserve">    Lo que transcribo a Usted para su conocimiento y efectos legales consiguientes en vía de notificación del auto inserto.</w:t>
      </w:r>
    </w:p>
    <w:p w:rsidR="00BD4366" w:rsidRPr="00FE10DF" w:rsidRDefault="00BD4366" w:rsidP="00BD4366">
      <w:pPr>
        <w:spacing w:after="0" w:line="240" w:lineRule="auto"/>
        <w:jc w:val="center"/>
        <w:rPr>
          <w:rFonts w:ascii="Arial" w:eastAsia="Times New Roman" w:hAnsi="Arial" w:cs="Arial"/>
          <w:b/>
          <w:szCs w:val="24"/>
          <w:lang w:val="es-MX" w:eastAsia="es-ES"/>
        </w:rPr>
      </w:pPr>
      <w:r w:rsidRPr="00FE10DF">
        <w:rPr>
          <w:rFonts w:ascii="Arial" w:eastAsia="Times New Roman" w:hAnsi="Arial" w:cs="Arial"/>
          <w:b/>
          <w:szCs w:val="24"/>
          <w:lang w:val="es-MX" w:eastAsia="es-ES"/>
        </w:rPr>
        <w:t>Atentamente.</w:t>
      </w:r>
    </w:p>
    <w:p w:rsidR="00BD4366" w:rsidRPr="00FE10DF" w:rsidRDefault="00BD4366" w:rsidP="00BD4366">
      <w:pPr>
        <w:spacing w:after="0" w:line="240" w:lineRule="auto"/>
        <w:rPr>
          <w:rFonts w:ascii="Arial" w:eastAsia="Times New Roman" w:hAnsi="Arial" w:cs="Arial"/>
          <w:b/>
          <w:szCs w:val="24"/>
          <w:lang w:val="es-MX" w:eastAsia="es-ES"/>
        </w:rPr>
      </w:pPr>
    </w:p>
    <w:p w:rsidR="00BD4366" w:rsidRPr="00FE10DF" w:rsidRDefault="00BD4366" w:rsidP="00BD4366">
      <w:pPr>
        <w:spacing w:after="0" w:line="240" w:lineRule="auto"/>
        <w:rPr>
          <w:rFonts w:ascii="Arial" w:eastAsia="Times New Roman" w:hAnsi="Arial" w:cs="Arial"/>
          <w:b/>
          <w:szCs w:val="24"/>
          <w:lang w:val="es-MX" w:eastAsia="es-ES"/>
        </w:rPr>
      </w:pPr>
    </w:p>
    <w:p w:rsidR="00BD4366" w:rsidRPr="00FE10DF" w:rsidRDefault="00BD4366" w:rsidP="00FE10DF">
      <w:pPr>
        <w:spacing w:after="0" w:line="276" w:lineRule="auto"/>
        <w:jc w:val="center"/>
        <w:rPr>
          <w:rFonts w:ascii="Arial" w:eastAsia="Calibri" w:hAnsi="Arial" w:cs="Arial"/>
          <w:b/>
          <w:lang w:val="es-MX"/>
        </w:rPr>
      </w:pPr>
      <w:r w:rsidRPr="00FE10DF">
        <w:rPr>
          <w:rFonts w:ascii="Arial" w:eastAsia="Calibri" w:hAnsi="Arial" w:cs="Arial"/>
          <w:b/>
          <w:lang w:val="es-MX"/>
        </w:rPr>
        <w:t>Javier Pérez Limón</w:t>
      </w:r>
    </w:p>
    <w:p w:rsidR="00BD4366" w:rsidRPr="00FE10DF" w:rsidRDefault="00BD4366" w:rsidP="00FE10DF">
      <w:pPr>
        <w:spacing w:after="0"/>
        <w:jc w:val="center"/>
        <w:rPr>
          <w:lang w:val="es-MX"/>
        </w:rPr>
      </w:pPr>
      <w:r w:rsidRPr="00FE10DF">
        <w:rPr>
          <w:rFonts w:ascii="Arial" w:eastAsia="Calibri" w:hAnsi="Arial" w:cs="Arial"/>
          <w:b/>
          <w:lang w:val="es-MX"/>
        </w:rPr>
        <w:t>Notificador</w:t>
      </w:r>
    </w:p>
    <w:p w:rsidR="00BD4366" w:rsidRPr="00E94495" w:rsidRDefault="00BD4366" w:rsidP="00BD4366">
      <w:pPr>
        <w:rPr>
          <w:lang w:val="es-MX"/>
        </w:rPr>
      </w:pPr>
    </w:p>
    <w:p w:rsidR="000A404C" w:rsidRPr="005A47D6" w:rsidRDefault="00F61E56">
      <w:pPr>
        <w:rPr>
          <w:lang w:val="es-MX"/>
        </w:rPr>
      </w:pPr>
    </w:p>
    <w:sectPr w:rsidR="000A404C" w:rsidRPr="005A47D6" w:rsidSect="005A47D6">
      <w:headerReference w:type="default" r:id="rId7"/>
      <w:pgSz w:w="12240" w:h="20160" w:code="5"/>
      <w:pgMar w:top="2835" w:right="851" w:bottom="2552"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F61E56" w:rsidRDefault="00F61E56" w:rsidP="005A47D6">
      <w:pPr>
        <w:spacing w:after="0" w:line="240" w:lineRule="auto"/>
      </w:pPr>
      <w:r>
        <w:separator/>
      </w:r>
    </w:p>
  </w:endnote>
  <w:endnote w:type="continuationSeparator" w:id="0">
    <w:p w:rsidR="00F61E56" w:rsidRDefault="00F61E56" w:rsidP="005A47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F61E56" w:rsidRDefault="00F61E56" w:rsidP="005A47D6">
      <w:pPr>
        <w:spacing w:after="0" w:line="240" w:lineRule="auto"/>
      </w:pPr>
      <w:r>
        <w:separator/>
      </w:r>
    </w:p>
  </w:footnote>
  <w:footnote w:type="continuationSeparator" w:id="0">
    <w:p w:rsidR="00F61E56" w:rsidRDefault="00F61E56" w:rsidP="005A47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FE10DF" w:rsidRPr="00FE10DF" w:rsidRDefault="00FE10DF" w:rsidP="00FE10DF">
    <w:pPr>
      <w:pStyle w:val="Piedepgina"/>
      <w:rPr>
        <w:i/>
      </w:rPr>
    </w:pPr>
    <w:r w:rsidRPr="00FE10DF">
      <w:rPr>
        <w:rFonts w:ascii="Arial" w:hAnsi="Arial" w:cs="Arial"/>
        <w:i/>
        <w:color w:val="222222"/>
        <w:shd w:val="clear" w:color="auto" w:fill="FFFFFF"/>
      </w:rPr>
      <w:t>2022, AÑO DE LAS Y LOS MIGRANTES DE SAN LUIS POTOSÍ</w:t>
    </w:r>
  </w:p>
  <w:p w:rsidR="005A47D6" w:rsidRPr="005A47D6" w:rsidRDefault="005A47D6">
    <w:pPr>
      <w:pStyle w:val="Encabezado"/>
      <w:rPr>
        <w:rFonts w:ascii="Arial" w:hAnsi="Arial" w:cs="Arial"/>
        <w:b/>
        <w:sz w:val="24"/>
        <w:szCs w:val="24"/>
        <w:lang w:val="es-MX"/>
      </w:rPr>
    </w:pPr>
    <w:r>
      <w:rPr>
        <w:rFonts w:ascii="Arial" w:hAnsi="Arial" w:cs="Arial"/>
        <w:b/>
        <w:sz w:val="24"/>
        <w:szCs w:val="24"/>
        <w:lang w:val="es-MX"/>
      </w:rPr>
      <w:t xml:space="preserve">                                                                                  RR-</w:t>
    </w:r>
    <w:r w:rsidR="00B37305">
      <w:rPr>
        <w:rFonts w:ascii="Arial" w:hAnsi="Arial" w:cs="Arial"/>
        <w:b/>
        <w:sz w:val="24"/>
        <w:szCs w:val="24"/>
        <w:lang w:val="es-MX"/>
      </w:rPr>
      <w:t>412/2019-1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1" w15:restartNumberingAfterBreak="0">
    <w:nsid w:val="472D453B"/>
    <w:multiLevelType w:val="hybridMultilevel"/>
    <w:tmpl w:val="432436BA"/>
    <w:lvl w:ilvl="0" w:tplc="080A0001">
      <w:start w:val="1"/>
      <w:numFmt w:val="bullet"/>
      <w:lvlText w:val=""/>
      <w:lvlJc w:val="left"/>
      <w:pPr>
        <w:ind w:left="790" w:hanging="360"/>
      </w:pPr>
      <w:rPr>
        <w:rFonts w:ascii="Symbol" w:hAnsi="Symbol" w:hint="default"/>
      </w:rPr>
    </w:lvl>
    <w:lvl w:ilvl="1" w:tplc="080A0003" w:tentative="1">
      <w:start w:val="1"/>
      <w:numFmt w:val="bullet"/>
      <w:lvlText w:val="o"/>
      <w:lvlJc w:val="left"/>
      <w:pPr>
        <w:ind w:left="1510" w:hanging="360"/>
      </w:pPr>
      <w:rPr>
        <w:rFonts w:ascii="Courier New" w:hAnsi="Courier New" w:cs="Courier New" w:hint="default"/>
      </w:rPr>
    </w:lvl>
    <w:lvl w:ilvl="2" w:tplc="080A0005" w:tentative="1">
      <w:start w:val="1"/>
      <w:numFmt w:val="bullet"/>
      <w:lvlText w:val=""/>
      <w:lvlJc w:val="left"/>
      <w:pPr>
        <w:ind w:left="2230" w:hanging="360"/>
      </w:pPr>
      <w:rPr>
        <w:rFonts w:ascii="Wingdings" w:hAnsi="Wingdings" w:hint="default"/>
      </w:rPr>
    </w:lvl>
    <w:lvl w:ilvl="3" w:tplc="080A0001" w:tentative="1">
      <w:start w:val="1"/>
      <w:numFmt w:val="bullet"/>
      <w:lvlText w:val=""/>
      <w:lvlJc w:val="left"/>
      <w:pPr>
        <w:ind w:left="2950" w:hanging="360"/>
      </w:pPr>
      <w:rPr>
        <w:rFonts w:ascii="Symbol" w:hAnsi="Symbol" w:hint="default"/>
      </w:rPr>
    </w:lvl>
    <w:lvl w:ilvl="4" w:tplc="080A0003" w:tentative="1">
      <w:start w:val="1"/>
      <w:numFmt w:val="bullet"/>
      <w:lvlText w:val="o"/>
      <w:lvlJc w:val="left"/>
      <w:pPr>
        <w:ind w:left="3670" w:hanging="360"/>
      </w:pPr>
      <w:rPr>
        <w:rFonts w:ascii="Courier New" w:hAnsi="Courier New" w:cs="Courier New" w:hint="default"/>
      </w:rPr>
    </w:lvl>
    <w:lvl w:ilvl="5" w:tplc="080A0005" w:tentative="1">
      <w:start w:val="1"/>
      <w:numFmt w:val="bullet"/>
      <w:lvlText w:val=""/>
      <w:lvlJc w:val="left"/>
      <w:pPr>
        <w:ind w:left="4390" w:hanging="360"/>
      </w:pPr>
      <w:rPr>
        <w:rFonts w:ascii="Wingdings" w:hAnsi="Wingdings" w:hint="default"/>
      </w:rPr>
    </w:lvl>
    <w:lvl w:ilvl="6" w:tplc="080A0001" w:tentative="1">
      <w:start w:val="1"/>
      <w:numFmt w:val="bullet"/>
      <w:lvlText w:val=""/>
      <w:lvlJc w:val="left"/>
      <w:pPr>
        <w:ind w:left="5110" w:hanging="360"/>
      </w:pPr>
      <w:rPr>
        <w:rFonts w:ascii="Symbol" w:hAnsi="Symbol" w:hint="default"/>
      </w:rPr>
    </w:lvl>
    <w:lvl w:ilvl="7" w:tplc="080A0003" w:tentative="1">
      <w:start w:val="1"/>
      <w:numFmt w:val="bullet"/>
      <w:lvlText w:val="o"/>
      <w:lvlJc w:val="left"/>
      <w:pPr>
        <w:ind w:left="5830" w:hanging="360"/>
      </w:pPr>
      <w:rPr>
        <w:rFonts w:ascii="Courier New" w:hAnsi="Courier New" w:cs="Courier New" w:hint="default"/>
      </w:rPr>
    </w:lvl>
    <w:lvl w:ilvl="8" w:tplc="080A0005" w:tentative="1">
      <w:start w:val="1"/>
      <w:numFmt w:val="bullet"/>
      <w:lvlText w:val=""/>
      <w:lvlJc w:val="left"/>
      <w:pPr>
        <w:ind w:left="655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7"/>
  <w:mirrorMargins/>
  <w:proofState w:spelling="clean"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7305"/>
    <w:rsid w:val="000F0B5C"/>
    <w:rsid w:val="00192149"/>
    <w:rsid w:val="001F39C4"/>
    <w:rsid w:val="001F64E6"/>
    <w:rsid w:val="00217E18"/>
    <w:rsid w:val="003073AA"/>
    <w:rsid w:val="00336320"/>
    <w:rsid w:val="003427A6"/>
    <w:rsid w:val="003679C1"/>
    <w:rsid w:val="00385A2A"/>
    <w:rsid w:val="003C59FC"/>
    <w:rsid w:val="003F0712"/>
    <w:rsid w:val="004D47D7"/>
    <w:rsid w:val="00525DCB"/>
    <w:rsid w:val="00553665"/>
    <w:rsid w:val="005A47D6"/>
    <w:rsid w:val="005D178C"/>
    <w:rsid w:val="006444D1"/>
    <w:rsid w:val="006A2932"/>
    <w:rsid w:val="006C5C84"/>
    <w:rsid w:val="00711A63"/>
    <w:rsid w:val="007753D2"/>
    <w:rsid w:val="007B53A2"/>
    <w:rsid w:val="007E609A"/>
    <w:rsid w:val="00B37305"/>
    <w:rsid w:val="00B40163"/>
    <w:rsid w:val="00B579DD"/>
    <w:rsid w:val="00B8398F"/>
    <w:rsid w:val="00BA592B"/>
    <w:rsid w:val="00BD4366"/>
    <w:rsid w:val="00BF672C"/>
    <w:rsid w:val="00C523D0"/>
    <w:rsid w:val="00D1597D"/>
    <w:rsid w:val="00E00ED9"/>
    <w:rsid w:val="00E22421"/>
    <w:rsid w:val="00F61E56"/>
    <w:rsid w:val="00F90264"/>
    <w:rsid w:val="00F9181C"/>
    <w:rsid w:val="00FE0120"/>
    <w:rsid w:val="00FE10DF"/>
    <w:rsid w:val="00FF41A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65799D"/>
  <w15:chartTrackingRefBased/>
  <w15:docId w15:val="{BEDEC89C-CCF2-3740-BFA6-95114AFE1D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47D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A47D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A47D6"/>
  </w:style>
  <w:style w:type="paragraph" w:styleId="Piedepgina">
    <w:name w:val="footer"/>
    <w:basedOn w:val="Normal"/>
    <w:link w:val="PiedepginaCar"/>
    <w:uiPriority w:val="99"/>
    <w:unhideWhenUsed/>
    <w:rsid w:val="005A47D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A47D6"/>
  </w:style>
  <w:style w:type="paragraph" w:styleId="Textodeglobo">
    <w:name w:val="Balloon Text"/>
    <w:basedOn w:val="Normal"/>
    <w:link w:val="TextodegloboCar"/>
    <w:uiPriority w:val="99"/>
    <w:semiHidden/>
    <w:unhideWhenUsed/>
    <w:rsid w:val="0033632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36320"/>
    <w:rPr>
      <w:rFonts w:ascii="Segoe UI" w:hAnsi="Segoe UI" w:cs="Segoe UI"/>
      <w:sz w:val="18"/>
      <w:szCs w:val="18"/>
    </w:rPr>
  </w:style>
  <w:style w:type="paragraph" w:styleId="NormalWeb">
    <w:name w:val="Normal (Web)"/>
    <w:basedOn w:val="Normal"/>
    <w:uiPriority w:val="99"/>
    <w:unhideWhenUsed/>
    <w:rsid w:val="003C59FC"/>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corte4fondoCar1">
    <w:name w:val="corte4 fondo Car1"/>
    <w:link w:val="corte4fondo"/>
    <w:locked/>
    <w:rsid w:val="003C59FC"/>
    <w:rPr>
      <w:rFonts w:ascii="Arial" w:eastAsia="Times New Roman" w:hAnsi="Arial"/>
      <w:sz w:val="30"/>
    </w:rPr>
  </w:style>
  <w:style w:type="paragraph" w:customStyle="1" w:styleId="corte4fondo">
    <w:name w:val="corte4 fondo"/>
    <w:basedOn w:val="Normal"/>
    <w:link w:val="corte4fondoCar1"/>
    <w:qFormat/>
    <w:rsid w:val="003C59FC"/>
    <w:pPr>
      <w:spacing w:after="0" w:line="360" w:lineRule="auto"/>
      <w:ind w:firstLine="709"/>
      <w:jc w:val="both"/>
    </w:pPr>
    <w:rPr>
      <w:rFonts w:ascii="Arial" w:eastAsia="Times New Roman" w:hAnsi="Arial"/>
      <w:sz w:val="30"/>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3C59FC"/>
    <w:pPr>
      <w:spacing w:after="0" w:line="240" w:lineRule="auto"/>
    </w:pPr>
    <w:rPr>
      <w:rFonts w:ascii="Calibri" w:eastAsia="Calibri" w:hAnsi="Calibri" w:cs="Times New Roman"/>
      <w:sz w:val="20"/>
      <w:szCs w:val="20"/>
      <w:lang w:val="es-MX"/>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3C59FC"/>
    <w:rPr>
      <w:rFonts w:ascii="Calibri" w:eastAsia="Calibri" w:hAnsi="Calibri" w:cs="Times New Roman"/>
      <w:sz w:val="20"/>
      <w:szCs w:val="20"/>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oficinavirtual/Library/Group%20Containers/UBF8T346G9.Office/User%20Content.localized/Templates.localized/OFICIO%20VERO.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OFICIO VERO.dotx</Template>
  <TotalTime>9</TotalTime>
  <Pages>2</Pages>
  <Words>774</Words>
  <Characters>4261</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5025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YOALIT AMBRIZ HERNANDEZ</cp:lastModifiedBy>
  <cp:revision>2</cp:revision>
  <cp:lastPrinted>2022-03-10T18:25:00Z</cp:lastPrinted>
  <dcterms:created xsi:type="dcterms:W3CDTF">2022-03-31T20:02:00Z</dcterms:created>
  <dcterms:modified xsi:type="dcterms:W3CDTF">2022-04-01T00:21:00Z</dcterms:modified>
</cp:coreProperties>
</file>