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EA0" w:rsidRDefault="008D6EA0" w:rsidP="008401A8">
      <w:pPr>
        <w:spacing w:line="240" w:lineRule="auto"/>
        <w:rPr>
          <w:rFonts w:ascii="Calibri" w:eastAsia="Times New Roman" w:hAnsi="Calibri" w:cs="Times New Roman"/>
          <w:color w:val="000000"/>
          <w:lang w:val="es-419" w:eastAsia="es-MX"/>
        </w:rPr>
      </w:pPr>
      <w:r>
        <w:rPr>
          <w:rFonts w:ascii="Calibri" w:eastAsia="Times New Roman" w:hAnsi="Calibri" w:cs="Times New Roman"/>
          <w:color w:val="000000"/>
          <w:lang w:val="es-419" w:eastAsia="es-MX"/>
        </w:rPr>
        <w:t>Art. 85 Frac. II</w:t>
      </w:r>
    </w:p>
    <w:p w:rsidR="008401A8" w:rsidRPr="008401A8" w:rsidRDefault="008401A8" w:rsidP="008401A8">
      <w:pPr>
        <w:spacing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8401A8">
        <w:rPr>
          <w:rFonts w:ascii="Calibri" w:eastAsia="Times New Roman" w:hAnsi="Calibri" w:cs="Times New Roman"/>
          <w:color w:val="000000"/>
          <w:lang w:eastAsia="es-MX"/>
        </w:rPr>
        <w:t>Este sujeto obligado si está facultado para generar la</w:t>
      </w:r>
      <w:r w:rsidR="008D6EA0">
        <w:rPr>
          <w:rFonts w:ascii="Calibri" w:eastAsia="Times New Roman" w:hAnsi="Calibri" w:cs="Times New Roman"/>
          <w:color w:val="000000"/>
          <w:lang w:val="es-419" w:eastAsia="es-MX"/>
        </w:rPr>
        <w:t xml:space="preserve"> </w:t>
      </w:r>
      <w:r w:rsidR="008D6EA0" w:rsidRPr="008401A8">
        <w:rPr>
          <w:rFonts w:ascii="Calibri" w:eastAsia="Times New Roman" w:hAnsi="Calibri" w:cs="Times New Roman"/>
          <w:color w:val="000000"/>
          <w:lang w:eastAsia="es-MX"/>
        </w:rPr>
        <w:t>información</w:t>
      </w:r>
      <w:r w:rsidRPr="008401A8">
        <w:rPr>
          <w:rFonts w:ascii="Calibri" w:eastAsia="Times New Roman" w:hAnsi="Calibri" w:cs="Times New Roman"/>
          <w:color w:val="000000"/>
          <w:lang w:eastAsia="es-MX"/>
        </w:rPr>
        <w:t xml:space="preserve"> requerida, lo anterior con fundamento en el Art. 19 de la Ley de transparencia y acceso a la </w:t>
      </w:r>
      <w:r w:rsidR="008D6EA0" w:rsidRPr="008401A8">
        <w:rPr>
          <w:rFonts w:ascii="Calibri" w:eastAsia="Times New Roman" w:hAnsi="Calibri" w:cs="Times New Roman"/>
          <w:color w:val="000000"/>
          <w:lang w:eastAsia="es-MX"/>
        </w:rPr>
        <w:t>información</w:t>
      </w:r>
      <w:r w:rsidRPr="008401A8">
        <w:rPr>
          <w:rFonts w:ascii="Calibri" w:eastAsia="Times New Roman" w:hAnsi="Calibri" w:cs="Times New Roman"/>
          <w:color w:val="000000"/>
          <w:lang w:eastAsia="es-MX"/>
        </w:rPr>
        <w:t xml:space="preserve"> </w:t>
      </w:r>
      <w:r w:rsidR="008D6EA0" w:rsidRPr="008401A8">
        <w:rPr>
          <w:rFonts w:ascii="Calibri" w:eastAsia="Times New Roman" w:hAnsi="Calibri" w:cs="Times New Roman"/>
          <w:color w:val="000000"/>
          <w:lang w:eastAsia="es-MX"/>
        </w:rPr>
        <w:t>pública</w:t>
      </w:r>
      <w:r w:rsidRPr="008401A8">
        <w:rPr>
          <w:rFonts w:ascii="Calibri" w:eastAsia="Times New Roman" w:hAnsi="Calibri" w:cs="Times New Roman"/>
          <w:color w:val="000000"/>
          <w:lang w:eastAsia="es-MX"/>
        </w:rPr>
        <w:t xml:space="preserve"> del Estado de San Luis </w:t>
      </w:r>
      <w:r w:rsidR="008D6EA0" w:rsidRPr="008401A8">
        <w:rPr>
          <w:rFonts w:ascii="Calibri" w:eastAsia="Times New Roman" w:hAnsi="Calibri" w:cs="Times New Roman"/>
          <w:color w:val="000000"/>
          <w:lang w:eastAsia="es-MX"/>
        </w:rPr>
        <w:t>Potosí</w:t>
      </w:r>
      <w:r w:rsidRPr="008401A8">
        <w:rPr>
          <w:rFonts w:ascii="Calibri" w:eastAsia="Times New Roman" w:hAnsi="Calibri" w:cs="Times New Roman"/>
          <w:color w:val="000000"/>
          <w:lang w:eastAsia="es-MX"/>
        </w:rPr>
        <w:t xml:space="preserve">, sin </w:t>
      </w:r>
      <w:r w:rsidR="008D6EA0" w:rsidRPr="008401A8">
        <w:rPr>
          <w:rFonts w:ascii="Calibri" w:eastAsia="Times New Roman" w:hAnsi="Calibri" w:cs="Times New Roman"/>
          <w:color w:val="000000"/>
          <w:lang w:eastAsia="es-MX"/>
        </w:rPr>
        <w:t>embargo</w:t>
      </w:r>
      <w:r w:rsidRPr="008401A8">
        <w:rPr>
          <w:rFonts w:ascii="Calibri" w:eastAsia="Times New Roman" w:hAnsi="Calibri" w:cs="Times New Roman"/>
          <w:color w:val="000000"/>
          <w:lang w:eastAsia="es-MX"/>
        </w:rPr>
        <w:t xml:space="preserve"> no se genera </w:t>
      </w:r>
      <w:r w:rsidR="008D6EA0" w:rsidRPr="008401A8">
        <w:rPr>
          <w:rFonts w:ascii="Calibri" w:eastAsia="Times New Roman" w:hAnsi="Calibri" w:cs="Times New Roman"/>
          <w:color w:val="000000"/>
          <w:lang w:eastAsia="es-MX"/>
        </w:rPr>
        <w:t>información</w:t>
      </w:r>
      <w:r w:rsidRPr="008401A8">
        <w:rPr>
          <w:rFonts w:ascii="Calibri" w:eastAsia="Times New Roman" w:hAnsi="Calibri" w:cs="Times New Roman"/>
          <w:color w:val="000000"/>
          <w:lang w:eastAsia="es-MX"/>
        </w:rPr>
        <w:t xml:space="preserve"> ya que no se ha presentado disposiciones administrativas.</w:t>
      </w:r>
    </w:p>
    <w:p w:rsidR="00B33A0F" w:rsidRPr="008D6EA0" w:rsidRDefault="00B33A0F">
      <w:pPr>
        <w:rPr>
          <w:lang w:val="es-419"/>
        </w:rPr>
      </w:pPr>
      <w:bookmarkStart w:id="0" w:name="_GoBack"/>
      <w:bookmarkEnd w:id="0"/>
    </w:p>
    <w:p w:rsidR="008401A8" w:rsidRDefault="008401A8"/>
    <w:sectPr w:rsidR="008401A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1A8"/>
    <w:rsid w:val="003A0B5D"/>
    <w:rsid w:val="008401A8"/>
    <w:rsid w:val="008D6EA0"/>
    <w:rsid w:val="00B33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BA3B74-1F71-42F3-91A8-E2D08BC92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141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2</cp:revision>
  <dcterms:created xsi:type="dcterms:W3CDTF">2021-11-11T16:06:00Z</dcterms:created>
  <dcterms:modified xsi:type="dcterms:W3CDTF">2022-05-11T20:28:00Z</dcterms:modified>
</cp:coreProperties>
</file>