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A2932" w:rsidRDefault="00E22421" w:rsidP="00E22421">
      <w:pPr>
        <w:spacing w:after="0" w:line="276" w:lineRule="auto"/>
        <w:jc w:val="both"/>
        <w:rPr>
          <w:rFonts w:ascii="Arial" w:eastAsia="Calibri" w:hAnsi="Arial" w:cs="Arial"/>
          <w:b/>
          <w:lang w:val="es-MX"/>
        </w:rPr>
      </w:pPr>
      <w:r w:rsidRPr="00FE10DF">
        <w:rPr>
          <w:rFonts w:ascii="Arial" w:eastAsia="Calibri" w:hAnsi="Arial" w:cs="Arial"/>
          <w:b/>
          <w:lang w:val="es-MX"/>
        </w:rPr>
        <w:t>DEMZ-</w:t>
      </w:r>
      <w:r w:rsidR="00B72B0E">
        <w:rPr>
          <w:rFonts w:ascii="Arial" w:eastAsia="Calibri" w:hAnsi="Arial" w:cs="Arial"/>
          <w:b/>
          <w:lang w:val="es-MX"/>
        </w:rPr>
        <w:t xml:space="preserve"> </w:t>
      </w:r>
      <w:r w:rsidR="009C0DAC">
        <w:rPr>
          <w:rFonts w:ascii="Arial" w:eastAsia="Calibri" w:hAnsi="Arial" w:cs="Arial"/>
          <w:b/>
          <w:lang w:val="es-MX"/>
        </w:rPr>
        <w:t>560</w:t>
      </w:r>
      <w:r w:rsidR="00B72B0E">
        <w:rPr>
          <w:rFonts w:ascii="Arial" w:eastAsia="Calibri" w:hAnsi="Arial" w:cs="Arial"/>
          <w:b/>
          <w:lang w:val="es-MX"/>
        </w:rPr>
        <w:t>/</w:t>
      </w:r>
      <w:r w:rsidRPr="00FE10DF">
        <w:rPr>
          <w:rFonts w:ascii="Arial" w:eastAsia="Calibri" w:hAnsi="Arial" w:cs="Arial"/>
          <w:b/>
          <w:lang w:val="es-MX"/>
        </w:rPr>
        <w:t>2022. TITULAR DE</w:t>
      </w:r>
      <w:r w:rsidR="009C0DAC">
        <w:rPr>
          <w:rFonts w:ascii="Arial" w:eastAsia="Calibri" w:hAnsi="Arial" w:cs="Arial"/>
          <w:b/>
          <w:lang w:val="es-MX"/>
        </w:rPr>
        <w:t xml:space="preserve"> LA UNIDAD DE TRANSPARENCIA DEL MUNICIPIO  DE SAN LUIS POTOSÍ</w:t>
      </w:r>
    </w:p>
    <w:p w:rsidR="00E22421" w:rsidRPr="00FE10DF" w:rsidRDefault="00E22421" w:rsidP="00E22421">
      <w:pPr>
        <w:spacing w:after="0" w:line="276" w:lineRule="auto"/>
        <w:jc w:val="both"/>
        <w:rPr>
          <w:rFonts w:ascii="Arial" w:eastAsia="Calibri" w:hAnsi="Arial" w:cs="Arial"/>
          <w:b/>
          <w:lang w:val="es-MX"/>
        </w:rPr>
      </w:pPr>
      <w:r w:rsidRPr="00FE10DF">
        <w:rPr>
          <w:rFonts w:ascii="Arial" w:eastAsia="Calibri" w:hAnsi="Arial" w:cs="Arial"/>
          <w:b/>
          <w:lang w:val="es-MX"/>
        </w:rPr>
        <w:t>PRESENTE.-</w:t>
      </w:r>
    </w:p>
    <w:p w:rsidR="00E22421" w:rsidRPr="00FE10DF" w:rsidRDefault="00E22421" w:rsidP="005A47D6">
      <w:pPr>
        <w:spacing w:after="200" w:line="276" w:lineRule="auto"/>
        <w:jc w:val="both"/>
        <w:rPr>
          <w:rFonts w:ascii="Arial" w:eastAsia="Calibri" w:hAnsi="Arial" w:cs="Arial"/>
          <w:b/>
          <w:lang w:val="es-MX"/>
        </w:rPr>
      </w:pPr>
    </w:p>
    <w:p w:rsidR="005A47D6" w:rsidRPr="00FE10DF" w:rsidRDefault="005A47D6" w:rsidP="005A47D6">
      <w:pPr>
        <w:spacing w:after="200" w:line="360" w:lineRule="auto"/>
        <w:jc w:val="both"/>
        <w:rPr>
          <w:rFonts w:ascii="Arial" w:eastAsia="Calibri" w:hAnsi="Arial" w:cs="Arial"/>
          <w:bCs/>
          <w:lang w:val="es-MX"/>
        </w:rPr>
      </w:pPr>
      <w:r w:rsidRPr="00FE10DF">
        <w:rPr>
          <w:rFonts w:ascii="Arial" w:eastAsia="Calibri" w:hAnsi="Arial" w:cs="Arial"/>
          <w:lang w:val="es-MX"/>
        </w:rPr>
        <w:t>Por medio del presente hágase del con</w:t>
      </w:r>
      <w:r w:rsidR="007B53A2" w:rsidRPr="00FE10DF">
        <w:rPr>
          <w:rFonts w:ascii="Arial" w:eastAsia="Calibri" w:hAnsi="Arial" w:cs="Arial"/>
          <w:lang w:val="es-MX"/>
        </w:rPr>
        <w:t>ocimiento que en</w:t>
      </w:r>
      <w:r w:rsidR="009C0DAC">
        <w:rPr>
          <w:rFonts w:ascii="Arial" w:eastAsia="Calibri" w:hAnsi="Arial" w:cs="Arial"/>
          <w:lang w:val="es-MX"/>
        </w:rPr>
        <w:t xml:space="preserve"> 28 veintiocho de marzo de 2022 dos mil veintidós</w:t>
      </w:r>
      <w:r w:rsidRPr="00FE10DF">
        <w:rPr>
          <w:rFonts w:ascii="Arial" w:eastAsia="Calibri" w:hAnsi="Arial" w:cs="Arial"/>
          <w:lang w:val="es-MX"/>
        </w:rPr>
        <w:t xml:space="preserve">, se dictó un proveído dentro de los autos que integran el recurso de revisión </w:t>
      </w:r>
      <w:r w:rsidRPr="00FE10DF">
        <w:rPr>
          <w:rFonts w:ascii="Arial" w:eastAsia="Calibri" w:hAnsi="Arial" w:cs="Arial"/>
          <w:b/>
          <w:lang w:val="es-MX"/>
        </w:rPr>
        <w:t>RR-</w:t>
      </w:r>
      <w:r w:rsidR="009C0DAC">
        <w:rPr>
          <w:rFonts w:ascii="Arial" w:eastAsia="Calibri" w:hAnsi="Arial" w:cs="Arial"/>
          <w:b/>
          <w:lang w:val="es-MX"/>
        </w:rPr>
        <w:t>172/2019-1</w:t>
      </w:r>
      <w:r w:rsidRPr="00FE10DF">
        <w:rPr>
          <w:rFonts w:ascii="Arial" w:eastAsia="Calibri" w:hAnsi="Arial" w:cs="Arial"/>
          <w:b/>
          <w:lang w:val="es-MX"/>
        </w:rPr>
        <w:t>,</w:t>
      </w:r>
      <w:r w:rsidRPr="00FE10DF">
        <w:rPr>
          <w:rFonts w:ascii="Arial" w:eastAsia="Calibri" w:hAnsi="Arial" w:cs="Arial"/>
          <w:bCs/>
          <w:lang w:val="es-MX"/>
        </w:rPr>
        <w:t xml:space="preserve"> mismo que a la letra dice:</w:t>
      </w:r>
    </w:p>
    <w:p w:rsidR="009C0DAC" w:rsidRPr="009C0DAC" w:rsidRDefault="009C0DAC" w:rsidP="009C0DAC">
      <w:pPr>
        <w:tabs>
          <w:tab w:val="left" w:pos="6840"/>
        </w:tabs>
        <w:spacing w:after="0" w:line="360" w:lineRule="auto"/>
        <w:outlineLvl w:val="5"/>
        <w:rPr>
          <w:rFonts w:ascii="Arial" w:hAnsi="Arial" w:cs="Arial"/>
          <w:color w:val="5B9BD5" w:themeColor="accent1"/>
          <w:sz w:val="20"/>
          <w:szCs w:val="20"/>
        </w:rPr>
      </w:pPr>
      <w:r w:rsidRPr="009C0DAC">
        <w:rPr>
          <w:rFonts w:ascii="Arial" w:hAnsi="Arial" w:cs="Arial"/>
          <w:color w:val="5B9BD5" w:themeColor="accent1"/>
          <w:sz w:val="20"/>
          <w:szCs w:val="20"/>
        </w:rPr>
        <w:t>San Luis Potosí, San Luis Potosí,</w:t>
      </w:r>
      <w:r w:rsidRPr="009C0DAC">
        <w:rPr>
          <w:rFonts w:ascii="Arial" w:eastAsia="Times New Roman" w:hAnsi="Arial" w:cs="Arial"/>
          <w:color w:val="5B9BD5" w:themeColor="accent1"/>
          <w:sz w:val="20"/>
          <w:szCs w:val="20"/>
          <w:lang w:eastAsia="es-ES"/>
        </w:rPr>
        <w:t xml:space="preserve"> 28 veintiocho de marzo de 2022 dos mil veintidós.</w:t>
      </w:r>
    </w:p>
    <w:p w:rsidR="009C0DAC" w:rsidRPr="009C0DAC" w:rsidRDefault="009C0DAC" w:rsidP="009C0DAC">
      <w:pPr>
        <w:spacing w:after="0" w:line="360" w:lineRule="auto"/>
        <w:jc w:val="both"/>
        <w:rPr>
          <w:rFonts w:ascii="Arial" w:hAnsi="Arial" w:cs="Arial"/>
          <w:b/>
          <w:color w:val="5B9BD5" w:themeColor="accent1"/>
          <w:sz w:val="20"/>
          <w:szCs w:val="20"/>
          <w:lang w:val="es-MX"/>
        </w:rPr>
      </w:pPr>
    </w:p>
    <w:p w:rsidR="009C0DAC" w:rsidRPr="009C0DAC" w:rsidRDefault="009C0DAC" w:rsidP="009C0DAC">
      <w:pPr>
        <w:spacing w:after="0" w:line="360" w:lineRule="auto"/>
        <w:jc w:val="both"/>
        <w:rPr>
          <w:rFonts w:ascii="Arial" w:hAnsi="Arial" w:cs="Arial"/>
          <w:i/>
          <w:color w:val="5B9BD5" w:themeColor="accent1"/>
          <w:sz w:val="20"/>
          <w:szCs w:val="20"/>
        </w:rPr>
      </w:pPr>
    </w:p>
    <w:p w:rsidR="009C0DAC" w:rsidRPr="009C0DAC" w:rsidRDefault="009C0DAC" w:rsidP="009C0DAC">
      <w:pPr>
        <w:spacing w:after="0" w:line="360" w:lineRule="auto"/>
        <w:ind w:firstLine="709"/>
        <w:jc w:val="both"/>
        <w:rPr>
          <w:rFonts w:ascii="Arial" w:hAnsi="Arial" w:cs="Arial"/>
          <w:iCs/>
          <w:color w:val="5B9BD5" w:themeColor="accent1"/>
          <w:sz w:val="20"/>
          <w:szCs w:val="20"/>
        </w:rPr>
      </w:pPr>
      <w:r w:rsidRPr="009C0DAC">
        <w:rPr>
          <w:rFonts w:ascii="Arial" w:hAnsi="Arial" w:cs="Arial"/>
          <w:iCs/>
          <w:color w:val="5B9BD5" w:themeColor="accent1"/>
          <w:sz w:val="20"/>
          <w:szCs w:val="20"/>
        </w:rPr>
        <w:t>Visto el estado que guardan los presentes autos</w:t>
      </w:r>
      <w:bookmarkStart w:id="0" w:name="_GoBack"/>
      <w:bookmarkEnd w:id="0"/>
      <w:r w:rsidRPr="009C0DAC">
        <w:rPr>
          <w:rFonts w:ascii="Arial" w:hAnsi="Arial" w:cs="Arial"/>
          <w:iCs/>
          <w:color w:val="5B9BD5" w:themeColor="accent1"/>
          <w:sz w:val="20"/>
          <w:szCs w:val="20"/>
        </w:rPr>
        <w:t xml:space="preserve"> y de una revisión a las constancias que integran el expediente número </w:t>
      </w:r>
      <w:proofErr w:type="spellStart"/>
      <w:r w:rsidRPr="009C0DAC">
        <w:rPr>
          <w:rFonts w:ascii="Arial" w:hAnsi="Arial" w:cs="Arial"/>
          <w:b/>
          <w:iCs/>
          <w:color w:val="5B9BD5" w:themeColor="accent1"/>
          <w:sz w:val="20"/>
          <w:szCs w:val="20"/>
        </w:rPr>
        <w:t>RR</w:t>
      </w:r>
      <w:proofErr w:type="spellEnd"/>
      <w:r w:rsidRPr="009C0DAC">
        <w:rPr>
          <w:rFonts w:ascii="Arial" w:hAnsi="Arial" w:cs="Arial"/>
          <w:b/>
          <w:iCs/>
          <w:color w:val="5B9BD5" w:themeColor="accent1"/>
          <w:sz w:val="20"/>
          <w:szCs w:val="20"/>
        </w:rPr>
        <w:t>-172/2019-1</w:t>
      </w:r>
      <w:r w:rsidRPr="009C0DAC">
        <w:rPr>
          <w:rFonts w:ascii="Arial" w:hAnsi="Arial" w:cs="Arial"/>
          <w:iCs/>
          <w:color w:val="5B9BD5" w:themeColor="accent1"/>
          <w:sz w:val="20"/>
          <w:szCs w:val="20"/>
        </w:rPr>
        <w:t xml:space="preserv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en que se actúa.</w:t>
      </w:r>
    </w:p>
    <w:p w:rsidR="009C0DAC" w:rsidRPr="009C0DAC" w:rsidRDefault="009C0DAC" w:rsidP="009C0DAC">
      <w:pPr>
        <w:spacing w:after="0" w:line="360" w:lineRule="auto"/>
        <w:ind w:firstLine="709"/>
        <w:jc w:val="both"/>
        <w:rPr>
          <w:rFonts w:ascii="Arial" w:hAnsi="Arial" w:cs="Arial"/>
          <w:iCs/>
          <w:color w:val="5B9BD5" w:themeColor="accent1"/>
          <w:sz w:val="20"/>
          <w:szCs w:val="20"/>
        </w:rPr>
      </w:pPr>
    </w:p>
    <w:p w:rsidR="009C0DAC" w:rsidRPr="009C0DAC" w:rsidRDefault="009C0DAC" w:rsidP="009C0DAC">
      <w:pPr>
        <w:spacing w:after="0" w:line="360" w:lineRule="auto"/>
        <w:ind w:firstLine="709"/>
        <w:jc w:val="both"/>
        <w:rPr>
          <w:rFonts w:ascii="Arial" w:hAnsi="Arial" w:cs="Arial"/>
          <w:iCs/>
          <w:color w:val="5B9BD5" w:themeColor="accent1"/>
          <w:sz w:val="20"/>
          <w:szCs w:val="20"/>
        </w:rPr>
      </w:pPr>
      <w:r w:rsidRPr="009C0DAC">
        <w:rPr>
          <w:rFonts w:ascii="Arial" w:hAnsi="Arial" w:cs="Arial"/>
          <w:iCs/>
          <w:color w:val="5B9BD5" w:themeColor="accent1"/>
          <w:sz w:val="20"/>
          <w:szCs w:val="20"/>
        </w:rPr>
        <w:t>En primer término, resulta necesario insertar los efectos dictados en la resolución:</w:t>
      </w:r>
    </w:p>
    <w:p w:rsidR="009C0DAC" w:rsidRPr="009C0DAC" w:rsidRDefault="009C0DAC" w:rsidP="009C0DAC">
      <w:pPr>
        <w:spacing w:after="0" w:line="360" w:lineRule="auto"/>
        <w:ind w:firstLine="709"/>
        <w:jc w:val="both"/>
        <w:rPr>
          <w:rFonts w:ascii="Arial" w:hAnsi="Arial" w:cs="Arial"/>
          <w:iCs/>
          <w:color w:val="5B9BD5" w:themeColor="accent1"/>
          <w:sz w:val="20"/>
          <w:szCs w:val="20"/>
          <w:lang w:val="es-MX"/>
        </w:rPr>
      </w:pPr>
    </w:p>
    <w:p w:rsidR="009C0DAC" w:rsidRPr="009C0DAC" w:rsidRDefault="009C0DAC" w:rsidP="009C0DAC">
      <w:pPr>
        <w:spacing w:after="0" w:line="360" w:lineRule="auto"/>
        <w:ind w:firstLine="709"/>
        <w:jc w:val="both"/>
        <w:rPr>
          <w:rFonts w:ascii="Arial" w:hAnsi="Arial" w:cs="Arial"/>
          <w:i/>
          <w:color w:val="5B9BD5" w:themeColor="accent1"/>
          <w:sz w:val="20"/>
          <w:szCs w:val="20"/>
          <w:lang w:val="es-MX"/>
        </w:rPr>
      </w:pPr>
      <w:r w:rsidRPr="009C0DAC">
        <w:rPr>
          <w:rFonts w:ascii="Arial" w:hAnsi="Arial" w:cs="Arial"/>
          <w:i/>
          <w:color w:val="5B9BD5" w:themeColor="accent1"/>
          <w:sz w:val="20"/>
          <w:szCs w:val="20"/>
          <w:lang w:val="es-MX"/>
        </w:rPr>
        <w:t>“[…]</w:t>
      </w:r>
    </w:p>
    <w:p w:rsidR="009C0DAC" w:rsidRPr="009C0DAC" w:rsidRDefault="009C0DAC" w:rsidP="009C0DAC">
      <w:pPr>
        <w:spacing w:after="0" w:line="360" w:lineRule="auto"/>
        <w:ind w:firstLine="709"/>
        <w:jc w:val="both"/>
        <w:rPr>
          <w:rFonts w:ascii="Arial" w:hAnsi="Arial" w:cs="Arial"/>
          <w:i/>
          <w:color w:val="5B9BD5" w:themeColor="accent1"/>
          <w:sz w:val="20"/>
          <w:szCs w:val="20"/>
          <w:lang w:val="es-MX"/>
        </w:rPr>
      </w:pPr>
      <w:r w:rsidRPr="009C0DAC">
        <w:rPr>
          <w:rFonts w:ascii="Arial" w:hAnsi="Arial" w:cs="Arial"/>
          <w:i/>
          <w:color w:val="5B9BD5" w:themeColor="accent1"/>
          <w:sz w:val="20"/>
          <w:szCs w:val="20"/>
          <w:lang w:val="es-MX"/>
        </w:rPr>
        <w:t xml:space="preserve">Por las condiciones expuestas, esta Comisión Estatal de Garantía de Acceso a la Información Pública de conformidad con el artículo 175, fracción III de la Ley de Transparencia y Acceso a la Información Pública del Estado </w:t>
      </w:r>
      <w:r w:rsidRPr="009C0DAC">
        <w:rPr>
          <w:rFonts w:ascii="Arial" w:hAnsi="Arial" w:cs="Arial"/>
          <w:b/>
          <w:i/>
          <w:color w:val="5B9BD5" w:themeColor="accent1"/>
          <w:sz w:val="20"/>
          <w:szCs w:val="20"/>
          <w:lang w:val="es-MX"/>
        </w:rPr>
        <w:t xml:space="preserve">MODIFICA EL ACTO IMPUGNADO </w:t>
      </w:r>
      <w:r w:rsidRPr="009C0DAC">
        <w:rPr>
          <w:rFonts w:ascii="Arial" w:hAnsi="Arial" w:cs="Arial"/>
          <w:i/>
          <w:color w:val="5B9BD5" w:themeColor="accent1"/>
          <w:sz w:val="20"/>
          <w:szCs w:val="20"/>
          <w:lang w:val="es-MX"/>
        </w:rPr>
        <w:t>y conmina al sujeto obligado para que:</w:t>
      </w:r>
    </w:p>
    <w:p w:rsidR="009C0DAC" w:rsidRPr="009C0DAC" w:rsidRDefault="009C0DAC" w:rsidP="009C0DAC">
      <w:pPr>
        <w:spacing w:after="0" w:line="360" w:lineRule="auto"/>
        <w:ind w:firstLine="709"/>
        <w:jc w:val="both"/>
        <w:rPr>
          <w:rFonts w:ascii="Arial" w:hAnsi="Arial" w:cs="Arial"/>
          <w:i/>
          <w:color w:val="5B9BD5" w:themeColor="accent1"/>
          <w:sz w:val="20"/>
          <w:szCs w:val="20"/>
          <w:lang w:val="es-MX"/>
        </w:rPr>
      </w:pPr>
    </w:p>
    <w:p w:rsidR="009C0DAC" w:rsidRPr="009C0DAC" w:rsidRDefault="009C0DAC" w:rsidP="009C0DAC">
      <w:pPr>
        <w:spacing w:after="0" w:line="360" w:lineRule="auto"/>
        <w:ind w:firstLine="709"/>
        <w:jc w:val="both"/>
        <w:rPr>
          <w:rFonts w:ascii="Arial" w:hAnsi="Arial" w:cs="Arial"/>
          <w:i/>
          <w:color w:val="5B9BD5" w:themeColor="accent1"/>
          <w:sz w:val="20"/>
          <w:szCs w:val="20"/>
          <w:lang w:val="es-MX"/>
        </w:rPr>
      </w:pPr>
      <w:r w:rsidRPr="009C0DAC">
        <w:rPr>
          <w:rFonts w:ascii="Arial" w:hAnsi="Arial" w:cs="Arial"/>
          <w:b/>
          <w:i/>
          <w:color w:val="5B9BD5" w:themeColor="accent1"/>
          <w:sz w:val="20"/>
          <w:szCs w:val="20"/>
          <w:lang w:val="es-MX"/>
        </w:rPr>
        <w:tab/>
        <w:t xml:space="preserve">6.1.1. </w:t>
      </w:r>
      <w:r w:rsidRPr="009C0DAC">
        <w:rPr>
          <w:rFonts w:ascii="Arial" w:hAnsi="Arial" w:cs="Arial"/>
          <w:i/>
          <w:color w:val="5B9BD5" w:themeColor="accent1"/>
          <w:sz w:val="20"/>
          <w:szCs w:val="20"/>
          <w:lang w:val="es-MX"/>
        </w:rPr>
        <w:t>Realice todas las gestiones necesarias para allegarse a los docuemtnos que sean necesarios, avalados por perito en la materia u otra Institución Pública, como el Registro Agrario Nacional y/o a la Procuraduría Agraria y entregue la información consistente en “SOLICITUDES PARA CAMBIOS DE USO DE SUELO CORRESPONDIENTES A SAN JUAN DE GUADALUPE Y SUS ANEXOS TIERRA BLANCO Y SAN MIGUELITO”</w:t>
      </w:r>
    </w:p>
    <w:p w:rsidR="009C0DAC" w:rsidRPr="009C0DAC" w:rsidRDefault="009C0DAC" w:rsidP="009C0DAC">
      <w:pPr>
        <w:spacing w:after="0" w:line="360" w:lineRule="auto"/>
        <w:ind w:firstLine="709"/>
        <w:jc w:val="both"/>
        <w:rPr>
          <w:rFonts w:ascii="Arial" w:hAnsi="Arial" w:cs="Arial"/>
          <w:i/>
          <w:color w:val="5B9BD5" w:themeColor="accent1"/>
          <w:sz w:val="20"/>
          <w:szCs w:val="20"/>
          <w:lang w:val="es-MX"/>
        </w:rPr>
      </w:pPr>
    </w:p>
    <w:p w:rsidR="009C0DAC" w:rsidRPr="009C0DAC" w:rsidRDefault="009C0DAC" w:rsidP="009C0DAC">
      <w:pPr>
        <w:spacing w:after="0" w:line="360" w:lineRule="auto"/>
        <w:ind w:firstLine="709"/>
        <w:jc w:val="both"/>
        <w:rPr>
          <w:rFonts w:ascii="Arial" w:hAnsi="Arial" w:cs="Arial"/>
          <w:i/>
          <w:color w:val="5B9BD5" w:themeColor="accent1"/>
          <w:sz w:val="20"/>
          <w:szCs w:val="20"/>
          <w:lang w:val="es-MX"/>
        </w:rPr>
      </w:pPr>
      <w:r w:rsidRPr="009C0DAC">
        <w:rPr>
          <w:rFonts w:ascii="Arial" w:hAnsi="Arial" w:cs="Arial"/>
          <w:b/>
          <w:i/>
          <w:color w:val="5B9BD5" w:themeColor="accent1"/>
          <w:sz w:val="20"/>
          <w:szCs w:val="20"/>
          <w:lang w:val="es-MX"/>
        </w:rPr>
        <w:t>6.1.2.</w:t>
      </w:r>
      <w:r w:rsidRPr="009C0DAC">
        <w:rPr>
          <w:rFonts w:ascii="Arial" w:hAnsi="Arial" w:cs="Arial"/>
          <w:i/>
          <w:color w:val="5B9BD5" w:themeColor="accent1"/>
          <w:sz w:val="20"/>
          <w:szCs w:val="20"/>
          <w:lang w:val="es-MX"/>
        </w:rPr>
        <w:t xml:space="preserve"> En lo concerniente a la información consistente en “documentos o decretos que invaliden a la Sierra de San Miguelito como zona protegida”, oriente correctamente ante la Secretaría de Ecología y Gestión Ambiental y le proporcione los datos como dirección, correo electrónico, horarios y teléfonos de atención, así como la página electrónica de esta autorida, para efecto de que el peticionario tenga todos los datos necesarios para dirigir su solicitud de información.</w:t>
      </w:r>
    </w:p>
    <w:p w:rsidR="009C0DAC" w:rsidRPr="009C0DAC" w:rsidRDefault="009C0DAC" w:rsidP="009C0DAC">
      <w:pPr>
        <w:spacing w:after="0" w:line="360" w:lineRule="auto"/>
        <w:ind w:firstLine="709"/>
        <w:jc w:val="both"/>
        <w:rPr>
          <w:rFonts w:ascii="Arial" w:hAnsi="Arial" w:cs="Arial"/>
          <w:i/>
          <w:color w:val="5B9BD5" w:themeColor="accent1"/>
          <w:sz w:val="20"/>
          <w:szCs w:val="20"/>
          <w:lang w:val="es-MX"/>
        </w:rPr>
      </w:pPr>
      <w:r w:rsidRPr="009C0DAC">
        <w:rPr>
          <w:rFonts w:ascii="Arial" w:hAnsi="Arial" w:cs="Arial"/>
          <w:b/>
          <w:bCs/>
          <w:i/>
          <w:color w:val="5B9BD5" w:themeColor="accent1"/>
          <w:sz w:val="20"/>
          <w:szCs w:val="20"/>
          <w:lang w:val="es-MX"/>
        </w:rPr>
        <w:t xml:space="preserve">6.1.3 </w:t>
      </w:r>
      <w:r w:rsidRPr="009C0DAC">
        <w:rPr>
          <w:rFonts w:ascii="Arial" w:hAnsi="Arial" w:cs="Arial"/>
          <w:i/>
          <w:color w:val="5B9BD5" w:themeColor="accent1"/>
          <w:sz w:val="20"/>
          <w:szCs w:val="20"/>
          <w:lang w:val="es-MX"/>
        </w:rPr>
        <w:t xml:space="preserve">La dirección General de Catastro, Desarrollo Urbano y Nuevos Proyectos entregue la información de la solicitud de relativa a todos los trámites relacionados con Obras, avalúos, padrones catastrales, permisos de construcción, uso de sueo, el </w:t>
      </w:r>
      <w:r w:rsidRPr="009C0DAC">
        <w:rPr>
          <w:rFonts w:ascii="Arial" w:hAnsi="Arial" w:cs="Arial"/>
          <w:i/>
          <w:color w:val="5B9BD5" w:themeColor="accent1"/>
          <w:sz w:val="20"/>
          <w:szCs w:val="20"/>
          <w:lang w:val="es-MX"/>
        </w:rPr>
        <w:lastRenderedPageBreak/>
        <w:t xml:space="preserve">documento que fue entregado por la Directora de Catastro y Desarrollo Urbano y la manifestación que se presentó el día 23 de enero del 2019.   […]” </w:t>
      </w:r>
    </w:p>
    <w:p w:rsidR="009C0DAC" w:rsidRPr="009C0DAC" w:rsidRDefault="009C0DAC" w:rsidP="009C0DAC">
      <w:pPr>
        <w:spacing w:after="0" w:line="360" w:lineRule="auto"/>
        <w:ind w:firstLine="709"/>
        <w:jc w:val="both"/>
        <w:rPr>
          <w:rFonts w:ascii="Arial" w:hAnsi="Arial" w:cs="Arial"/>
          <w:iCs/>
          <w:color w:val="5B9BD5" w:themeColor="accent1"/>
          <w:sz w:val="20"/>
          <w:szCs w:val="20"/>
        </w:rPr>
      </w:pPr>
    </w:p>
    <w:p w:rsidR="009C0DAC" w:rsidRPr="009C0DAC" w:rsidRDefault="009C0DAC" w:rsidP="009C0DAC">
      <w:pPr>
        <w:spacing w:after="0" w:line="360" w:lineRule="auto"/>
        <w:ind w:firstLine="709"/>
        <w:jc w:val="both"/>
        <w:rPr>
          <w:rFonts w:ascii="Arial" w:hAnsi="Arial" w:cs="Arial"/>
          <w:iCs/>
          <w:color w:val="5B9BD5" w:themeColor="accent1"/>
          <w:sz w:val="20"/>
          <w:szCs w:val="20"/>
        </w:rPr>
      </w:pPr>
      <w:r w:rsidRPr="009C0DAC">
        <w:rPr>
          <w:rFonts w:ascii="Arial" w:hAnsi="Arial" w:cs="Arial"/>
          <w:iCs/>
          <w:color w:val="5B9BD5" w:themeColor="accent1"/>
          <w:sz w:val="20"/>
          <w:szCs w:val="20"/>
        </w:rPr>
        <w:t xml:space="preserve">En cumplimiento a lo anterior, el sujeto obligado presentó el oficio número </w:t>
      </w:r>
      <w:proofErr w:type="spellStart"/>
      <w:r w:rsidRPr="009C0DAC">
        <w:rPr>
          <w:rFonts w:ascii="Arial" w:hAnsi="Arial" w:cs="Arial"/>
          <w:iCs/>
          <w:color w:val="5B9BD5" w:themeColor="accent1"/>
          <w:sz w:val="20"/>
          <w:szCs w:val="20"/>
        </w:rPr>
        <w:t>U.T.1828</w:t>
      </w:r>
      <w:proofErr w:type="spellEnd"/>
      <w:r w:rsidRPr="009C0DAC">
        <w:rPr>
          <w:rFonts w:ascii="Arial" w:hAnsi="Arial" w:cs="Arial"/>
          <w:iCs/>
          <w:color w:val="5B9BD5" w:themeColor="accent1"/>
          <w:sz w:val="20"/>
          <w:szCs w:val="20"/>
        </w:rPr>
        <w:t>/2020, recibido en la oficialía de partes de este cuerpo colegiado el 01 primero de julio de 2020 dos mil veinte junto con tres anexos acerca del cumplimiento al resolutivo en análisis y en el que señaló medularmente lo siguiente:</w:t>
      </w:r>
    </w:p>
    <w:p w:rsidR="009C0DAC" w:rsidRPr="009C0DAC" w:rsidRDefault="009C0DAC" w:rsidP="009C0DAC">
      <w:pPr>
        <w:spacing w:after="0" w:line="360" w:lineRule="auto"/>
        <w:ind w:firstLine="709"/>
        <w:jc w:val="both"/>
        <w:rPr>
          <w:rFonts w:ascii="Arial" w:hAnsi="Arial" w:cs="Arial"/>
          <w:iCs/>
          <w:color w:val="5B9BD5" w:themeColor="accent1"/>
          <w:sz w:val="20"/>
          <w:szCs w:val="20"/>
        </w:rPr>
      </w:pPr>
    </w:p>
    <w:p w:rsidR="009C0DAC" w:rsidRPr="009C0DAC" w:rsidRDefault="009C0DAC" w:rsidP="009C0DAC">
      <w:pPr>
        <w:spacing w:after="0" w:line="360" w:lineRule="auto"/>
        <w:ind w:firstLine="709"/>
        <w:jc w:val="both"/>
        <w:rPr>
          <w:rFonts w:ascii="Arial" w:hAnsi="Arial" w:cs="Arial"/>
          <w:iCs/>
          <w:color w:val="5B9BD5" w:themeColor="accent1"/>
          <w:sz w:val="20"/>
          <w:szCs w:val="20"/>
        </w:rPr>
      </w:pPr>
      <w:r w:rsidRPr="009C0DAC">
        <w:rPr>
          <w:rFonts w:ascii="Arial" w:hAnsi="Arial" w:cs="Arial"/>
          <w:iCs/>
          <w:color w:val="5B9BD5" w:themeColor="accent1"/>
          <w:sz w:val="20"/>
          <w:szCs w:val="20"/>
        </w:rPr>
        <w:t xml:space="preserve">“[…] El día 02 dos de marzo de 2020 dos mil veinte, mediante instructivo emitido por el Licenciado Javier Pérez Limón, notificador de esa Comisión Estatal de Garantía de Acceso a la Información Pública – </w:t>
      </w:r>
      <w:proofErr w:type="spellStart"/>
      <w:r w:rsidRPr="009C0DAC">
        <w:rPr>
          <w:rFonts w:ascii="Arial" w:hAnsi="Arial" w:cs="Arial"/>
          <w:iCs/>
          <w:color w:val="5B9BD5" w:themeColor="accent1"/>
          <w:sz w:val="20"/>
          <w:szCs w:val="20"/>
        </w:rPr>
        <w:t>CEGAIP</w:t>
      </w:r>
      <w:proofErr w:type="spellEnd"/>
      <w:r w:rsidRPr="009C0DAC">
        <w:rPr>
          <w:rFonts w:ascii="Arial" w:hAnsi="Arial" w:cs="Arial"/>
          <w:iCs/>
          <w:color w:val="5B9BD5" w:themeColor="accent1"/>
          <w:sz w:val="20"/>
          <w:szCs w:val="20"/>
        </w:rPr>
        <w:t xml:space="preserve">- en los que transcribe la resolución del 21 de agosto de 2019 y mediante la cual, requiere a este sujeto obligado, para que en un plazo que no deberá de exceder de tres días hábiles siguientes a los diez días que se tuvo para la entrega de la información, gire las instrucciones necesarias para que se otorgue el debido cumplimiento a la resolución dictada en el recurso de revisión 172/2019-1 […].” </w:t>
      </w:r>
    </w:p>
    <w:p w:rsidR="009C0DAC" w:rsidRPr="009C0DAC" w:rsidRDefault="009C0DAC" w:rsidP="009C0DAC">
      <w:pPr>
        <w:spacing w:after="0" w:line="360" w:lineRule="auto"/>
        <w:jc w:val="both"/>
        <w:rPr>
          <w:rFonts w:ascii="Arial" w:hAnsi="Arial" w:cs="Arial"/>
          <w:iCs/>
          <w:color w:val="5B9BD5" w:themeColor="accent1"/>
          <w:sz w:val="20"/>
          <w:szCs w:val="20"/>
          <w:lang w:val="es-MX"/>
        </w:rPr>
      </w:pPr>
    </w:p>
    <w:p w:rsidR="009C0DAC" w:rsidRPr="009C0DAC" w:rsidRDefault="009C0DAC" w:rsidP="009C0DAC">
      <w:pPr>
        <w:spacing w:after="0" w:line="360" w:lineRule="auto"/>
        <w:ind w:firstLine="709"/>
        <w:jc w:val="both"/>
        <w:rPr>
          <w:rFonts w:ascii="Arial" w:hAnsi="Arial" w:cs="Arial"/>
          <w:iCs/>
          <w:color w:val="5B9BD5" w:themeColor="accent1"/>
          <w:sz w:val="20"/>
          <w:szCs w:val="20"/>
          <w:lang w:val="es-MX"/>
        </w:rPr>
      </w:pPr>
      <w:r w:rsidRPr="009C0DAC">
        <w:rPr>
          <w:rFonts w:ascii="Arial" w:hAnsi="Arial" w:cs="Arial"/>
          <w:iCs/>
          <w:color w:val="5B9BD5" w:themeColor="accent1"/>
          <w:sz w:val="20"/>
          <w:szCs w:val="20"/>
          <w:lang w:val="es-MX"/>
        </w:rPr>
        <w:t>Ahora, para efecto del presente estudio es importante revisar el contenido de los anexos remitidos por el sujeto obligado (visible de foja 83 a 125 de autos), mismo que comprenden la gestión realizada por el sujeto obligado, así como, los correos electrónicos enviados al recurrente y cuyos anexos se analizan a continuación.</w:t>
      </w:r>
    </w:p>
    <w:p w:rsidR="009C0DAC" w:rsidRPr="009C0DAC" w:rsidRDefault="009C0DAC" w:rsidP="009C0DAC">
      <w:pPr>
        <w:spacing w:after="0" w:line="360" w:lineRule="auto"/>
        <w:ind w:firstLine="709"/>
        <w:jc w:val="both"/>
        <w:rPr>
          <w:rFonts w:ascii="Arial" w:hAnsi="Arial" w:cs="Arial"/>
          <w:iCs/>
          <w:color w:val="5B9BD5" w:themeColor="accent1"/>
          <w:sz w:val="20"/>
          <w:szCs w:val="20"/>
        </w:rPr>
      </w:pPr>
    </w:p>
    <w:p w:rsidR="009C0DAC" w:rsidRPr="009C0DAC" w:rsidRDefault="009C0DAC" w:rsidP="009C0DAC">
      <w:pPr>
        <w:spacing w:after="0" w:line="360" w:lineRule="auto"/>
        <w:ind w:firstLine="709"/>
        <w:jc w:val="both"/>
        <w:rPr>
          <w:rFonts w:ascii="Arial" w:hAnsi="Arial" w:cs="Arial"/>
          <w:iCs/>
          <w:color w:val="5B9BD5" w:themeColor="accent1"/>
          <w:sz w:val="20"/>
          <w:szCs w:val="20"/>
        </w:rPr>
      </w:pPr>
      <w:r w:rsidRPr="009C0DAC">
        <w:rPr>
          <w:rFonts w:ascii="Arial" w:hAnsi="Arial" w:cs="Arial"/>
          <w:iCs/>
          <w:color w:val="5B9BD5" w:themeColor="accent1"/>
          <w:sz w:val="20"/>
          <w:szCs w:val="20"/>
        </w:rPr>
        <w:t xml:space="preserve">Pues bien, de las constancias remitidas por el sujeto obligado se puede advertir que mediante el oficio </w:t>
      </w:r>
      <w:proofErr w:type="spellStart"/>
      <w:r w:rsidRPr="009C0DAC">
        <w:rPr>
          <w:rFonts w:ascii="Arial" w:hAnsi="Arial" w:cs="Arial"/>
          <w:iCs/>
          <w:color w:val="5B9BD5" w:themeColor="accent1"/>
          <w:sz w:val="20"/>
          <w:szCs w:val="20"/>
        </w:rPr>
        <w:t>U.T</w:t>
      </w:r>
      <w:proofErr w:type="spellEnd"/>
      <w:r w:rsidRPr="009C0DAC">
        <w:rPr>
          <w:rFonts w:ascii="Arial" w:hAnsi="Arial" w:cs="Arial"/>
          <w:iCs/>
          <w:color w:val="5B9BD5" w:themeColor="accent1"/>
          <w:sz w:val="20"/>
          <w:szCs w:val="20"/>
        </w:rPr>
        <w:t>. 1305/2020 a la Directora de Catastro y Desarrollo Humano, adjuntando original de la notificación mediante el cual se requiere por el cumplimiento a dicha resolución.</w:t>
      </w:r>
    </w:p>
    <w:p w:rsidR="009C0DAC" w:rsidRPr="009C0DAC" w:rsidRDefault="009C0DAC" w:rsidP="009C0DAC">
      <w:pPr>
        <w:spacing w:after="0" w:line="360" w:lineRule="auto"/>
        <w:ind w:firstLine="709"/>
        <w:jc w:val="both"/>
        <w:rPr>
          <w:rFonts w:ascii="Arial" w:hAnsi="Arial" w:cs="Arial"/>
          <w:iCs/>
          <w:color w:val="5B9BD5" w:themeColor="accent1"/>
          <w:sz w:val="20"/>
          <w:szCs w:val="20"/>
        </w:rPr>
      </w:pPr>
    </w:p>
    <w:p w:rsidR="009C0DAC" w:rsidRPr="009C0DAC" w:rsidRDefault="009C0DAC" w:rsidP="009C0DAC">
      <w:pPr>
        <w:spacing w:after="0" w:line="360" w:lineRule="auto"/>
        <w:ind w:firstLine="709"/>
        <w:jc w:val="both"/>
        <w:rPr>
          <w:rFonts w:ascii="Arial" w:hAnsi="Arial" w:cs="Arial"/>
          <w:iCs/>
          <w:color w:val="5B9BD5" w:themeColor="accent1"/>
          <w:sz w:val="20"/>
          <w:szCs w:val="20"/>
        </w:rPr>
      </w:pPr>
      <w:r w:rsidRPr="009C0DAC">
        <w:rPr>
          <w:rFonts w:ascii="Arial" w:hAnsi="Arial" w:cs="Arial"/>
          <w:iCs/>
          <w:color w:val="5B9BD5" w:themeColor="accent1"/>
          <w:sz w:val="20"/>
          <w:szCs w:val="20"/>
        </w:rPr>
        <w:t xml:space="preserve">El sujeto obligado anexa a su contestación el oficio número </w:t>
      </w:r>
      <w:proofErr w:type="spellStart"/>
      <w:r w:rsidRPr="009C0DAC">
        <w:rPr>
          <w:rFonts w:ascii="Arial" w:hAnsi="Arial" w:cs="Arial"/>
          <w:iCs/>
          <w:color w:val="5B9BD5" w:themeColor="accent1"/>
          <w:sz w:val="20"/>
          <w:szCs w:val="20"/>
        </w:rPr>
        <w:t>DGCDU</w:t>
      </w:r>
      <w:proofErr w:type="spellEnd"/>
      <w:r w:rsidRPr="009C0DAC">
        <w:rPr>
          <w:rFonts w:ascii="Arial" w:hAnsi="Arial" w:cs="Arial"/>
          <w:iCs/>
          <w:color w:val="5B9BD5" w:themeColor="accent1"/>
          <w:sz w:val="20"/>
          <w:szCs w:val="20"/>
        </w:rPr>
        <w:t xml:space="preserve">/050/03/2020 con el cual pretende dar contestación al recurrente, es preciso mencionar </w:t>
      </w:r>
      <w:proofErr w:type="gramStart"/>
      <w:r w:rsidRPr="009C0DAC">
        <w:rPr>
          <w:rFonts w:ascii="Arial" w:hAnsi="Arial" w:cs="Arial"/>
          <w:iCs/>
          <w:color w:val="5B9BD5" w:themeColor="accent1"/>
          <w:sz w:val="20"/>
          <w:szCs w:val="20"/>
        </w:rPr>
        <w:t xml:space="preserve">que  </w:t>
      </w:r>
      <w:r w:rsidRPr="009C0DAC">
        <w:rPr>
          <w:rFonts w:ascii="Arial" w:hAnsi="Arial" w:cs="Arial"/>
          <w:iCs/>
          <w:color w:val="5B9BD5" w:themeColor="accent1"/>
          <w:sz w:val="20"/>
          <w:szCs w:val="20"/>
          <w:lang w:val="es-MX"/>
        </w:rPr>
        <w:t>orienta</w:t>
      </w:r>
      <w:proofErr w:type="gramEnd"/>
      <w:r w:rsidRPr="009C0DAC">
        <w:rPr>
          <w:rFonts w:ascii="Arial" w:hAnsi="Arial" w:cs="Arial"/>
          <w:iCs/>
          <w:color w:val="5B9BD5" w:themeColor="accent1"/>
          <w:sz w:val="20"/>
          <w:szCs w:val="20"/>
          <w:lang w:val="es-MX"/>
        </w:rPr>
        <w:t xml:space="preserve"> de manera correcta ante la Secretaría de Ecología y Gestión Ambiental y le proporcione al recurrente los datos de: dirección, correo electrónico, horarios y teléfonos de atención, así como la página electrónica de esta autoridad</w:t>
      </w:r>
      <w:r w:rsidRPr="009C0DAC">
        <w:rPr>
          <w:rFonts w:ascii="Arial" w:hAnsi="Arial" w:cs="Arial"/>
          <w:i/>
          <w:color w:val="5B9BD5" w:themeColor="accent1"/>
          <w:sz w:val="20"/>
          <w:szCs w:val="20"/>
          <w:lang w:val="es-MX"/>
        </w:rPr>
        <w:t>.</w:t>
      </w:r>
    </w:p>
    <w:p w:rsidR="009C0DAC" w:rsidRPr="009C0DAC" w:rsidRDefault="009C0DAC" w:rsidP="009C0DAC">
      <w:pPr>
        <w:spacing w:after="0" w:line="360" w:lineRule="auto"/>
        <w:ind w:firstLine="709"/>
        <w:jc w:val="both"/>
        <w:rPr>
          <w:rFonts w:ascii="Arial" w:hAnsi="Arial" w:cs="Arial"/>
          <w:iCs/>
          <w:color w:val="5B9BD5" w:themeColor="accent1"/>
          <w:sz w:val="20"/>
          <w:szCs w:val="20"/>
        </w:rPr>
      </w:pPr>
    </w:p>
    <w:p w:rsidR="009C0DAC" w:rsidRPr="009C0DAC" w:rsidRDefault="009C0DAC" w:rsidP="009C0DAC">
      <w:pPr>
        <w:spacing w:after="0" w:line="360" w:lineRule="auto"/>
        <w:ind w:firstLine="709"/>
        <w:jc w:val="both"/>
        <w:rPr>
          <w:rFonts w:ascii="Arial" w:hAnsi="Arial" w:cs="Arial"/>
          <w:iCs/>
          <w:color w:val="5B9BD5" w:themeColor="accent1"/>
          <w:sz w:val="20"/>
          <w:szCs w:val="20"/>
        </w:rPr>
      </w:pPr>
      <w:r w:rsidRPr="009C0DAC">
        <w:rPr>
          <w:rFonts w:ascii="Arial" w:hAnsi="Arial" w:cs="Arial"/>
          <w:iCs/>
          <w:color w:val="5B9BD5" w:themeColor="accent1"/>
          <w:sz w:val="20"/>
          <w:szCs w:val="20"/>
        </w:rPr>
        <w:t>Por otro lado, se advierte que dentro de los oficios contenidos dentro del informe rendido por el sujeto obligado también se encuentra el Acuerdo de Reserva respecto de la totalidad del padrón catastral y los expedientes físicos y digitales de la dirección general de catastro, desarrollo urbano y nuevos proyectos, así como la de los departamentos de catastro en las delegaciones de Pozos,  La Pila y Bocas, de fecha 04 cuatro de febrero de 2020 dos mil veinte, el cual se encuentra debidamente fundado en las condiciones que marca la ley de la materia.</w:t>
      </w:r>
    </w:p>
    <w:p w:rsidR="009C0DAC" w:rsidRPr="009C0DAC" w:rsidRDefault="009C0DAC" w:rsidP="009C0DAC">
      <w:pPr>
        <w:spacing w:after="0" w:line="360" w:lineRule="auto"/>
        <w:ind w:firstLine="709"/>
        <w:jc w:val="both"/>
        <w:rPr>
          <w:rFonts w:ascii="Arial" w:hAnsi="Arial" w:cs="Arial"/>
          <w:iCs/>
          <w:color w:val="5B9BD5" w:themeColor="accent1"/>
          <w:sz w:val="20"/>
          <w:szCs w:val="20"/>
        </w:rPr>
      </w:pPr>
      <w:r w:rsidRPr="009C0DAC">
        <w:rPr>
          <w:rFonts w:ascii="Arial" w:hAnsi="Arial" w:cs="Arial"/>
          <w:iCs/>
          <w:color w:val="5B9BD5" w:themeColor="accent1"/>
          <w:sz w:val="20"/>
          <w:szCs w:val="20"/>
        </w:rPr>
        <w:t xml:space="preserve"> </w:t>
      </w:r>
    </w:p>
    <w:p w:rsidR="009C0DAC" w:rsidRPr="009C0DAC" w:rsidRDefault="009C0DAC" w:rsidP="009C0DAC">
      <w:pPr>
        <w:spacing w:after="0" w:line="360" w:lineRule="auto"/>
        <w:ind w:firstLine="709"/>
        <w:jc w:val="both"/>
        <w:rPr>
          <w:rFonts w:ascii="Arial" w:hAnsi="Arial" w:cs="Arial"/>
          <w:iCs/>
          <w:color w:val="5B9BD5" w:themeColor="accent1"/>
          <w:sz w:val="20"/>
          <w:szCs w:val="20"/>
        </w:rPr>
      </w:pPr>
      <w:r w:rsidRPr="009C0DAC">
        <w:rPr>
          <w:rFonts w:ascii="Arial" w:hAnsi="Arial" w:cs="Arial"/>
          <w:iCs/>
          <w:color w:val="5B9BD5" w:themeColor="accent1"/>
          <w:sz w:val="20"/>
          <w:szCs w:val="20"/>
        </w:rPr>
        <w:t xml:space="preserve">Así pues, el sujeto obligado también adjuntó las constancias que acreditan la notificación al recurrente, misma que fue realizada vía correo electrónico proporcionado </w:t>
      </w:r>
      <w:r w:rsidRPr="009C0DAC">
        <w:rPr>
          <w:rFonts w:ascii="Arial" w:hAnsi="Arial" w:cs="Arial"/>
          <w:iCs/>
          <w:color w:val="5B9BD5" w:themeColor="accent1"/>
          <w:sz w:val="20"/>
          <w:szCs w:val="20"/>
        </w:rPr>
        <w:lastRenderedPageBreak/>
        <w:t>por el recurrente para oír y recibir notificaciones, las cuales se encuentran visibles a foja 124 y 125.</w:t>
      </w:r>
    </w:p>
    <w:p w:rsidR="009C0DAC" w:rsidRPr="009C0DAC" w:rsidRDefault="009C0DAC" w:rsidP="009C0DAC">
      <w:pPr>
        <w:spacing w:after="0" w:line="360" w:lineRule="auto"/>
        <w:ind w:firstLine="709"/>
        <w:jc w:val="both"/>
        <w:rPr>
          <w:rFonts w:ascii="Arial" w:hAnsi="Arial" w:cs="Arial"/>
          <w:iCs/>
          <w:color w:val="5B9BD5" w:themeColor="accent1"/>
          <w:sz w:val="20"/>
          <w:szCs w:val="20"/>
        </w:rPr>
      </w:pPr>
    </w:p>
    <w:p w:rsidR="009C0DAC" w:rsidRPr="009C0DAC" w:rsidRDefault="009C0DAC" w:rsidP="009C0DAC">
      <w:pPr>
        <w:spacing w:after="0" w:line="360" w:lineRule="auto"/>
        <w:ind w:firstLine="709"/>
        <w:jc w:val="both"/>
        <w:rPr>
          <w:rFonts w:ascii="Arial" w:hAnsi="Arial" w:cs="Arial"/>
          <w:iCs/>
          <w:color w:val="5B9BD5" w:themeColor="accent1"/>
          <w:sz w:val="20"/>
          <w:szCs w:val="20"/>
        </w:rPr>
      </w:pPr>
      <w:r w:rsidRPr="009C0DAC">
        <w:rPr>
          <w:rFonts w:ascii="Arial" w:hAnsi="Arial" w:cs="Arial"/>
          <w:iCs/>
          <w:color w:val="5B9BD5" w:themeColor="accent1"/>
          <w:sz w:val="20"/>
          <w:szCs w:val="20"/>
        </w:rPr>
        <w:t>De tal suerte, como se puede observar, se tiene que las documentales remitidas por el sujeto obligado, son suficientes para colmar los extremos fijados en la resolución de mérito y por tanto se encuentra cumplida.</w:t>
      </w:r>
    </w:p>
    <w:p w:rsidR="009C0DAC" w:rsidRPr="009C0DAC" w:rsidRDefault="009C0DAC" w:rsidP="009C0DAC">
      <w:pPr>
        <w:spacing w:after="0" w:line="360" w:lineRule="auto"/>
        <w:ind w:firstLine="709"/>
        <w:jc w:val="both"/>
        <w:rPr>
          <w:rFonts w:ascii="Arial" w:hAnsi="Arial" w:cs="Arial"/>
          <w:iCs/>
          <w:color w:val="5B9BD5" w:themeColor="accent1"/>
          <w:sz w:val="20"/>
          <w:szCs w:val="20"/>
        </w:rPr>
      </w:pPr>
    </w:p>
    <w:p w:rsidR="009C0DAC" w:rsidRPr="009C0DAC" w:rsidRDefault="009C0DAC" w:rsidP="009C0DAC">
      <w:pPr>
        <w:spacing w:after="0" w:line="360" w:lineRule="auto"/>
        <w:ind w:firstLine="709"/>
        <w:jc w:val="both"/>
        <w:rPr>
          <w:rFonts w:ascii="Arial" w:hAnsi="Arial" w:cs="Arial"/>
          <w:iCs/>
          <w:color w:val="5B9BD5" w:themeColor="accent1"/>
          <w:sz w:val="20"/>
          <w:szCs w:val="20"/>
        </w:rPr>
      </w:pPr>
      <w:r w:rsidRPr="009C0DAC">
        <w:rPr>
          <w:rFonts w:ascii="Arial" w:hAnsi="Arial" w:cs="Arial"/>
          <w:iCs/>
          <w:color w:val="5B9BD5" w:themeColor="accent1"/>
          <w:sz w:val="20"/>
          <w:szCs w:val="20"/>
        </w:rPr>
        <w:t>Por otro lado, esta Comisión por medio de proveído de fecha 02 dos de septiembre de dos mil veinte, dio vista a la parte recurrente con las constancias remitidas por el sujeto obligado, para el efecto de que realizara las manifestaciones que a sus intereses conviniera, sin que hubiera realizado manifestación alguna al respecto, aun cuando fue debidamente notificado.</w:t>
      </w:r>
    </w:p>
    <w:p w:rsidR="009C0DAC" w:rsidRPr="009C0DAC" w:rsidRDefault="009C0DAC" w:rsidP="009C0DAC">
      <w:pPr>
        <w:spacing w:after="0" w:line="360" w:lineRule="auto"/>
        <w:ind w:firstLine="709"/>
        <w:jc w:val="both"/>
        <w:rPr>
          <w:rFonts w:ascii="Arial" w:hAnsi="Arial" w:cs="Arial"/>
          <w:iCs/>
          <w:color w:val="5B9BD5" w:themeColor="accent1"/>
          <w:sz w:val="20"/>
          <w:szCs w:val="20"/>
        </w:rPr>
      </w:pPr>
    </w:p>
    <w:p w:rsidR="009C0DAC" w:rsidRPr="009C0DAC" w:rsidRDefault="009C0DAC" w:rsidP="009C0DAC">
      <w:pPr>
        <w:spacing w:after="0" w:line="360" w:lineRule="auto"/>
        <w:ind w:firstLine="709"/>
        <w:jc w:val="both"/>
        <w:rPr>
          <w:rFonts w:ascii="Arial" w:hAnsi="Arial" w:cs="Arial"/>
          <w:iCs/>
          <w:color w:val="5B9BD5" w:themeColor="accent1"/>
          <w:sz w:val="20"/>
          <w:szCs w:val="20"/>
        </w:rPr>
      </w:pPr>
      <w:r w:rsidRPr="009C0DAC">
        <w:rPr>
          <w:rFonts w:ascii="Arial" w:hAnsi="Arial" w:cs="Arial"/>
          <w:iCs/>
          <w:color w:val="5B9BD5" w:themeColor="accent1"/>
          <w:sz w:val="20"/>
          <w:szCs w:val="20"/>
        </w:rPr>
        <w:t xml:space="preserve">En ese sentido, es dable asentar que no existe constancia alguna agregada a los autos que contravenga las documentales remitidas por el sujeto obligado para acreditar el cumplimiento de la resolución. </w:t>
      </w:r>
    </w:p>
    <w:p w:rsidR="009C0DAC" w:rsidRPr="009C0DAC" w:rsidRDefault="009C0DAC" w:rsidP="009C0DAC">
      <w:pPr>
        <w:spacing w:after="0" w:line="360" w:lineRule="auto"/>
        <w:ind w:firstLine="709"/>
        <w:jc w:val="both"/>
        <w:rPr>
          <w:rFonts w:ascii="Arial" w:hAnsi="Arial" w:cs="Arial"/>
          <w:iCs/>
          <w:color w:val="5B9BD5" w:themeColor="accent1"/>
          <w:sz w:val="20"/>
          <w:szCs w:val="20"/>
        </w:rPr>
      </w:pPr>
    </w:p>
    <w:p w:rsidR="009C0DAC" w:rsidRPr="009C0DAC" w:rsidRDefault="009C0DAC" w:rsidP="009C0DAC">
      <w:pPr>
        <w:spacing w:after="0" w:line="360" w:lineRule="auto"/>
        <w:ind w:firstLine="709"/>
        <w:jc w:val="both"/>
        <w:rPr>
          <w:rFonts w:ascii="Arial" w:hAnsi="Arial" w:cs="Arial"/>
          <w:b/>
          <w:iCs/>
          <w:color w:val="5B9BD5" w:themeColor="accent1"/>
          <w:sz w:val="20"/>
          <w:szCs w:val="20"/>
        </w:rPr>
      </w:pPr>
      <w:r w:rsidRPr="009C0DAC">
        <w:rPr>
          <w:rFonts w:ascii="Arial" w:hAnsi="Arial" w:cs="Arial"/>
          <w:iCs/>
          <w:color w:val="5B9BD5" w:themeColor="accent1"/>
          <w:sz w:val="20"/>
          <w:szCs w:val="20"/>
        </w:rPr>
        <w:t xml:space="preserve">En consecuencia, por lo anteriormente expuesto y con fundamento en los artículos 27° primer párrafo y 185 de la Ley de Transparencia y Acceso a la Información Pública del Estado, </w:t>
      </w:r>
      <w:r w:rsidRPr="009C0DAC">
        <w:rPr>
          <w:rFonts w:ascii="Arial" w:hAnsi="Arial" w:cs="Arial"/>
          <w:b/>
          <w:iCs/>
          <w:color w:val="5B9BD5" w:themeColor="accent1"/>
          <w:sz w:val="20"/>
          <w:szCs w:val="20"/>
        </w:rPr>
        <w:t xml:space="preserve">se tiene por cumplida la resolución, dictada en el recurso de revisión </w:t>
      </w:r>
      <w:proofErr w:type="spellStart"/>
      <w:r w:rsidRPr="009C0DAC">
        <w:rPr>
          <w:rFonts w:ascii="Arial" w:hAnsi="Arial" w:cs="Arial"/>
          <w:b/>
          <w:iCs/>
          <w:color w:val="5B9BD5" w:themeColor="accent1"/>
          <w:sz w:val="20"/>
          <w:szCs w:val="20"/>
        </w:rPr>
        <w:t>RR</w:t>
      </w:r>
      <w:proofErr w:type="spellEnd"/>
      <w:r w:rsidRPr="009C0DAC">
        <w:rPr>
          <w:rFonts w:ascii="Arial" w:hAnsi="Arial" w:cs="Arial"/>
          <w:b/>
          <w:iCs/>
          <w:color w:val="5B9BD5" w:themeColor="accent1"/>
          <w:sz w:val="20"/>
          <w:szCs w:val="20"/>
        </w:rPr>
        <w:t>-172/2019-1.</w:t>
      </w:r>
    </w:p>
    <w:p w:rsidR="009C0DAC" w:rsidRPr="009C0DAC" w:rsidRDefault="009C0DAC" w:rsidP="009C0DAC">
      <w:pPr>
        <w:spacing w:after="0" w:line="360" w:lineRule="auto"/>
        <w:ind w:firstLine="709"/>
        <w:jc w:val="both"/>
        <w:rPr>
          <w:rFonts w:ascii="Arial" w:hAnsi="Arial" w:cs="Arial"/>
          <w:b/>
          <w:iCs/>
          <w:color w:val="5B9BD5" w:themeColor="accent1"/>
          <w:sz w:val="20"/>
          <w:szCs w:val="20"/>
        </w:rPr>
      </w:pPr>
    </w:p>
    <w:p w:rsidR="009C0DAC" w:rsidRPr="009C0DAC" w:rsidRDefault="009C0DAC" w:rsidP="009C0DAC">
      <w:pPr>
        <w:spacing w:after="0" w:line="360" w:lineRule="auto"/>
        <w:ind w:firstLine="709"/>
        <w:jc w:val="both"/>
        <w:rPr>
          <w:rFonts w:ascii="Arial" w:hAnsi="Arial" w:cs="Arial"/>
          <w:iCs/>
          <w:color w:val="5B9BD5" w:themeColor="accent1"/>
          <w:sz w:val="20"/>
          <w:szCs w:val="20"/>
        </w:rPr>
      </w:pPr>
      <w:r w:rsidRPr="009C0DAC">
        <w:rPr>
          <w:rFonts w:ascii="Arial" w:hAnsi="Arial" w:cs="Arial"/>
          <w:iCs/>
          <w:color w:val="5B9BD5" w:themeColor="accent1"/>
          <w:sz w:val="20"/>
          <w:szCs w:val="20"/>
        </w:rPr>
        <w:t xml:space="preserve"> Por último, archívese en su oportunidad este expediente como asunto totalmente concluido. </w:t>
      </w:r>
      <w:r w:rsidRPr="009C0DAC">
        <w:rPr>
          <w:rFonts w:ascii="Arial" w:hAnsi="Arial" w:cs="Arial"/>
          <w:b/>
          <w:iCs/>
          <w:color w:val="5B9BD5" w:themeColor="accent1"/>
          <w:sz w:val="20"/>
          <w:szCs w:val="20"/>
        </w:rPr>
        <w:t>Notifíquese por lista y personalmente a las partes.</w:t>
      </w:r>
    </w:p>
    <w:p w:rsidR="009C0DAC" w:rsidRPr="009C0DAC" w:rsidRDefault="009C0DAC" w:rsidP="009C0DAC">
      <w:pPr>
        <w:spacing w:after="0" w:line="360" w:lineRule="auto"/>
        <w:ind w:firstLine="709"/>
        <w:jc w:val="both"/>
        <w:rPr>
          <w:rFonts w:ascii="Arial" w:hAnsi="Arial" w:cs="Arial"/>
          <w:iCs/>
          <w:color w:val="5B9BD5" w:themeColor="accent1"/>
          <w:sz w:val="20"/>
          <w:szCs w:val="20"/>
        </w:rPr>
      </w:pPr>
    </w:p>
    <w:p w:rsidR="009C0DAC" w:rsidRPr="009C0DAC" w:rsidRDefault="009C0DAC" w:rsidP="009C0DAC">
      <w:pPr>
        <w:spacing w:after="0" w:line="360" w:lineRule="auto"/>
        <w:ind w:firstLine="709"/>
        <w:jc w:val="both"/>
        <w:rPr>
          <w:rFonts w:ascii="Arial" w:hAnsi="Arial" w:cs="Arial"/>
          <w:iCs/>
          <w:color w:val="5B9BD5" w:themeColor="accent1"/>
          <w:sz w:val="20"/>
          <w:szCs w:val="20"/>
        </w:rPr>
      </w:pPr>
      <w:r w:rsidRPr="009C0DAC">
        <w:rPr>
          <w:rFonts w:ascii="Arial" w:hAnsi="Arial" w:cs="Arial"/>
          <w:iCs/>
          <w:color w:val="5B9BD5" w:themeColor="accent1"/>
          <w:sz w:val="20"/>
          <w:szCs w:val="20"/>
        </w:rPr>
        <w:t>Así lo proveyó y firma el Comisionado ponente de la Comisión Estatal de Garantía de Acceso a la Información Pública Licenciado David Enrique Menchaca Zúñiga, que actúa con Licenciada Rosa María Motilla García, Secretaria de Pleno de esta Comisión.</w:t>
      </w:r>
      <w:bookmarkStart w:id="1" w:name="_Hlk487626562"/>
      <w:r w:rsidRPr="009C0DAC">
        <w:rPr>
          <w:rFonts w:ascii="Arial" w:hAnsi="Arial" w:cs="Arial"/>
          <w:iCs/>
          <w:color w:val="5B9BD5" w:themeColor="accent1"/>
          <w:sz w:val="20"/>
          <w:szCs w:val="20"/>
        </w:rPr>
        <w:t xml:space="preserve"> </w:t>
      </w:r>
      <w:r w:rsidRPr="009C0DAC">
        <w:rPr>
          <w:rFonts w:ascii="Arial" w:hAnsi="Arial" w:cs="Arial"/>
          <w:b/>
          <w:iCs/>
          <w:color w:val="5B9BD5" w:themeColor="accent1"/>
          <w:sz w:val="20"/>
          <w:szCs w:val="20"/>
        </w:rPr>
        <w:t>Notifíquese por lista y personalmente a las partes.</w:t>
      </w:r>
      <w:bookmarkEnd w:id="1"/>
    </w:p>
    <w:p w:rsidR="00FE10DF" w:rsidRDefault="00BD4366" w:rsidP="00BD4366">
      <w:pPr>
        <w:tabs>
          <w:tab w:val="left" w:pos="932"/>
        </w:tabs>
        <w:spacing w:after="200" w:line="276" w:lineRule="auto"/>
        <w:jc w:val="both"/>
        <w:rPr>
          <w:rFonts w:ascii="Arial" w:eastAsia="Calibri" w:hAnsi="Arial" w:cs="Arial"/>
          <w:sz w:val="20"/>
          <w:szCs w:val="18"/>
          <w:lang w:val="es-MX"/>
        </w:rPr>
      </w:pPr>
      <w:r w:rsidRPr="00FE10DF">
        <w:rPr>
          <w:rFonts w:ascii="Arial" w:eastAsia="Calibri" w:hAnsi="Arial" w:cs="Arial"/>
          <w:sz w:val="20"/>
          <w:szCs w:val="18"/>
          <w:lang w:val="es-MX"/>
        </w:rPr>
        <w:t xml:space="preserve">         </w:t>
      </w:r>
    </w:p>
    <w:p w:rsidR="00BD4366" w:rsidRPr="00FE10DF" w:rsidRDefault="00BD4366" w:rsidP="00BD4366">
      <w:pPr>
        <w:tabs>
          <w:tab w:val="left" w:pos="932"/>
        </w:tabs>
        <w:spacing w:after="200" w:line="276" w:lineRule="auto"/>
        <w:jc w:val="both"/>
        <w:rPr>
          <w:rFonts w:ascii="Arial" w:eastAsia="Calibri" w:hAnsi="Arial" w:cs="Arial"/>
          <w:szCs w:val="18"/>
          <w:lang w:val="es-MX"/>
        </w:rPr>
      </w:pPr>
      <w:r w:rsidRPr="00FE10DF">
        <w:rPr>
          <w:rFonts w:ascii="Arial" w:eastAsia="Calibri" w:hAnsi="Arial" w:cs="Arial"/>
          <w:szCs w:val="18"/>
          <w:lang w:val="es-MX"/>
        </w:rPr>
        <w:t xml:space="preserve">    Lo que transcribo a Usted para su conocimiento y efectos legales consiguientes en vía de notificación del auto inserto.</w:t>
      </w:r>
    </w:p>
    <w:p w:rsidR="00BD4366" w:rsidRPr="00FE10DF" w:rsidRDefault="00BD4366" w:rsidP="00BD4366">
      <w:pPr>
        <w:spacing w:after="0" w:line="240" w:lineRule="auto"/>
        <w:jc w:val="center"/>
        <w:rPr>
          <w:rFonts w:ascii="Arial" w:eastAsia="Times New Roman" w:hAnsi="Arial" w:cs="Arial"/>
          <w:b/>
          <w:szCs w:val="24"/>
          <w:lang w:val="es-MX" w:eastAsia="es-ES"/>
        </w:rPr>
      </w:pPr>
      <w:r w:rsidRPr="00FE10DF">
        <w:rPr>
          <w:rFonts w:ascii="Arial" w:eastAsia="Times New Roman" w:hAnsi="Arial" w:cs="Arial"/>
          <w:b/>
          <w:szCs w:val="24"/>
          <w:lang w:val="es-MX" w:eastAsia="es-ES"/>
        </w:rPr>
        <w:t>Atentamente.</w:t>
      </w:r>
    </w:p>
    <w:p w:rsidR="00BD4366" w:rsidRPr="00FE10DF" w:rsidRDefault="00BD4366" w:rsidP="00BD4366">
      <w:pPr>
        <w:spacing w:after="0" w:line="240" w:lineRule="auto"/>
        <w:rPr>
          <w:rFonts w:ascii="Arial" w:eastAsia="Times New Roman" w:hAnsi="Arial" w:cs="Arial"/>
          <w:b/>
          <w:szCs w:val="24"/>
          <w:lang w:val="es-MX" w:eastAsia="es-ES"/>
        </w:rPr>
      </w:pPr>
    </w:p>
    <w:p w:rsidR="00BD4366" w:rsidRPr="00FE10DF" w:rsidRDefault="00BD4366" w:rsidP="00BD4366">
      <w:pPr>
        <w:spacing w:after="0" w:line="240" w:lineRule="auto"/>
        <w:rPr>
          <w:rFonts w:ascii="Arial" w:eastAsia="Times New Roman" w:hAnsi="Arial" w:cs="Arial"/>
          <w:b/>
          <w:szCs w:val="24"/>
          <w:lang w:val="es-MX" w:eastAsia="es-ES"/>
        </w:rPr>
      </w:pPr>
    </w:p>
    <w:p w:rsidR="00BD4366" w:rsidRPr="00FE10DF" w:rsidRDefault="00BD4366" w:rsidP="00FE10DF">
      <w:pPr>
        <w:spacing w:after="0" w:line="276" w:lineRule="auto"/>
        <w:jc w:val="center"/>
        <w:rPr>
          <w:rFonts w:ascii="Arial" w:eastAsia="Calibri" w:hAnsi="Arial" w:cs="Arial"/>
          <w:b/>
          <w:lang w:val="es-MX"/>
        </w:rPr>
      </w:pPr>
      <w:r w:rsidRPr="00FE10DF">
        <w:rPr>
          <w:rFonts w:ascii="Arial" w:eastAsia="Calibri" w:hAnsi="Arial" w:cs="Arial"/>
          <w:b/>
          <w:lang w:val="es-MX"/>
        </w:rPr>
        <w:t>Javier Pérez Limón</w:t>
      </w:r>
    </w:p>
    <w:p w:rsidR="00BD4366" w:rsidRPr="00FE10DF" w:rsidRDefault="00BD4366" w:rsidP="00FE10DF">
      <w:pPr>
        <w:spacing w:after="0"/>
        <w:jc w:val="center"/>
        <w:rPr>
          <w:lang w:val="es-MX"/>
        </w:rPr>
      </w:pPr>
      <w:r w:rsidRPr="00FE10DF">
        <w:rPr>
          <w:rFonts w:ascii="Arial" w:eastAsia="Calibri" w:hAnsi="Arial" w:cs="Arial"/>
          <w:b/>
          <w:lang w:val="es-MX"/>
        </w:rPr>
        <w:t>Notificador</w:t>
      </w:r>
    </w:p>
    <w:p w:rsidR="00BD4366" w:rsidRPr="00E94495" w:rsidRDefault="00BD4366" w:rsidP="00BD4366">
      <w:pPr>
        <w:rPr>
          <w:lang w:val="es-MX"/>
        </w:rPr>
      </w:pPr>
    </w:p>
    <w:p w:rsidR="000A404C" w:rsidRPr="005A47D6" w:rsidRDefault="00E40E0B">
      <w:pPr>
        <w:rPr>
          <w:lang w:val="es-MX"/>
        </w:rPr>
      </w:pPr>
    </w:p>
    <w:sectPr w:rsidR="000A404C" w:rsidRPr="005A47D6" w:rsidSect="005A47D6">
      <w:headerReference w:type="default" r:id="rId7"/>
      <w:pgSz w:w="12240" w:h="20160" w:code="5"/>
      <w:pgMar w:top="2835" w:right="851" w:bottom="2552"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E40E0B" w:rsidRDefault="00E40E0B" w:rsidP="005A47D6">
      <w:pPr>
        <w:spacing w:after="0" w:line="240" w:lineRule="auto"/>
      </w:pPr>
      <w:r>
        <w:separator/>
      </w:r>
    </w:p>
  </w:endnote>
  <w:endnote w:type="continuationSeparator" w:id="0">
    <w:p w:rsidR="00E40E0B" w:rsidRDefault="00E40E0B" w:rsidP="005A47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E40E0B" w:rsidRDefault="00E40E0B" w:rsidP="005A47D6">
      <w:pPr>
        <w:spacing w:after="0" w:line="240" w:lineRule="auto"/>
      </w:pPr>
      <w:r>
        <w:separator/>
      </w:r>
    </w:p>
  </w:footnote>
  <w:footnote w:type="continuationSeparator" w:id="0">
    <w:p w:rsidR="00E40E0B" w:rsidRDefault="00E40E0B" w:rsidP="005A47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FE10DF" w:rsidRPr="00FE10DF" w:rsidRDefault="00FE10DF" w:rsidP="00FE10DF">
    <w:pPr>
      <w:pStyle w:val="Piedepgina"/>
      <w:rPr>
        <w:i/>
      </w:rPr>
    </w:pPr>
    <w:r w:rsidRPr="00FE10DF">
      <w:rPr>
        <w:rFonts w:ascii="Arial" w:hAnsi="Arial" w:cs="Arial"/>
        <w:i/>
        <w:color w:val="222222"/>
        <w:shd w:val="clear" w:color="auto" w:fill="FFFFFF"/>
      </w:rPr>
      <w:t>2022, AÑO DE LAS Y LOS MIGRANTES DE SAN LUIS POTOSÍ</w:t>
    </w:r>
  </w:p>
  <w:p w:rsidR="005A47D6" w:rsidRPr="005A47D6" w:rsidRDefault="005A47D6">
    <w:pPr>
      <w:pStyle w:val="Encabezado"/>
      <w:rPr>
        <w:rFonts w:ascii="Arial" w:hAnsi="Arial" w:cs="Arial"/>
        <w:b/>
        <w:sz w:val="24"/>
        <w:szCs w:val="24"/>
        <w:lang w:val="es-MX"/>
      </w:rPr>
    </w:pPr>
    <w:r>
      <w:rPr>
        <w:rFonts w:ascii="Arial" w:hAnsi="Arial" w:cs="Arial"/>
        <w:b/>
        <w:sz w:val="24"/>
        <w:szCs w:val="24"/>
        <w:lang w:val="es-MX"/>
      </w:rPr>
      <w:t xml:space="preserve">                                                                                  RR</w:t>
    </w:r>
    <w:r w:rsidR="009C0DAC">
      <w:rPr>
        <w:rFonts w:ascii="Arial" w:hAnsi="Arial" w:cs="Arial"/>
        <w:b/>
        <w:sz w:val="24"/>
        <w:szCs w:val="24"/>
        <w:lang w:val="es-MX"/>
      </w:rPr>
      <w:t>-172/2019-1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7"/>
  <w:mirrorMargins/>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2B0E"/>
    <w:rsid w:val="000F0B5C"/>
    <w:rsid w:val="00192149"/>
    <w:rsid w:val="001F39C4"/>
    <w:rsid w:val="001F64E6"/>
    <w:rsid w:val="00217E18"/>
    <w:rsid w:val="003073AA"/>
    <w:rsid w:val="00336320"/>
    <w:rsid w:val="003427A6"/>
    <w:rsid w:val="003679C1"/>
    <w:rsid w:val="00385A2A"/>
    <w:rsid w:val="003C59FC"/>
    <w:rsid w:val="003F0712"/>
    <w:rsid w:val="004D47D7"/>
    <w:rsid w:val="00525DCB"/>
    <w:rsid w:val="00553665"/>
    <w:rsid w:val="005A47D6"/>
    <w:rsid w:val="005D178C"/>
    <w:rsid w:val="006444D1"/>
    <w:rsid w:val="006A2932"/>
    <w:rsid w:val="006C5C84"/>
    <w:rsid w:val="007753D2"/>
    <w:rsid w:val="007B53A2"/>
    <w:rsid w:val="009C0DAC"/>
    <w:rsid w:val="00B40163"/>
    <w:rsid w:val="00B579DD"/>
    <w:rsid w:val="00B72B0E"/>
    <w:rsid w:val="00BA592B"/>
    <w:rsid w:val="00BD4366"/>
    <w:rsid w:val="00BF672C"/>
    <w:rsid w:val="00C523D0"/>
    <w:rsid w:val="00D1597D"/>
    <w:rsid w:val="00E00ED9"/>
    <w:rsid w:val="00E22421"/>
    <w:rsid w:val="00E40E0B"/>
    <w:rsid w:val="00F90264"/>
    <w:rsid w:val="00F9181C"/>
    <w:rsid w:val="00FE0120"/>
    <w:rsid w:val="00FE10DF"/>
    <w:rsid w:val="00FF41A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6E8F56"/>
  <w15:chartTrackingRefBased/>
  <w15:docId w15:val="{A8B79E12-C403-5A4D-8726-AD05F2BF9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47D6"/>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A47D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A47D6"/>
  </w:style>
  <w:style w:type="paragraph" w:styleId="Piedepgina">
    <w:name w:val="footer"/>
    <w:basedOn w:val="Normal"/>
    <w:link w:val="PiedepginaCar"/>
    <w:uiPriority w:val="99"/>
    <w:unhideWhenUsed/>
    <w:rsid w:val="005A47D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A47D6"/>
  </w:style>
  <w:style w:type="paragraph" w:styleId="Textodeglobo">
    <w:name w:val="Balloon Text"/>
    <w:basedOn w:val="Normal"/>
    <w:link w:val="TextodegloboCar"/>
    <w:uiPriority w:val="99"/>
    <w:semiHidden/>
    <w:unhideWhenUsed/>
    <w:rsid w:val="0033632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36320"/>
    <w:rPr>
      <w:rFonts w:ascii="Segoe UI" w:hAnsi="Segoe UI" w:cs="Segoe UI"/>
      <w:sz w:val="18"/>
      <w:szCs w:val="18"/>
    </w:rPr>
  </w:style>
  <w:style w:type="paragraph" w:styleId="NormalWeb">
    <w:name w:val="Normal (Web)"/>
    <w:basedOn w:val="Normal"/>
    <w:uiPriority w:val="99"/>
    <w:unhideWhenUsed/>
    <w:rsid w:val="003C59F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corte4fondoCar1">
    <w:name w:val="corte4 fondo Car1"/>
    <w:link w:val="corte4fondo"/>
    <w:locked/>
    <w:rsid w:val="003C59FC"/>
    <w:rPr>
      <w:rFonts w:ascii="Arial" w:eastAsia="Times New Roman" w:hAnsi="Arial"/>
      <w:sz w:val="30"/>
    </w:rPr>
  </w:style>
  <w:style w:type="paragraph" w:customStyle="1" w:styleId="corte4fondo">
    <w:name w:val="corte4 fondo"/>
    <w:basedOn w:val="Normal"/>
    <w:link w:val="corte4fondoCar1"/>
    <w:qFormat/>
    <w:rsid w:val="003C59FC"/>
    <w:pPr>
      <w:spacing w:after="0" w:line="360" w:lineRule="auto"/>
      <w:ind w:firstLine="709"/>
      <w:jc w:val="both"/>
    </w:pPr>
    <w:rPr>
      <w:rFonts w:ascii="Arial" w:eastAsia="Times New Roman" w:hAnsi="Arial"/>
      <w:sz w:val="30"/>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3C59FC"/>
    <w:pPr>
      <w:spacing w:after="0" w:line="240" w:lineRule="auto"/>
    </w:pPr>
    <w:rPr>
      <w:rFonts w:ascii="Calibri" w:eastAsia="Calibri" w:hAnsi="Calibri" w:cs="Times New Roman"/>
      <w:sz w:val="20"/>
      <w:szCs w:val="20"/>
      <w:lang w:val="es-MX"/>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3C59FC"/>
    <w:rPr>
      <w:rFonts w:ascii="Calibri" w:eastAsia="Calibri" w:hAnsi="Calibri" w:cs="Times New Roman"/>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oficinavirtual/Library/Group%20Containers/UBF8T346G9.Office/User%20Content.localized/Templates.localized/OFICIO%20VER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OFICIO VERO.dotx</Template>
  <TotalTime>9</TotalTime>
  <Pages>3</Pages>
  <Words>1068</Words>
  <Characters>5876</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6931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YOALIT AMBRIZ HERNANDEZ</cp:lastModifiedBy>
  <cp:revision>1</cp:revision>
  <cp:lastPrinted>2022-03-10T18:25:00Z</cp:lastPrinted>
  <dcterms:created xsi:type="dcterms:W3CDTF">2022-03-31T18:26:00Z</dcterms:created>
  <dcterms:modified xsi:type="dcterms:W3CDTF">2022-03-31T19:28:00Z</dcterms:modified>
</cp:coreProperties>
</file>