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62944" w:rsidRPr="00C62944" w:rsidRDefault="00C62944" w:rsidP="00C62944">
      <w:pPr>
        <w:jc w:val="both"/>
        <w:rPr>
          <w:rFonts w:ascii="Arial" w:hAnsi="Arial" w:cs="Arial"/>
          <w:b/>
          <w:lang w:val="es-MX"/>
        </w:rPr>
      </w:pPr>
    </w:p>
    <w:p w:rsidR="00C62944" w:rsidRPr="00C62944" w:rsidRDefault="00C62944" w:rsidP="00C62944">
      <w:pPr>
        <w:jc w:val="both"/>
        <w:rPr>
          <w:rFonts w:ascii="Arial" w:hAnsi="Arial" w:cs="Arial"/>
          <w:b/>
          <w:lang w:val="es-MX"/>
        </w:rPr>
      </w:pPr>
    </w:p>
    <w:p w:rsidR="00C62944" w:rsidRPr="00C62944" w:rsidRDefault="00C62944" w:rsidP="00C62944">
      <w:pPr>
        <w:jc w:val="both"/>
        <w:rPr>
          <w:rFonts w:ascii="Arial" w:hAnsi="Arial" w:cs="Arial"/>
          <w:b/>
          <w:lang w:val="es-MX"/>
        </w:rPr>
      </w:pPr>
    </w:p>
    <w:p w:rsidR="00C62944" w:rsidRPr="00C62944" w:rsidRDefault="00C62944" w:rsidP="00C62944">
      <w:pPr>
        <w:jc w:val="both"/>
        <w:rPr>
          <w:rFonts w:ascii="Arial" w:hAnsi="Arial" w:cs="Arial"/>
          <w:b/>
          <w:lang w:val="es-MX"/>
        </w:rPr>
      </w:pPr>
    </w:p>
    <w:p w:rsidR="00C62944" w:rsidRPr="00C62944" w:rsidRDefault="005A45F5" w:rsidP="00C62944">
      <w:pPr>
        <w:jc w:val="both"/>
        <w:rPr>
          <w:rFonts w:ascii="Arial" w:hAnsi="Arial" w:cs="Arial"/>
          <w:b/>
        </w:rPr>
      </w:pPr>
      <w:proofErr w:type="spellStart"/>
      <w:r>
        <w:rPr>
          <w:rFonts w:ascii="Arial" w:hAnsi="Arial" w:cs="Arial"/>
          <w:b/>
        </w:rPr>
        <w:t>DEMZ</w:t>
      </w:r>
      <w:proofErr w:type="spellEnd"/>
      <w:r>
        <w:rPr>
          <w:rFonts w:ascii="Arial" w:hAnsi="Arial" w:cs="Arial"/>
          <w:b/>
        </w:rPr>
        <w:t xml:space="preserve"> </w:t>
      </w:r>
      <w:r w:rsidR="00393294">
        <w:rPr>
          <w:rFonts w:ascii="Arial" w:hAnsi="Arial" w:cs="Arial"/>
          <w:b/>
        </w:rPr>
        <w:t>1888</w:t>
      </w:r>
      <w:r w:rsidR="00C62944" w:rsidRPr="00C62944">
        <w:rPr>
          <w:rFonts w:ascii="Arial" w:hAnsi="Arial" w:cs="Arial"/>
          <w:b/>
        </w:rPr>
        <w:t>/202</w:t>
      </w:r>
      <w:r w:rsidR="000C18C2">
        <w:rPr>
          <w:rFonts w:ascii="Arial" w:hAnsi="Arial" w:cs="Arial"/>
          <w:b/>
        </w:rPr>
        <w:t>1</w:t>
      </w:r>
      <w:r w:rsidR="00C62944" w:rsidRPr="00C62944">
        <w:rPr>
          <w:rFonts w:ascii="Arial" w:hAnsi="Arial" w:cs="Arial"/>
          <w:b/>
        </w:rPr>
        <w:t>. TITULAR D</w:t>
      </w:r>
      <w:r w:rsidR="00397639">
        <w:rPr>
          <w:rFonts w:ascii="Arial" w:hAnsi="Arial" w:cs="Arial"/>
          <w:b/>
        </w:rPr>
        <w:t>E LA UNIDAD DE TRANSPARENCIA</w:t>
      </w:r>
      <w:r w:rsidR="00172378">
        <w:rPr>
          <w:rFonts w:ascii="Arial" w:hAnsi="Arial" w:cs="Arial"/>
          <w:b/>
        </w:rPr>
        <w:t xml:space="preserve"> D</w:t>
      </w:r>
      <w:r w:rsidR="00A355F2">
        <w:rPr>
          <w:rFonts w:ascii="Arial" w:hAnsi="Arial" w:cs="Arial"/>
          <w:b/>
        </w:rPr>
        <w:t>EL MUNICIPIO DE SAN LUIS POTOSÍ</w:t>
      </w:r>
    </w:p>
    <w:p w:rsidR="00C62944" w:rsidRPr="00C62944" w:rsidRDefault="00C62944" w:rsidP="00C62944">
      <w:pPr>
        <w:jc w:val="both"/>
        <w:rPr>
          <w:rFonts w:ascii="Arial" w:hAnsi="Arial" w:cs="Arial"/>
          <w:b/>
          <w:lang w:val="es-MX"/>
        </w:rPr>
      </w:pPr>
      <w:r w:rsidRPr="00C62944">
        <w:rPr>
          <w:rFonts w:ascii="Arial" w:hAnsi="Arial" w:cs="Arial"/>
          <w:b/>
          <w:lang w:val="es-MX"/>
        </w:rPr>
        <w:t>PRESENTE.-</w:t>
      </w:r>
    </w:p>
    <w:p w:rsidR="00C62944" w:rsidRPr="00C62944" w:rsidRDefault="00C62944" w:rsidP="00C62944">
      <w:pPr>
        <w:jc w:val="both"/>
        <w:rPr>
          <w:rFonts w:ascii="Arial" w:hAnsi="Arial" w:cs="Arial"/>
          <w:b/>
          <w:lang w:val="es-MX"/>
        </w:rPr>
      </w:pPr>
    </w:p>
    <w:p w:rsidR="00C62944" w:rsidRPr="00C62944" w:rsidRDefault="00C62944" w:rsidP="00C62944">
      <w:pPr>
        <w:jc w:val="both"/>
        <w:rPr>
          <w:rFonts w:ascii="Arial" w:hAnsi="Arial" w:cs="Arial"/>
          <w:b/>
          <w:lang w:val="es-MX"/>
        </w:rPr>
      </w:pPr>
    </w:p>
    <w:p w:rsidR="00C62944" w:rsidRPr="00C62944" w:rsidRDefault="00C62944" w:rsidP="00C62944">
      <w:pPr>
        <w:pStyle w:val="Encabezado"/>
        <w:spacing w:line="360" w:lineRule="auto"/>
        <w:jc w:val="both"/>
        <w:rPr>
          <w:rFonts w:ascii="Arial" w:hAnsi="Arial" w:cs="Arial"/>
          <w:i/>
          <w:iCs/>
          <w:color w:val="5B9BD5"/>
        </w:rPr>
      </w:pPr>
      <w:r w:rsidRPr="00C62944">
        <w:rPr>
          <w:rFonts w:ascii="Arial" w:hAnsi="Arial" w:cs="Arial"/>
          <w:lang w:val="es-MX"/>
        </w:rPr>
        <w:t>Por medio del presente hágase del conocimiento que en</w:t>
      </w:r>
      <w:r w:rsidR="000C18C2">
        <w:rPr>
          <w:rFonts w:ascii="Arial" w:hAnsi="Arial" w:cs="Arial"/>
        </w:rPr>
        <w:t xml:space="preserve"> </w:t>
      </w:r>
      <w:bookmarkStart w:id="0" w:name="_GoBack"/>
      <w:bookmarkEnd w:id="0"/>
      <w:r w:rsidR="00C86202">
        <w:rPr>
          <w:rFonts w:ascii="Arial" w:hAnsi="Arial" w:cs="Arial"/>
        </w:rPr>
        <w:t>24 veinticuatro</w:t>
      </w:r>
      <w:r w:rsidR="000C18C2">
        <w:rPr>
          <w:rFonts w:ascii="Arial" w:hAnsi="Arial" w:cs="Arial"/>
        </w:rPr>
        <w:t xml:space="preserve"> de noviembre de 2021 dos mil veintiuno</w:t>
      </w:r>
      <w:r w:rsidRPr="00C62944">
        <w:rPr>
          <w:rFonts w:ascii="Arial" w:hAnsi="Arial" w:cs="Arial"/>
          <w:lang w:val="es-MX"/>
        </w:rPr>
        <w:t xml:space="preserve">, se dictó un proveído dentro de los autos que integran el recurso de revisión </w:t>
      </w:r>
      <w:r w:rsidRPr="00C62944">
        <w:rPr>
          <w:rFonts w:ascii="Arial" w:hAnsi="Arial" w:cs="Arial"/>
          <w:b/>
          <w:lang w:val="es-MX"/>
        </w:rPr>
        <w:t>RR-</w:t>
      </w:r>
      <w:r w:rsidR="000C18C2">
        <w:rPr>
          <w:rFonts w:ascii="Arial" w:hAnsi="Arial" w:cs="Arial"/>
          <w:b/>
          <w:lang w:val="es-MX"/>
        </w:rPr>
        <w:t>679</w:t>
      </w:r>
      <w:r w:rsidR="00117BC3">
        <w:rPr>
          <w:rFonts w:ascii="Arial" w:hAnsi="Arial" w:cs="Arial"/>
          <w:b/>
          <w:lang w:val="es-MX"/>
        </w:rPr>
        <w:t>/20</w:t>
      </w:r>
      <w:r w:rsidR="000C18C2">
        <w:rPr>
          <w:rFonts w:ascii="Arial" w:hAnsi="Arial" w:cs="Arial"/>
          <w:b/>
          <w:lang w:val="es-MX"/>
        </w:rPr>
        <w:t>18</w:t>
      </w:r>
      <w:r w:rsidRPr="00C62944">
        <w:rPr>
          <w:rFonts w:ascii="Arial" w:hAnsi="Arial" w:cs="Arial"/>
          <w:b/>
          <w:lang w:val="es-MX"/>
        </w:rPr>
        <w:t>-1,</w:t>
      </w:r>
      <w:r w:rsidRPr="00C62944">
        <w:rPr>
          <w:rFonts w:ascii="Arial" w:hAnsi="Arial" w:cs="Arial"/>
          <w:bCs/>
        </w:rPr>
        <w:t xml:space="preserve"> mismo que a la letra dice:</w:t>
      </w:r>
      <w:r w:rsidRPr="00C62944">
        <w:rPr>
          <w:rFonts w:ascii="Arial" w:hAnsi="Arial" w:cs="Arial"/>
          <w:i/>
          <w:iCs/>
          <w:color w:val="5B9BD5"/>
        </w:rPr>
        <w:t xml:space="preserve">   </w:t>
      </w:r>
      <w:r w:rsidRPr="00C62944">
        <w:rPr>
          <w:rFonts w:ascii="Arial" w:hAnsi="Arial" w:cs="Arial"/>
        </w:rPr>
        <w:t xml:space="preserve">                                                                                                                                           </w:t>
      </w:r>
    </w:p>
    <w:p w:rsidR="00C62944" w:rsidRPr="00C62944" w:rsidRDefault="00C62944" w:rsidP="00C62944">
      <w:pPr>
        <w:tabs>
          <w:tab w:val="left" w:pos="6840"/>
        </w:tabs>
        <w:spacing w:line="360" w:lineRule="auto"/>
        <w:outlineLvl w:val="5"/>
        <w:rPr>
          <w:rFonts w:ascii="Arial" w:hAnsi="Arial" w:cs="Arial"/>
          <w:sz w:val="22"/>
          <w:szCs w:val="22"/>
        </w:rPr>
      </w:pPr>
    </w:p>
    <w:p w:rsidR="000C18C2" w:rsidRPr="000C18C2" w:rsidRDefault="000C18C2" w:rsidP="000C18C2">
      <w:pPr>
        <w:tabs>
          <w:tab w:val="left" w:pos="6840"/>
        </w:tabs>
        <w:spacing w:line="360" w:lineRule="auto"/>
        <w:outlineLvl w:val="5"/>
        <w:rPr>
          <w:rFonts w:ascii="Arial" w:hAnsi="Arial" w:cs="Arial"/>
          <w:color w:val="4472C4" w:themeColor="accent1"/>
          <w:sz w:val="20"/>
          <w:szCs w:val="20"/>
        </w:rPr>
      </w:pPr>
      <w:r w:rsidRPr="000C18C2">
        <w:rPr>
          <w:rFonts w:ascii="Arial" w:hAnsi="Arial" w:cs="Arial"/>
          <w:color w:val="4472C4" w:themeColor="accent1"/>
          <w:sz w:val="20"/>
          <w:szCs w:val="20"/>
        </w:rPr>
        <w:t xml:space="preserve">San Luis Potosí, San Luis Potosí, </w:t>
      </w:r>
      <w:r w:rsidR="00C86202">
        <w:rPr>
          <w:rFonts w:ascii="Arial" w:hAnsi="Arial" w:cs="Arial"/>
          <w:color w:val="4472C4" w:themeColor="accent1"/>
          <w:sz w:val="20"/>
          <w:szCs w:val="20"/>
        </w:rPr>
        <w:t>24 veinticuatro</w:t>
      </w:r>
      <w:r w:rsidRPr="000C18C2">
        <w:rPr>
          <w:rFonts w:ascii="Arial" w:hAnsi="Arial" w:cs="Arial"/>
          <w:color w:val="4472C4" w:themeColor="accent1"/>
          <w:sz w:val="20"/>
          <w:szCs w:val="20"/>
        </w:rPr>
        <w:t xml:space="preserve"> noviembre de 2021 dos mil veintiuno.</w:t>
      </w:r>
    </w:p>
    <w:p w:rsidR="000C18C2" w:rsidRPr="000C18C2" w:rsidRDefault="000C18C2" w:rsidP="000C18C2">
      <w:pPr>
        <w:tabs>
          <w:tab w:val="left" w:pos="6840"/>
        </w:tabs>
        <w:spacing w:line="360" w:lineRule="auto"/>
        <w:outlineLvl w:val="5"/>
        <w:rPr>
          <w:rFonts w:ascii="Arial" w:hAnsi="Arial" w:cs="Arial"/>
          <w:color w:val="4472C4" w:themeColor="accent1"/>
          <w:sz w:val="20"/>
          <w:szCs w:val="20"/>
        </w:rPr>
      </w:pPr>
    </w:p>
    <w:p w:rsidR="000C18C2" w:rsidRPr="000C18C2" w:rsidRDefault="000C18C2" w:rsidP="000C18C2">
      <w:pPr>
        <w:spacing w:line="360" w:lineRule="auto"/>
        <w:ind w:firstLine="708"/>
        <w:jc w:val="both"/>
        <w:rPr>
          <w:rFonts w:ascii="Arial" w:hAnsi="Arial" w:cs="Arial"/>
          <w:color w:val="4472C4" w:themeColor="accent1"/>
          <w:sz w:val="20"/>
          <w:szCs w:val="20"/>
        </w:rPr>
      </w:pPr>
      <w:r w:rsidRPr="000C18C2">
        <w:rPr>
          <w:rFonts w:ascii="Arial" w:hAnsi="Arial" w:cs="Arial"/>
          <w:color w:val="4472C4" w:themeColor="accent1"/>
          <w:sz w:val="20"/>
          <w:szCs w:val="20"/>
        </w:rPr>
        <w:t xml:space="preserve">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0C18C2">
        <w:rPr>
          <w:rFonts w:ascii="Arial" w:hAnsi="Arial" w:cs="Arial"/>
          <w:b/>
          <w:bCs/>
          <w:color w:val="4472C4" w:themeColor="accent1"/>
          <w:sz w:val="20"/>
          <w:szCs w:val="20"/>
          <w:u w:val="single"/>
        </w:rPr>
        <w:t>679/2018-1.</w:t>
      </w:r>
    </w:p>
    <w:p w:rsidR="000C18C2" w:rsidRPr="000C18C2" w:rsidRDefault="000C18C2" w:rsidP="000C18C2">
      <w:pPr>
        <w:spacing w:line="360" w:lineRule="auto"/>
        <w:ind w:firstLine="708"/>
        <w:jc w:val="both"/>
        <w:rPr>
          <w:rFonts w:ascii="Arial" w:hAnsi="Arial" w:cs="Arial"/>
          <w:color w:val="4472C4" w:themeColor="accent1"/>
          <w:sz w:val="20"/>
          <w:szCs w:val="20"/>
        </w:rPr>
      </w:pPr>
    </w:p>
    <w:p w:rsidR="000C18C2" w:rsidRPr="000C18C2" w:rsidRDefault="000C18C2" w:rsidP="000C18C2">
      <w:pPr>
        <w:spacing w:line="360" w:lineRule="auto"/>
        <w:ind w:firstLine="708"/>
        <w:jc w:val="both"/>
        <w:rPr>
          <w:rFonts w:ascii="Arial" w:hAnsi="Arial" w:cs="Arial"/>
          <w:color w:val="4472C4" w:themeColor="accent1"/>
          <w:sz w:val="20"/>
          <w:szCs w:val="20"/>
        </w:rPr>
      </w:pPr>
      <w:r w:rsidRPr="000C18C2">
        <w:rPr>
          <w:rFonts w:ascii="Arial" w:hAnsi="Arial" w:cs="Arial"/>
          <w:color w:val="4472C4" w:themeColor="accent1"/>
          <w:sz w:val="20"/>
          <w:szCs w:val="20"/>
        </w:rPr>
        <w:t>En primer término, resulta necesario insertar los efectos dictados en la resolución:</w:t>
      </w:r>
    </w:p>
    <w:p w:rsidR="000C18C2" w:rsidRPr="000C18C2" w:rsidRDefault="000C18C2" w:rsidP="000C18C2">
      <w:pPr>
        <w:pStyle w:val="corte4fondo"/>
        <w:tabs>
          <w:tab w:val="left" w:pos="567"/>
        </w:tabs>
        <w:rPr>
          <w:rFonts w:cs="Arial"/>
          <w:i/>
          <w:color w:val="4472C4" w:themeColor="accent1"/>
          <w:sz w:val="20"/>
        </w:rPr>
      </w:pPr>
    </w:p>
    <w:p w:rsidR="000C18C2" w:rsidRPr="000C18C2" w:rsidRDefault="000C18C2" w:rsidP="000C18C2">
      <w:pPr>
        <w:pStyle w:val="corte4fondo"/>
        <w:tabs>
          <w:tab w:val="left" w:pos="567"/>
        </w:tabs>
        <w:rPr>
          <w:rFonts w:cs="Arial"/>
          <w:b/>
          <w:i/>
          <w:iCs/>
          <w:color w:val="4472C4" w:themeColor="accent1"/>
          <w:sz w:val="20"/>
        </w:rPr>
      </w:pPr>
      <w:r w:rsidRPr="000C18C2">
        <w:rPr>
          <w:rFonts w:cs="Arial"/>
          <w:i/>
          <w:color w:val="4472C4" w:themeColor="accent1"/>
          <w:sz w:val="20"/>
        </w:rPr>
        <w:t>“[…]</w:t>
      </w:r>
      <w:r w:rsidRPr="000C18C2">
        <w:rPr>
          <w:rFonts w:cs="Arial"/>
          <w:b/>
          <w:i/>
          <w:iCs/>
          <w:color w:val="4472C4" w:themeColor="accent1"/>
          <w:sz w:val="20"/>
        </w:rPr>
        <w:t>6.1. Efectos de esta resolución.</w:t>
      </w:r>
    </w:p>
    <w:p w:rsidR="000C18C2" w:rsidRPr="000C18C2" w:rsidRDefault="000C18C2" w:rsidP="000C18C2">
      <w:pPr>
        <w:pStyle w:val="corte4fondo"/>
        <w:tabs>
          <w:tab w:val="left" w:pos="567"/>
        </w:tabs>
        <w:rPr>
          <w:rFonts w:cs="Arial"/>
          <w:i/>
          <w:iCs/>
          <w:color w:val="4472C4" w:themeColor="accent1"/>
          <w:sz w:val="20"/>
        </w:rPr>
      </w:pPr>
    </w:p>
    <w:p w:rsidR="000C18C2" w:rsidRPr="000C18C2" w:rsidRDefault="000C18C2" w:rsidP="000C18C2">
      <w:pPr>
        <w:pStyle w:val="corte4fondo"/>
        <w:tabs>
          <w:tab w:val="left" w:pos="567"/>
        </w:tabs>
        <w:rPr>
          <w:rFonts w:cs="Arial"/>
          <w:i/>
          <w:iCs/>
          <w:color w:val="4472C4" w:themeColor="accent1"/>
          <w:sz w:val="20"/>
        </w:rPr>
      </w:pPr>
      <w:r w:rsidRPr="000C18C2">
        <w:rPr>
          <w:rFonts w:cs="Arial"/>
          <w:i/>
          <w:iCs/>
          <w:color w:val="4472C4" w:themeColor="accent1"/>
          <w:sz w:val="20"/>
        </w:rPr>
        <w:t xml:space="preserve">Por las consideraciones expuestas, esta Comisión Estatal de Garantía de Acceso a la Información Pública de conformidad con el artículo 175, fracción III de la Ley de Transparencia y Acceso a la Información Pública del Estado </w:t>
      </w:r>
      <w:r w:rsidRPr="000C18C2">
        <w:rPr>
          <w:rFonts w:cs="Arial"/>
          <w:b/>
          <w:i/>
          <w:iCs/>
          <w:color w:val="4472C4" w:themeColor="accent1"/>
          <w:sz w:val="20"/>
        </w:rPr>
        <w:t>REVOCA</w:t>
      </w:r>
      <w:r w:rsidRPr="000C18C2">
        <w:rPr>
          <w:rFonts w:cs="Arial"/>
          <w:i/>
          <w:iCs/>
          <w:color w:val="4472C4" w:themeColor="accent1"/>
          <w:sz w:val="20"/>
        </w:rPr>
        <w:t xml:space="preserve"> la respuesta proporcionada por el ente obligado y lo conmina para que:</w:t>
      </w:r>
    </w:p>
    <w:p w:rsidR="000C18C2" w:rsidRPr="000C18C2" w:rsidRDefault="000C18C2" w:rsidP="000C18C2">
      <w:pPr>
        <w:pStyle w:val="corte4fondo"/>
        <w:tabs>
          <w:tab w:val="left" w:pos="567"/>
        </w:tabs>
        <w:rPr>
          <w:rFonts w:cs="Arial"/>
          <w:i/>
          <w:iCs/>
          <w:color w:val="4472C4" w:themeColor="accent1"/>
          <w:sz w:val="20"/>
        </w:rPr>
      </w:pPr>
    </w:p>
    <w:p w:rsidR="000C18C2" w:rsidRPr="000C18C2" w:rsidRDefault="000C18C2" w:rsidP="000C18C2">
      <w:pPr>
        <w:pStyle w:val="corte4fondo"/>
        <w:tabs>
          <w:tab w:val="left" w:pos="567"/>
        </w:tabs>
        <w:ind w:left="720" w:firstLine="0"/>
        <w:rPr>
          <w:rFonts w:cs="Arial"/>
          <w:i/>
          <w:iCs/>
          <w:color w:val="4472C4" w:themeColor="accent1"/>
          <w:sz w:val="20"/>
        </w:rPr>
      </w:pPr>
      <w:r w:rsidRPr="000C18C2">
        <w:rPr>
          <w:rFonts w:cs="Arial"/>
          <w:b/>
          <w:i/>
          <w:iCs/>
          <w:color w:val="4472C4" w:themeColor="accent1"/>
          <w:sz w:val="20"/>
        </w:rPr>
        <w:t>6.1.1</w:t>
      </w:r>
      <w:r w:rsidRPr="000C18C2">
        <w:rPr>
          <w:rFonts w:cs="Arial"/>
          <w:i/>
          <w:iCs/>
          <w:color w:val="4472C4" w:themeColor="accent1"/>
          <w:sz w:val="20"/>
        </w:rPr>
        <w:t>.</w:t>
      </w:r>
      <w:r w:rsidRPr="000C18C2">
        <w:rPr>
          <w:rFonts w:cs="Arial"/>
          <w:bCs/>
          <w:i/>
          <w:color w:val="4472C4" w:themeColor="accent1"/>
          <w:sz w:val="20"/>
        </w:rPr>
        <w:t xml:space="preserve"> </w:t>
      </w:r>
      <w:r w:rsidRPr="000C18C2">
        <w:rPr>
          <w:rFonts w:cs="Arial"/>
          <w:i/>
          <w:color w:val="4472C4" w:themeColor="accent1"/>
          <w:sz w:val="20"/>
        </w:rPr>
        <w:t>Atienda la modalidad electrónica para entregar la información peticionada, enviándola al correo electrónico que designó para tal efecto.</w:t>
      </w:r>
    </w:p>
    <w:p w:rsidR="000C18C2" w:rsidRPr="000C18C2" w:rsidRDefault="000C18C2" w:rsidP="000C18C2">
      <w:pPr>
        <w:spacing w:line="360" w:lineRule="auto"/>
        <w:jc w:val="both"/>
        <w:rPr>
          <w:rFonts w:ascii="Arial" w:hAnsi="Arial" w:cs="Arial"/>
          <w:color w:val="4472C4" w:themeColor="accent1"/>
          <w:sz w:val="20"/>
          <w:szCs w:val="20"/>
        </w:rPr>
      </w:pPr>
    </w:p>
    <w:p w:rsidR="000C18C2" w:rsidRPr="000C18C2" w:rsidRDefault="000C18C2" w:rsidP="000C18C2">
      <w:pPr>
        <w:spacing w:line="360" w:lineRule="auto"/>
        <w:ind w:firstLine="708"/>
        <w:jc w:val="both"/>
        <w:rPr>
          <w:rFonts w:ascii="Arial" w:hAnsi="Arial" w:cs="Arial"/>
          <w:color w:val="4472C4" w:themeColor="accent1"/>
          <w:sz w:val="20"/>
          <w:szCs w:val="20"/>
        </w:rPr>
      </w:pPr>
      <w:r w:rsidRPr="000C18C2">
        <w:rPr>
          <w:rFonts w:ascii="Arial" w:hAnsi="Arial" w:cs="Arial"/>
          <w:color w:val="4472C4" w:themeColor="accent1"/>
          <w:sz w:val="20"/>
          <w:szCs w:val="20"/>
        </w:rPr>
        <w:t>En consecuencia, el sujeto obligado por conducto del Titular de la Unidad de Transparencia presentó el oficio UT-507/2018, recibido en la oficialía de partes de este cuerpo colegiado el 07 siete de noviembre de 2018 dos mil dieciocho, junto con 8 anexos, donde informa sobre el cumplimiento al resolutivo.</w:t>
      </w:r>
    </w:p>
    <w:p w:rsidR="000C18C2" w:rsidRPr="000C18C2" w:rsidRDefault="000C18C2" w:rsidP="000C18C2">
      <w:pPr>
        <w:spacing w:line="360" w:lineRule="auto"/>
        <w:jc w:val="both"/>
        <w:rPr>
          <w:rFonts w:ascii="Arial" w:hAnsi="Arial" w:cs="Arial"/>
          <w:color w:val="4472C4" w:themeColor="accent1"/>
          <w:sz w:val="20"/>
          <w:szCs w:val="20"/>
          <w:highlight w:val="yellow"/>
        </w:rPr>
      </w:pPr>
    </w:p>
    <w:p w:rsidR="000C18C2" w:rsidRPr="000C18C2" w:rsidRDefault="000C18C2" w:rsidP="000C18C2">
      <w:pPr>
        <w:pStyle w:val="corte4fondo"/>
        <w:tabs>
          <w:tab w:val="left" w:pos="567"/>
        </w:tabs>
        <w:rPr>
          <w:rFonts w:cs="Arial"/>
          <w:color w:val="4472C4" w:themeColor="accent1"/>
          <w:sz w:val="20"/>
        </w:rPr>
      </w:pPr>
      <w:r w:rsidRPr="000C18C2">
        <w:rPr>
          <w:rFonts w:cs="Arial"/>
          <w:color w:val="4472C4" w:themeColor="accent1"/>
          <w:sz w:val="20"/>
        </w:rPr>
        <w:t>Ahora bien, para efecto del presente estudio es importante revisar contenido de los anexos del oficio UT-507/2018 (visibles a fojas 78 a 95 de autos), mismos que comprenden:</w:t>
      </w:r>
    </w:p>
    <w:p w:rsidR="000C18C2" w:rsidRPr="000C18C2" w:rsidRDefault="000C18C2" w:rsidP="000C18C2">
      <w:pPr>
        <w:pStyle w:val="corte4fondo"/>
        <w:tabs>
          <w:tab w:val="left" w:pos="567"/>
        </w:tabs>
        <w:rPr>
          <w:rFonts w:cs="Arial"/>
          <w:color w:val="4472C4" w:themeColor="accent1"/>
          <w:sz w:val="20"/>
        </w:rPr>
      </w:pPr>
    </w:p>
    <w:p w:rsidR="000C18C2" w:rsidRPr="000C18C2" w:rsidRDefault="000C18C2" w:rsidP="000C18C2">
      <w:pPr>
        <w:pStyle w:val="corte4fondo"/>
        <w:numPr>
          <w:ilvl w:val="0"/>
          <w:numId w:val="5"/>
        </w:numPr>
        <w:tabs>
          <w:tab w:val="left" w:pos="567"/>
        </w:tabs>
        <w:rPr>
          <w:rFonts w:cs="Arial"/>
          <w:color w:val="4472C4" w:themeColor="accent1"/>
          <w:sz w:val="20"/>
        </w:rPr>
      </w:pPr>
      <w:bookmarkStart w:id="1" w:name="_Hlk524514729"/>
      <w:r w:rsidRPr="000C18C2">
        <w:rPr>
          <w:rFonts w:cs="Arial"/>
          <w:color w:val="4472C4" w:themeColor="accent1"/>
          <w:sz w:val="20"/>
        </w:rPr>
        <w:t>Oficio UT-437/2018, de fecha 29 veintinueve de octubre de 2018, signado por la Titular de la Unidad de Transparencia.</w:t>
      </w:r>
    </w:p>
    <w:p w:rsidR="000C18C2" w:rsidRPr="000C18C2" w:rsidRDefault="000C18C2" w:rsidP="000C18C2">
      <w:pPr>
        <w:pStyle w:val="corte4fondo"/>
        <w:numPr>
          <w:ilvl w:val="0"/>
          <w:numId w:val="5"/>
        </w:numPr>
        <w:tabs>
          <w:tab w:val="left" w:pos="567"/>
        </w:tabs>
        <w:rPr>
          <w:rFonts w:cs="Arial"/>
          <w:color w:val="4472C4" w:themeColor="accent1"/>
          <w:sz w:val="20"/>
        </w:rPr>
      </w:pPr>
      <w:r w:rsidRPr="000C18C2">
        <w:rPr>
          <w:rFonts w:cs="Arial"/>
          <w:color w:val="4472C4" w:themeColor="accent1"/>
          <w:sz w:val="20"/>
        </w:rPr>
        <w:lastRenderedPageBreak/>
        <w:t>Oficio UT-438/2018, de fecha 29 veintinueve de octubre de 2018, signado por la Titular de la Unidad de Transparencia.</w:t>
      </w:r>
    </w:p>
    <w:p w:rsidR="000C18C2" w:rsidRPr="000C18C2" w:rsidRDefault="000C18C2" w:rsidP="000C18C2">
      <w:pPr>
        <w:pStyle w:val="corte4fondo"/>
        <w:numPr>
          <w:ilvl w:val="0"/>
          <w:numId w:val="5"/>
        </w:numPr>
        <w:tabs>
          <w:tab w:val="left" w:pos="567"/>
        </w:tabs>
        <w:rPr>
          <w:rFonts w:cs="Arial"/>
          <w:color w:val="4472C4" w:themeColor="accent1"/>
          <w:sz w:val="20"/>
        </w:rPr>
      </w:pPr>
      <w:r w:rsidRPr="000C18C2">
        <w:rPr>
          <w:rFonts w:cs="Arial"/>
          <w:color w:val="4472C4" w:themeColor="accent1"/>
          <w:sz w:val="20"/>
        </w:rPr>
        <w:t>Oficio OM/277/2018, signado por el Oficial Mayor del Municipio de San Luis Potosí, con fecha 05 cinco de noviembre de 2018.</w:t>
      </w:r>
    </w:p>
    <w:p w:rsidR="000C18C2" w:rsidRPr="000C18C2" w:rsidRDefault="000C18C2" w:rsidP="000C18C2">
      <w:pPr>
        <w:pStyle w:val="corte4fondo"/>
        <w:numPr>
          <w:ilvl w:val="0"/>
          <w:numId w:val="5"/>
        </w:numPr>
        <w:tabs>
          <w:tab w:val="left" w:pos="567"/>
        </w:tabs>
        <w:rPr>
          <w:rFonts w:cs="Arial"/>
          <w:color w:val="4472C4" w:themeColor="accent1"/>
          <w:sz w:val="20"/>
        </w:rPr>
      </w:pPr>
      <w:r w:rsidRPr="000C18C2">
        <w:rPr>
          <w:rFonts w:cs="Arial"/>
          <w:color w:val="4472C4" w:themeColor="accent1"/>
          <w:sz w:val="20"/>
        </w:rPr>
        <w:t>Oficio OM/278/2018, signado por el Oficial Mayor del Municipio de San Luis Potosí, con fecha 05 cinco de noviembre de 2018.</w:t>
      </w:r>
    </w:p>
    <w:p w:rsidR="000C18C2" w:rsidRPr="000C18C2" w:rsidRDefault="000C18C2" w:rsidP="000C18C2">
      <w:pPr>
        <w:pStyle w:val="corte4fondo"/>
        <w:numPr>
          <w:ilvl w:val="0"/>
          <w:numId w:val="5"/>
        </w:numPr>
        <w:tabs>
          <w:tab w:val="left" w:pos="567"/>
        </w:tabs>
        <w:rPr>
          <w:rFonts w:cs="Arial"/>
          <w:color w:val="4472C4" w:themeColor="accent1"/>
          <w:sz w:val="20"/>
        </w:rPr>
      </w:pPr>
      <w:r w:rsidRPr="000C18C2">
        <w:rPr>
          <w:rFonts w:cs="Arial"/>
          <w:color w:val="4472C4" w:themeColor="accent1"/>
          <w:sz w:val="20"/>
        </w:rPr>
        <w:t>Oficio TM/T/273/2018 de fecha 07 siete de noviembre de 2018 dos mil dieciocho signado por el Tesorero Municipal de San Luis Potosí.</w:t>
      </w:r>
    </w:p>
    <w:p w:rsidR="000C18C2" w:rsidRPr="000C18C2" w:rsidRDefault="000C18C2" w:rsidP="000C18C2">
      <w:pPr>
        <w:pStyle w:val="corte4fondo"/>
        <w:numPr>
          <w:ilvl w:val="0"/>
          <w:numId w:val="5"/>
        </w:numPr>
        <w:tabs>
          <w:tab w:val="left" w:pos="567"/>
        </w:tabs>
        <w:rPr>
          <w:rFonts w:cs="Arial"/>
          <w:color w:val="4472C4" w:themeColor="accent1"/>
          <w:sz w:val="20"/>
        </w:rPr>
      </w:pPr>
      <w:r w:rsidRPr="000C18C2">
        <w:rPr>
          <w:rFonts w:cs="Arial"/>
          <w:color w:val="4472C4" w:themeColor="accent1"/>
          <w:sz w:val="20"/>
        </w:rPr>
        <w:t>Copia certificada de correo electrónico enviado a la dirección electrónica del recurrente.</w:t>
      </w:r>
      <w:bookmarkEnd w:id="1"/>
    </w:p>
    <w:p w:rsidR="000C18C2" w:rsidRPr="000C18C2" w:rsidRDefault="000C18C2" w:rsidP="000C18C2">
      <w:pPr>
        <w:pStyle w:val="corte4fondo"/>
        <w:tabs>
          <w:tab w:val="left" w:pos="567"/>
        </w:tabs>
        <w:rPr>
          <w:rFonts w:cs="Arial"/>
          <w:color w:val="4472C4" w:themeColor="accent1"/>
          <w:sz w:val="20"/>
        </w:rPr>
      </w:pPr>
    </w:p>
    <w:p w:rsidR="000C18C2" w:rsidRPr="000C18C2" w:rsidRDefault="000C18C2" w:rsidP="000C18C2">
      <w:pPr>
        <w:pStyle w:val="corte4fondo"/>
        <w:tabs>
          <w:tab w:val="left" w:pos="567"/>
        </w:tabs>
        <w:rPr>
          <w:rFonts w:cs="Arial"/>
          <w:color w:val="4472C4" w:themeColor="accent1"/>
          <w:sz w:val="20"/>
        </w:rPr>
      </w:pPr>
      <w:r w:rsidRPr="000C18C2">
        <w:rPr>
          <w:rFonts w:cs="Arial"/>
          <w:color w:val="4472C4" w:themeColor="accent1"/>
          <w:sz w:val="20"/>
        </w:rPr>
        <w:t>Ahora bien, para efecto del presente estudio es importante revisar contenido de los anexos y escritos aportados por el sujeto obligado, mismos que comprenden la gestión realizada por el Titular de la Unidad de Transparencia para dar cumplimiento a la resolución dictada 17 diecisiete de octubre de 2018 de dos mil dieciocho.</w:t>
      </w:r>
    </w:p>
    <w:p w:rsidR="000C18C2" w:rsidRPr="000C18C2" w:rsidRDefault="000C18C2" w:rsidP="000C18C2">
      <w:pPr>
        <w:pStyle w:val="corte4fondo"/>
        <w:tabs>
          <w:tab w:val="left" w:pos="567"/>
        </w:tabs>
        <w:ind w:firstLine="0"/>
        <w:rPr>
          <w:rFonts w:cs="Arial"/>
          <w:color w:val="4472C4" w:themeColor="accent1"/>
          <w:sz w:val="20"/>
        </w:rPr>
      </w:pPr>
    </w:p>
    <w:p w:rsidR="000C18C2" w:rsidRPr="000C18C2" w:rsidRDefault="000C18C2" w:rsidP="000C18C2">
      <w:pPr>
        <w:pStyle w:val="corte4fondo"/>
        <w:tabs>
          <w:tab w:val="left" w:pos="567"/>
        </w:tabs>
        <w:ind w:firstLine="0"/>
        <w:rPr>
          <w:rFonts w:cs="Arial"/>
          <w:color w:val="4472C4" w:themeColor="accent1"/>
          <w:sz w:val="20"/>
        </w:rPr>
      </w:pPr>
      <w:r w:rsidRPr="000C18C2">
        <w:rPr>
          <w:rFonts w:cs="Arial"/>
          <w:color w:val="4472C4" w:themeColor="accent1"/>
          <w:sz w:val="20"/>
        </w:rPr>
        <w:tab/>
        <w:t>En lo referente a los oficios: UT-437/2018 y UT-438/2018   se puede advertir que consisten en la gestión realizada por la titular de la Unidad de Transparencia así como los oficios: OM/277/2018, OM/278/2018 la respuesta emitida por el Oficial Mayor del Municipio de San Luis Potosí y el oficio número TM/T/273/2018 consiste en la respuesta emitida por el Tesorero Municipal de San Luis Potosí.</w:t>
      </w:r>
    </w:p>
    <w:p w:rsidR="000C18C2" w:rsidRPr="000C18C2" w:rsidRDefault="000C18C2" w:rsidP="000C18C2">
      <w:pPr>
        <w:pStyle w:val="corte4fondo"/>
        <w:tabs>
          <w:tab w:val="left" w:pos="567"/>
        </w:tabs>
        <w:ind w:firstLine="0"/>
        <w:rPr>
          <w:rFonts w:cs="Arial"/>
          <w:color w:val="4472C4" w:themeColor="accent1"/>
          <w:sz w:val="20"/>
        </w:rPr>
      </w:pPr>
    </w:p>
    <w:p w:rsidR="000C18C2" w:rsidRPr="000C18C2" w:rsidRDefault="000C18C2" w:rsidP="000C18C2">
      <w:pPr>
        <w:pStyle w:val="corte4fondo"/>
        <w:tabs>
          <w:tab w:val="left" w:pos="567"/>
        </w:tabs>
        <w:ind w:firstLine="0"/>
        <w:rPr>
          <w:rFonts w:cs="Arial"/>
          <w:color w:val="4472C4" w:themeColor="accent1"/>
          <w:sz w:val="20"/>
        </w:rPr>
      </w:pPr>
      <w:r w:rsidRPr="000C18C2">
        <w:rPr>
          <w:rFonts w:cs="Arial"/>
          <w:color w:val="4472C4" w:themeColor="accent1"/>
          <w:sz w:val="20"/>
        </w:rPr>
        <w:tab/>
        <w:t>El sujeto obligado remite a esta comisión las respuestas otorgadas por las autoridades correspondientes, las cuales son visibles a 83 a 92 de autos.</w:t>
      </w:r>
    </w:p>
    <w:p w:rsidR="000C18C2" w:rsidRPr="000C18C2" w:rsidRDefault="000C18C2" w:rsidP="000C18C2">
      <w:pPr>
        <w:pStyle w:val="corte4fondo"/>
        <w:tabs>
          <w:tab w:val="left" w:pos="567"/>
        </w:tabs>
        <w:ind w:firstLine="0"/>
        <w:rPr>
          <w:rFonts w:cs="Arial"/>
          <w:color w:val="4472C4" w:themeColor="accent1"/>
          <w:sz w:val="20"/>
        </w:rPr>
      </w:pPr>
    </w:p>
    <w:p w:rsidR="000C18C2" w:rsidRPr="000C18C2" w:rsidRDefault="000C18C2" w:rsidP="000C18C2">
      <w:pPr>
        <w:pStyle w:val="corte4fondo"/>
        <w:tabs>
          <w:tab w:val="left" w:pos="567"/>
        </w:tabs>
        <w:ind w:firstLine="0"/>
        <w:rPr>
          <w:rFonts w:cs="Arial"/>
          <w:color w:val="4472C4" w:themeColor="accent1"/>
          <w:sz w:val="20"/>
        </w:rPr>
      </w:pPr>
      <w:r w:rsidRPr="000C18C2">
        <w:rPr>
          <w:rFonts w:cs="Arial"/>
          <w:color w:val="4472C4" w:themeColor="accent1"/>
          <w:sz w:val="20"/>
        </w:rPr>
        <w:tab/>
      </w:r>
      <w:r w:rsidRPr="000C18C2">
        <w:rPr>
          <w:rFonts w:cs="Arial"/>
          <w:color w:val="4472C4" w:themeColor="accent1"/>
          <w:sz w:val="20"/>
        </w:rPr>
        <w:tab/>
        <w:t xml:space="preserve">Así las cosas, el sujeto obligado también acompañó la constancia que acredita que dichas respuestas fueron notificadas al recurrente, notificación personal realizada al recurrente, constancias que generan la convicción de que la notificación fue efectuada de manera correcta, ya que el recurrente señaló en su escrito de interposición de su recurso de revisión que las notificaciones fueran practicadas por ese medio. (visible en foja 86 y 87 de autos) </w:t>
      </w:r>
    </w:p>
    <w:p w:rsidR="000C18C2" w:rsidRPr="000C18C2" w:rsidRDefault="000C18C2" w:rsidP="000C18C2">
      <w:pPr>
        <w:spacing w:line="360" w:lineRule="auto"/>
        <w:ind w:firstLine="680"/>
        <w:jc w:val="both"/>
        <w:rPr>
          <w:rFonts w:ascii="Arial" w:hAnsi="Arial" w:cs="Arial"/>
          <w:color w:val="4472C4" w:themeColor="accent1"/>
          <w:sz w:val="20"/>
          <w:szCs w:val="20"/>
        </w:rPr>
      </w:pPr>
    </w:p>
    <w:p w:rsidR="000C18C2" w:rsidRPr="000C18C2" w:rsidRDefault="000C18C2" w:rsidP="000C18C2">
      <w:pPr>
        <w:spacing w:line="360" w:lineRule="auto"/>
        <w:ind w:firstLine="680"/>
        <w:jc w:val="both"/>
        <w:rPr>
          <w:rFonts w:ascii="Arial" w:hAnsi="Arial" w:cs="Arial"/>
          <w:color w:val="4472C4" w:themeColor="accent1"/>
          <w:sz w:val="20"/>
          <w:szCs w:val="20"/>
        </w:rPr>
      </w:pPr>
      <w:r w:rsidRPr="000C18C2">
        <w:rPr>
          <w:rFonts w:ascii="Arial" w:hAnsi="Arial" w:cs="Arial"/>
          <w:color w:val="4472C4" w:themeColor="accent1"/>
          <w:sz w:val="20"/>
          <w:szCs w:val="20"/>
        </w:rPr>
        <w:t xml:space="preserve">De igual manera, de los oficios aportados por el sujeto obligado se tiene que la información se trata de la gestión del Titular de la Unidad de Transparencia para realizar la búsqueda exhaustiva de la información solicitada por el recurrente. </w:t>
      </w:r>
    </w:p>
    <w:p w:rsidR="000C18C2" w:rsidRPr="000C18C2" w:rsidRDefault="000C18C2" w:rsidP="000C18C2">
      <w:pPr>
        <w:spacing w:line="360" w:lineRule="auto"/>
        <w:jc w:val="both"/>
        <w:rPr>
          <w:rFonts w:ascii="Arial" w:hAnsi="Arial" w:cs="Arial"/>
          <w:color w:val="4472C4" w:themeColor="accent1"/>
          <w:sz w:val="20"/>
          <w:szCs w:val="20"/>
        </w:rPr>
      </w:pPr>
    </w:p>
    <w:p w:rsidR="000C18C2" w:rsidRPr="000C18C2" w:rsidRDefault="000C18C2" w:rsidP="000C18C2">
      <w:pPr>
        <w:spacing w:line="360" w:lineRule="auto"/>
        <w:ind w:firstLine="680"/>
        <w:jc w:val="both"/>
        <w:rPr>
          <w:rFonts w:ascii="Arial" w:hAnsi="Arial" w:cs="Arial"/>
          <w:color w:val="4472C4" w:themeColor="accent1"/>
          <w:sz w:val="20"/>
          <w:szCs w:val="20"/>
        </w:rPr>
      </w:pPr>
      <w:r w:rsidRPr="000C18C2">
        <w:rPr>
          <w:rFonts w:ascii="Arial" w:hAnsi="Arial" w:cs="Arial"/>
          <w:color w:val="4472C4" w:themeColor="accent1"/>
          <w:sz w:val="20"/>
          <w:szCs w:val="20"/>
        </w:rPr>
        <w:t>De tal suerte, se tiene que las documentales remitidas por el sujeto obligado, son suficientes para colmar los extremos fijados en la resolución de mérito y por tanto se encuentra cumplida.</w:t>
      </w:r>
    </w:p>
    <w:p w:rsidR="000C18C2" w:rsidRPr="000C18C2" w:rsidRDefault="000C18C2" w:rsidP="000C18C2">
      <w:pPr>
        <w:spacing w:line="360" w:lineRule="auto"/>
        <w:ind w:firstLine="680"/>
        <w:jc w:val="both"/>
        <w:rPr>
          <w:rFonts w:ascii="Arial" w:hAnsi="Arial" w:cs="Arial"/>
          <w:color w:val="4472C4" w:themeColor="accent1"/>
          <w:sz w:val="20"/>
          <w:szCs w:val="20"/>
        </w:rPr>
      </w:pPr>
    </w:p>
    <w:p w:rsidR="000C18C2" w:rsidRPr="000C18C2" w:rsidRDefault="000C18C2" w:rsidP="000C18C2">
      <w:pPr>
        <w:spacing w:line="360" w:lineRule="auto"/>
        <w:ind w:firstLine="680"/>
        <w:jc w:val="both"/>
        <w:rPr>
          <w:rFonts w:ascii="Arial" w:hAnsi="Arial" w:cs="Arial"/>
          <w:color w:val="4472C4" w:themeColor="accent1"/>
          <w:sz w:val="20"/>
          <w:szCs w:val="20"/>
        </w:rPr>
      </w:pPr>
      <w:r w:rsidRPr="000C18C2">
        <w:rPr>
          <w:rFonts w:ascii="Arial" w:hAnsi="Arial" w:cs="Arial"/>
          <w:color w:val="4472C4" w:themeColor="accent1"/>
          <w:sz w:val="20"/>
          <w:szCs w:val="20"/>
        </w:rPr>
        <w:t xml:space="preserve">En ese sentido, es dable asentar que no existe constancia alguna agregada a los autos que contravenga las documentales remitidas por el sujeto obligado para acreditar el cumplimiento de la resolución. </w:t>
      </w:r>
    </w:p>
    <w:p w:rsidR="000C18C2" w:rsidRPr="000C18C2" w:rsidRDefault="000C18C2" w:rsidP="000C18C2">
      <w:pPr>
        <w:spacing w:line="360" w:lineRule="auto"/>
        <w:ind w:firstLine="680"/>
        <w:jc w:val="both"/>
        <w:rPr>
          <w:rFonts w:ascii="Arial" w:hAnsi="Arial" w:cs="Arial"/>
          <w:color w:val="4472C4" w:themeColor="accent1"/>
          <w:sz w:val="20"/>
          <w:szCs w:val="20"/>
        </w:rPr>
      </w:pPr>
    </w:p>
    <w:p w:rsidR="000C18C2" w:rsidRPr="000C18C2" w:rsidRDefault="000C18C2" w:rsidP="000C18C2">
      <w:pPr>
        <w:spacing w:line="360" w:lineRule="auto"/>
        <w:ind w:firstLine="680"/>
        <w:jc w:val="both"/>
        <w:rPr>
          <w:rFonts w:ascii="Arial" w:hAnsi="Arial" w:cs="Arial"/>
          <w:b/>
          <w:color w:val="4472C4" w:themeColor="accent1"/>
          <w:sz w:val="20"/>
          <w:szCs w:val="20"/>
          <w:u w:val="single"/>
        </w:rPr>
      </w:pPr>
      <w:r w:rsidRPr="000C18C2">
        <w:rPr>
          <w:rFonts w:ascii="Arial" w:hAnsi="Arial" w:cs="Arial"/>
          <w:color w:val="4472C4" w:themeColor="accent1"/>
          <w:sz w:val="20"/>
          <w:szCs w:val="20"/>
        </w:rPr>
        <w:t xml:space="preserve">En consecuencia, por lo anteriormente expuesto y con fundamento en los artículos 27° primer párrafo y 185 de la Ley de Transparencia y Acceso a la Información Pública del Estado, </w:t>
      </w:r>
      <w:r w:rsidRPr="000C18C2">
        <w:rPr>
          <w:rFonts w:ascii="Arial" w:hAnsi="Arial" w:cs="Arial"/>
          <w:b/>
          <w:color w:val="4472C4" w:themeColor="accent1"/>
          <w:sz w:val="20"/>
          <w:szCs w:val="20"/>
          <w:u w:val="single"/>
        </w:rPr>
        <w:t xml:space="preserve">se tiene por cumplida la resolución, dictada en el recurso de revisión </w:t>
      </w:r>
      <w:proofErr w:type="spellStart"/>
      <w:r w:rsidRPr="000C18C2">
        <w:rPr>
          <w:rFonts w:ascii="Arial" w:hAnsi="Arial" w:cs="Arial"/>
          <w:b/>
          <w:color w:val="4472C4" w:themeColor="accent1"/>
          <w:sz w:val="20"/>
          <w:szCs w:val="20"/>
          <w:u w:val="single"/>
        </w:rPr>
        <w:t>RR</w:t>
      </w:r>
      <w:proofErr w:type="spellEnd"/>
      <w:r w:rsidRPr="000C18C2">
        <w:rPr>
          <w:rFonts w:ascii="Arial" w:hAnsi="Arial" w:cs="Arial"/>
          <w:b/>
          <w:color w:val="4472C4" w:themeColor="accent1"/>
          <w:sz w:val="20"/>
          <w:szCs w:val="20"/>
          <w:u w:val="single"/>
        </w:rPr>
        <w:t>-679/2018-1.</w:t>
      </w:r>
    </w:p>
    <w:p w:rsidR="000C18C2" w:rsidRPr="000C18C2" w:rsidRDefault="000C18C2" w:rsidP="000C18C2">
      <w:pPr>
        <w:spacing w:line="360" w:lineRule="auto"/>
        <w:ind w:firstLine="680"/>
        <w:jc w:val="both"/>
        <w:rPr>
          <w:rFonts w:ascii="Arial" w:hAnsi="Arial" w:cs="Arial"/>
          <w:color w:val="4472C4" w:themeColor="accent1"/>
          <w:sz w:val="20"/>
          <w:szCs w:val="20"/>
        </w:rPr>
      </w:pPr>
    </w:p>
    <w:p w:rsidR="000C18C2" w:rsidRPr="000C18C2" w:rsidRDefault="000C18C2" w:rsidP="000C18C2">
      <w:pPr>
        <w:spacing w:line="360" w:lineRule="auto"/>
        <w:ind w:firstLine="680"/>
        <w:jc w:val="both"/>
        <w:rPr>
          <w:rFonts w:ascii="Arial" w:hAnsi="Arial" w:cs="Arial"/>
          <w:color w:val="4472C4" w:themeColor="accent1"/>
          <w:sz w:val="20"/>
          <w:szCs w:val="20"/>
        </w:rPr>
      </w:pPr>
      <w:r w:rsidRPr="000C18C2">
        <w:rPr>
          <w:rFonts w:ascii="Arial" w:hAnsi="Arial" w:cs="Arial"/>
          <w:color w:val="4472C4" w:themeColor="accent1"/>
          <w:sz w:val="20"/>
          <w:szCs w:val="20"/>
        </w:rPr>
        <w:t xml:space="preserve"> Por último, archívese en su oportunidad este expediente como asunto totalmente concluido. Notifíquese por lista y personalmente a las partes.</w:t>
      </w:r>
    </w:p>
    <w:p w:rsidR="000C18C2" w:rsidRPr="000C18C2" w:rsidRDefault="000C18C2" w:rsidP="000C18C2">
      <w:pPr>
        <w:spacing w:line="360" w:lineRule="auto"/>
        <w:ind w:firstLine="680"/>
        <w:jc w:val="both"/>
        <w:rPr>
          <w:rFonts w:ascii="Arial" w:hAnsi="Arial" w:cs="Arial"/>
          <w:color w:val="4472C4" w:themeColor="accent1"/>
          <w:sz w:val="20"/>
          <w:szCs w:val="20"/>
        </w:rPr>
      </w:pPr>
      <w:r w:rsidRPr="000C18C2">
        <w:rPr>
          <w:rFonts w:ascii="Arial" w:hAnsi="Arial" w:cs="Arial"/>
          <w:color w:val="4472C4" w:themeColor="accent1"/>
          <w:sz w:val="20"/>
          <w:szCs w:val="20"/>
        </w:rPr>
        <w:tab/>
      </w:r>
    </w:p>
    <w:p w:rsidR="000C18C2" w:rsidRPr="000C18C2" w:rsidRDefault="000C18C2" w:rsidP="000C18C2">
      <w:pPr>
        <w:spacing w:line="360" w:lineRule="auto"/>
        <w:ind w:firstLine="680"/>
        <w:jc w:val="both"/>
        <w:rPr>
          <w:rFonts w:ascii="Arial" w:hAnsi="Arial" w:cs="Arial"/>
          <w:color w:val="4472C4" w:themeColor="accent1"/>
          <w:sz w:val="20"/>
          <w:szCs w:val="20"/>
        </w:rPr>
      </w:pPr>
      <w:r w:rsidRPr="000C18C2">
        <w:rPr>
          <w:rFonts w:ascii="Arial" w:hAnsi="Arial" w:cs="Arial"/>
          <w:color w:val="4472C4" w:themeColor="accent1"/>
          <w:sz w:val="20"/>
          <w:szCs w:val="20"/>
        </w:rPr>
        <w:t>Así lo proveyó y firma el Comisionado ponente de la Comisión Estatal de Garantía de Acceso a la Información Pública Licenciado David Enrique Menchaca Zúñiga, que actúa con Licenciada Rosa María Motilla García, Secretaria de Pleno de esta Comisión.</w:t>
      </w:r>
    </w:p>
    <w:p w:rsidR="000C18C2" w:rsidRPr="00006DE5" w:rsidRDefault="000C18C2" w:rsidP="000C18C2">
      <w:pPr>
        <w:spacing w:line="360" w:lineRule="auto"/>
        <w:ind w:firstLine="680"/>
        <w:jc w:val="both"/>
        <w:rPr>
          <w:rFonts w:ascii="Arial" w:hAnsi="Arial" w:cs="Arial"/>
          <w:sz w:val="10"/>
          <w:szCs w:val="10"/>
        </w:rPr>
      </w:pPr>
    </w:p>
    <w:p w:rsidR="00C62944" w:rsidRPr="00C62944" w:rsidRDefault="00C62944" w:rsidP="00C62944">
      <w:pPr>
        <w:tabs>
          <w:tab w:val="left" w:pos="6840"/>
        </w:tabs>
        <w:spacing w:line="360" w:lineRule="auto"/>
        <w:ind w:firstLine="708"/>
        <w:outlineLvl w:val="5"/>
        <w:rPr>
          <w:rFonts w:ascii="Arial" w:hAnsi="Arial" w:cs="Arial"/>
          <w:sz w:val="22"/>
          <w:szCs w:val="22"/>
        </w:rPr>
      </w:pPr>
    </w:p>
    <w:p w:rsidR="00C62944" w:rsidRPr="00C62944" w:rsidRDefault="00C62944" w:rsidP="00C62944">
      <w:pPr>
        <w:tabs>
          <w:tab w:val="left" w:pos="6840"/>
        </w:tabs>
        <w:spacing w:line="360" w:lineRule="auto"/>
        <w:outlineLvl w:val="5"/>
        <w:rPr>
          <w:rFonts w:ascii="Arial" w:hAnsi="Arial" w:cs="Arial"/>
        </w:rPr>
      </w:pPr>
    </w:p>
    <w:p w:rsidR="00C62944" w:rsidRPr="00C62944" w:rsidRDefault="00C62944" w:rsidP="00C62944">
      <w:pPr>
        <w:tabs>
          <w:tab w:val="left" w:pos="932"/>
        </w:tabs>
        <w:spacing w:line="360" w:lineRule="auto"/>
        <w:ind w:firstLine="708"/>
        <w:jc w:val="both"/>
        <w:rPr>
          <w:rFonts w:ascii="Arial" w:hAnsi="Arial" w:cs="Arial"/>
          <w:lang w:val="es-MX"/>
        </w:rPr>
      </w:pPr>
      <w:r w:rsidRPr="00C62944">
        <w:rPr>
          <w:rFonts w:ascii="Arial" w:hAnsi="Arial" w:cs="Arial"/>
          <w:lang w:val="es-MX"/>
        </w:rPr>
        <w:t>Lo que transcribo a Usted para su conocimiento y efectos legales consiguientes en vía de notificación del auto inserto.</w:t>
      </w:r>
    </w:p>
    <w:p w:rsidR="00C62944" w:rsidRPr="00C62944" w:rsidRDefault="00C62944" w:rsidP="00C62944">
      <w:pPr>
        <w:pStyle w:val="NormalWeb"/>
        <w:spacing w:before="0" w:beforeAutospacing="0" w:after="0" w:afterAutospacing="0"/>
        <w:jc w:val="center"/>
        <w:rPr>
          <w:rFonts w:ascii="Arial" w:hAnsi="Arial" w:cs="Arial"/>
          <w:b/>
          <w:lang w:val="es-MX"/>
        </w:rPr>
      </w:pPr>
      <w:r w:rsidRPr="00C62944">
        <w:rPr>
          <w:rFonts w:ascii="Arial" w:hAnsi="Arial" w:cs="Arial"/>
          <w:b/>
          <w:lang w:val="es-MX"/>
        </w:rPr>
        <w:t>Atentamente.</w:t>
      </w:r>
    </w:p>
    <w:p w:rsidR="00C62944" w:rsidRPr="00C62944" w:rsidRDefault="00C62944" w:rsidP="00C62944">
      <w:pPr>
        <w:pStyle w:val="NormalWeb"/>
        <w:spacing w:before="0" w:beforeAutospacing="0" w:after="0" w:afterAutospacing="0"/>
        <w:rPr>
          <w:rFonts w:ascii="Arial" w:hAnsi="Arial" w:cs="Arial"/>
          <w:b/>
          <w:lang w:val="es-MX"/>
        </w:rPr>
      </w:pPr>
    </w:p>
    <w:p w:rsidR="00C62944" w:rsidRPr="00C62944" w:rsidRDefault="00C62944" w:rsidP="00C62944">
      <w:pPr>
        <w:pStyle w:val="NormalWeb"/>
        <w:spacing w:before="0" w:beforeAutospacing="0" w:after="0" w:afterAutospacing="0"/>
        <w:rPr>
          <w:rFonts w:ascii="Arial" w:hAnsi="Arial" w:cs="Arial"/>
          <w:b/>
          <w:lang w:val="es-MX"/>
        </w:rPr>
      </w:pPr>
    </w:p>
    <w:p w:rsidR="00C62944" w:rsidRPr="00C62944" w:rsidRDefault="00C62944" w:rsidP="00C62944">
      <w:pPr>
        <w:jc w:val="center"/>
        <w:rPr>
          <w:rFonts w:ascii="Arial" w:hAnsi="Arial" w:cs="Arial"/>
          <w:b/>
        </w:rPr>
      </w:pPr>
      <w:r w:rsidRPr="00C62944">
        <w:rPr>
          <w:rFonts w:ascii="Arial" w:hAnsi="Arial" w:cs="Arial"/>
          <w:b/>
        </w:rPr>
        <w:t>Javier Pérez Limón</w:t>
      </w:r>
    </w:p>
    <w:p w:rsidR="00C62944" w:rsidRPr="00C62944" w:rsidRDefault="00C62944" w:rsidP="00C62944">
      <w:pPr>
        <w:jc w:val="center"/>
      </w:pPr>
      <w:r w:rsidRPr="00C62944">
        <w:rPr>
          <w:rFonts w:ascii="Arial" w:hAnsi="Arial" w:cs="Arial"/>
          <w:b/>
        </w:rPr>
        <w:t>Notificador.</w:t>
      </w:r>
    </w:p>
    <w:p w:rsidR="007316FE" w:rsidRPr="00C62944" w:rsidRDefault="007316FE" w:rsidP="00C62944"/>
    <w:sectPr w:rsidR="007316FE" w:rsidRPr="00C62944" w:rsidSect="00C27751">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91E51" w:rsidRDefault="00291E51" w:rsidP="00C13204">
      <w:r>
        <w:separator/>
      </w:r>
    </w:p>
  </w:endnote>
  <w:endnote w:type="continuationSeparator" w:id="0">
    <w:p w:rsidR="00291E51" w:rsidRDefault="00291E51"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91E51" w:rsidRDefault="00291E51" w:rsidP="00C13204">
      <w:r>
        <w:separator/>
      </w:r>
    </w:p>
  </w:footnote>
  <w:footnote w:type="continuationSeparator" w:id="0">
    <w:p w:rsidR="00291E51" w:rsidRDefault="00291E51"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3"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1"/>
  </w:num>
  <w:num w:numId="3">
    <w:abstractNumId w:val="1"/>
  </w:num>
  <w:num w:numId="4">
    <w:abstractNumId w:val="1"/>
  </w:num>
  <w:num w:numId="5">
    <w:abstractNumId w:val="2"/>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mirrorMargins/>
  <w:proofState w:spelling="clean" w:grammar="clean"/>
  <w:attachedTemplate r:id="rId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8C2"/>
    <w:rsid w:val="00005FB0"/>
    <w:rsid w:val="00006C1B"/>
    <w:rsid w:val="00007029"/>
    <w:rsid w:val="00010149"/>
    <w:rsid w:val="00016FC6"/>
    <w:rsid w:val="00036F98"/>
    <w:rsid w:val="00037EEF"/>
    <w:rsid w:val="00056B4F"/>
    <w:rsid w:val="00057005"/>
    <w:rsid w:val="00070697"/>
    <w:rsid w:val="00080174"/>
    <w:rsid w:val="00080641"/>
    <w:rsid w:val="00083139"/>
    <w:rsid w:val="00083B21"/>
    <w:rsid w:val="00096E34"/>
    <w:rsid w:val="000A1C72"/>
    <w:rsid w:val="000A3642"/>
    <w:rsid w:val="000B08F0"/>
    <w:rsid w:val="000B50C9"/>
    <w:rsid w:val="000C16D6"/>
    <w:rsid w:val="000C18C2"/>
    <w:rsid w:val="000C276F"/>
    <w:rsid w:val="000C59B7"/>
    <w:rsid w:val="000D006A"/>
    <w:rsid w:val="000D1616"/>
    <w:rsid w:val="000D365F"/>
    <w:rsid w:val="000D3BE6"/>
    <w:rsid w:val="000D3CB9"/>
    <w:rsid w:val="000D3FD8"/>
    <w:rsid w:val="000E0BE8"/>
    <w:rsid w:val="000E4E47"/>
    <w:rsid w:val="000F2132"/>
    <w:rsid w:val="000F744B"/>
    <w:rsid w:val="0010774C"/>
    <w:rsid w:val="00107C2A"/>
    <w:rsid w:val="001145A8"/>
    <w:rsid w:val="00115386"/>
    <w:rsid w:val="001167F3"/>
    <w:rsid w:val="00117BC3"/>
    <w:rsid w:val="00121EBA"/>
    <w:rsid w:val="00121F0B"/>
    <w:rsid w:val="0012394A"/>
    <w:rsid w:val="00125C6B"/>
    <w:rsid w:val="001265D2"/>
    <w:rsid w:val="00126ABD"/>
    <w:rsid w:val="00130BD3"/>
    <w:rsid w:val="00131CEB"/>
    <w:rsid w:val="00132483"/>
    <w:rsid w:val="00142AE5"/>
    <w:rsid w:val="001526D4"/>
    <w:rsid w:val="00154996"/>
    <w:rsid w:val="00162704"/>
    <w:rsid w:val="00163A02"/>
    <w:rsid w:val="00164840"/>
    <w:rsid w:val="00172378"/>
    <w:rsid w:val="001725EF"/>
    <w:rsid w:val="00176A37"/>
    <w:rsid w:val="001828F2"/>
    <w:rsid w:val="0019501E"/>
    <w:rsid w:val="001A655A"/>
    <w:rsid w:val="001A65B8"/>
    <w:rsid w:val="001B0B9B"/>
    <w:rsid w:val="001B1110"/>
    <w:rsid w:val="001B4221"/>
    <w:rsid w:val="001B44AC"/>
    <w:rsid w:val="001C2DA0"/>
    <w:rsid w:val="001D2CFB"/>
    <w:rsid w:val="001D6765"/>
    <w:rsid w:val="001F0E4F"/>
    <w:rsid w:val="001F3096"/>
    <w:rsid w:val="001F4737"/>
    <w:rsid w:val="00200BF6"/>
    <w:rsid w:val="00206519"/>
    <w:rsid w:val="00212A79"/>
    <w:rsid w:val="00212CB3"/>
    <w:rsid w:val="002155C8"/>
    <w:rsid w:val="00217739"/>
    <w:rsid w:val="00217BF6"/>
    <w:rsid w:val="00220223"/>
    <w:rsid w:val="00223637"/>
    <w:rsid w:val="00242BBC"/>
    <w:rsid w:val="002477FF"/>
    <w:rsid w:val="002603DC"/>
    <w:rsid w:val="002653E6"/>
    <w:rsid w:val="002661DE"/>
    <w:rsid w:val="002721C6"/>
    <w:rsid w:val="002763CB"/>
    <w:rsid w:val="0027764E"/>
    <w:rsid w:val="00281751"/>
    <w:rsid w:val="00284222"/>
    <w:rsid w:val="00285C93"/>
    <w:rsid w:val="00291E51"/>
    <w:rsid w:val="00293636"/>
    <w:rsid w:val="00293E4F"/>
    <w:rsid w:val="002A3FEF"/>
    <w:rsid w:val="002B4236"/>
    <w:rsid w:val="002D225B"/>
    <w:rsid w:val="002D7989"/>
    <w:rsid w:val="002E1FD1"/>
    <w:rsid w:val="002E3571"/>
    <w:rsid w:val="002E4CC8"/>
    <w:rsid w:val="002E5926"/>
    <w:rsid w:val="002E61DE"/>
    <w:rsid w:val="002F3449"/>
    <w:rsid w:val="002F4C15"/>
    <w:rsid w:val="002F5554"/>
    <w:rsid w:val="003004FC"/>
    <w:rsid w:val="003134DD"/>
    <w:rsid w:val="00314476"/>
    <w:rsid w:val="003155DE"/>
    <w:rsid w:val="003208DD"/>
    <w:rsid w:val="00333677"/>
    <w:rsid w:val="00334416"/>
    <w:rsid w:val="00352E51"/>
    <w:rsid w:val="00357D2F"/>
    <w:rsid w:val="00361496"/>
    <w:rsid w:val="0036534B"/>
    <w:rsid w:val="0037479D"/>
    <w:rsid w:val="0037693F"/>
    <w:rsid w:val="003770E3"/>
    <w:rsid w:val="003771DB"/>
    <w:rsid w:val="00384740"/>
    <w:rsid w:val="00385221"/>
    <w:rsid w:val="00393294"/>
    <w:rsid w:val="00393F06"/>
    <w:rsid w:val="00393FFB"/>
    <w:rsid w:val="00397639"/>
    <w:rsid w:val="003B2619"/>
    <w:rsid w:val="003B6613"/>
    <w:rsid w:val="003C4C01"/>
    <w:rsid w:val="003C5D93"/>
    <w:rsid w:val="003D0ACC"/>
    <w:rsid w:val="003D20D2"/>
    <w:rsid w:val="003E5CD1"/>
    <w:rsid w:val="003E648E"/>
    <w:rsid w:val="003F3277"/>
    <w:rsid w:val="003F64D8"/>
    <w:rsid w:val="00404055"/>
    <w:rsid w:val="00411ED2"/>
    <w:rsid w:val="00424167"/>
    <w:rsid w:val="004245A3"/>
    <w:rsid w:val="004276B3"/>
    <w:rsid w:val="004327AD"/>
    <w:rsid w:val="00457670"/>
    <w:rsid w:val="004578F5"/>
    <w:rsid w:val="004622A7"/>
    <w:rsid w:val="0046261C"/>
    <w:rsid w:val="0047340E"/>
    <w:rsid w:val="00486C8B"/>
    <w:rsid w:val="00487E95"/>
    <w:rsid w:val="00493CF7"/>
    <w:rsid w:val="004A30EC"/>
    <w:rsid w:val="004A72BB"/>
    <w:rsid w:val="004A7BAD"/>
    <w:rsid w:val="004B7B20"/>
    <w:rsid w:val="004C35FC"/>
    <w:rsid w:val="004C6912"/>
    <w:rsid w:val="004D1C99"/>
    <w:rsid w:val="004D25F0"/>
    <w:rsid w:val="004D51F3"/>
    <w:rsid w:val="004E09EC"/>
    <w:rsid w:val="004E171F"/>
    <w:rsid w:val="004E385A"/>
    <w:rsid w:val="004E44EE"/>
    <w:rsid w:val="004F3943"/>
    <w:rsid w:val="004F58C4"/>
    <w:rsid w:val="00503631"/>
    <w:rsid w:val="00503DC7"/>
    <w:rsid w:val="00513682"/>
    <w:rsid w:val="00515D23"/>
    <w:rsid w:val="005273DB"/>
    <w:rsid w:val="005320BF"/>
    <w:rsid w:val="00534CB2"/>
    <w:rsid w:val="00537CAA"/>
    <w:rsid w:val="005436AA"/>
    <w:rsid w:val="00546488"/>
    <w:rsid w:val="0054734F"/>
    <w:rsid w:val="00551D02"/>
    <w:rsid w:val="00552D0C"/>
    <w:rsid w:val="00553176"/>
    <w:rsid w:val="00563168"/>
    <w:rsid w:val="00566772"/>
    <w:rsid w:val="00570C67"/>
    <w:rsid w:val="00586A46"/>
    <w:rsid w:val="005910CD"/>
    <w:rsid w:val="005912F5"/>
    <w:rsid w:val="00596C6E"/>
    <w:rsid w:val="0059784B"/>
    <w:rsid w:val="005A45F5"/>
    <w:rsid w:val="005C6B89"/>
    <w:rsid w:val="005C7060"/>
    <w:rsid w:val="005D0A1B"/>
    <w:rsid w:val="005D5DF8"/>
    <w:rsid w:val="005D6604"/>
    <w:rsid w:val="005E2C7B"/>
    <w:rsid w:val="005F16CE"/>
    <w:rsid w:val="005F2B6C"/>
    <w:rsid w:val="005F4770"/>
    <w:rsid w:val="0060323F"/>
    <w:rsid w:val="00606B03"/>
    <w:rsid w:val="006219F9"/>
    <w:rsid w:val="00641145"/>
    <w:rsid w:val="00647CED"/>
    <w:rsid w:val="00650357"/>
    <w:rsid w:val="00653285"/>
    <w:rsid w:val="006538AD"/>
    <w:rsid w:val="00663CAF"/>
    <w:rsid w:val="00670747"/>
    <w:rsid w:val="00671028"/>
    <w:rsid w:val="006729F0"/>
    <w:rsid w:val="00674135"/>
    <w:rsid w:val="0067620A"/>
    <w:rsid w:val="00677DE4"/>
    <w:rsid w:val="0068366B"/>
    <w:rsid w:val="006851BA"/>
    <w:rsid w:val="00694BDB"/>
    <w:rsid w:val="0069593C"/>
    <w:rsid w:val="00697F6B"/>
    <w:rsid w:val="006A04DC"/>
    <w:rsid w:val="006A5FFB"/>
    <w:rsid w:val="006B49CE"/>
    <w:rsid w:val="006B4CB0"/>
    <w:rsid w:val="006B5D93"/>
    <w:rsid w:val="006C04BA"/>
    <w:rsid w:val="006C264A"/>
    <w:rsid w:val="006D30D6"/>
    <w:rsid w:val="006D3763"/>
    <w:rsid w:val="006E0983"/>
    <w:rsid w:val="006E2F63"/>
    <w:rsid w:val="006E4032"/>
    <w:rsid w:val="006E5383"/>
    <w:rsid w:val="006E76DC"/>
    <w:rsid w:val="006E7D35"/>
    <w:rsid w:val="006F2703"/>
    <w:rsid w:val="006F5835"/>
    <w:rsid w:val="007024C5"/>
    <w:rsid w:val="0070569D"/>
    <w:rsid w:val="00705ABE"/>
    <w:rsid w:val="00705D36"/>
    <w:rsid w:val="007074E3"/>
    <w:rsid w:val="0071796E"/>
    <w:rsid w:val="007217FA"/>
    <w:rsid w:val="00725C2A"/>
    <w:rsid w:val="007279EA"/>
    <w:rsid w:val="007316FE"/>
    <w:rsid w:val="00742CC9"/>
    <w:rsid w:val="007449AF"/>
    <w:rsid w:val="00752B6A"/>
    <w:rsid w:val="00752B94"/>
    <w:rsid w:val="0075391E"/>
    <w:rsid w:val="0075582C"/>
    <w:rsid w:val="0077438C"/>
    <w:rsid w:val="00782A7B"/>
    <w:rsid w:val="007851CA"/>
    <w:rsid w:val="00790985"/>
    <w:rsid w:val="00796A97"/>
    <w:rsid w:val="007A0E7A"/>
    <w:rsid w:val="007A3A26"/>
    <w:rsid w:val="007A4BBD"/>
    <w:rsid w:val="007B2E57"/>
    <w:rsid w:val="007B6292"/>
    <w:rsid w:val="007B7319"/>
    <w:rsid w:val="007C0036"/>
    <w:rsid w:val="007C022A"/>
    <w:rsid w:val="007C591B"/>
    <w:rsid w:val="007D1036"/>
    <w:rsid w:val="007D78E0"/>
    <w:rsid w:val="007E2797"/>
    <w:rsid w:val="00814013"/>
    <w:rsid w:val="00820DE2"/>
    <w:rsid w:val="00824C9E"/>
    <w:rsid w:val="00826449"/>
    <w:rsid w:val="00827298"/>
    <w:rsid w:val="00833DC1"/>
    <w:rsid w:val="0084698F"/>
    <w:rsid w:val="00855F18"/>
    <w:rsid w:val="00862AD1"/>
    <w:rsid w:val="008634D8"/>
    <w:rsid w:val="0087714D"/>
    <w:rsid w:val="008804AC"/>
    <w:rsid w:val="00885562"/>
    <w:rsid w:val="0088674E"/>
    <w:rsid w:val="00887AA4"/>
    <w:rsid w:val="008A0A1A"/>
    <w:rsid w:val="008A51F1"/>
    <w:rsid w:val="008C246C"/>
    <w:rsid w:val="008D17AF"/>
    <w:rsid w:val="008D5490"/>
    <w:rsid w:val="008D58CE"/>
    <w:rsid w:val="008E150B"/>
    <w:rsid w:val="008E4A34"/>
    <w:rsid w:val="008F3C13"/>
    <w:rsid w:val="008F4B1A"/>
    <w:rsid w:val="008F7294"/>
    <w:rsid w:val="008F7E31"/>
    <w:rsid w:val="00901DE5"/>
    <w:rsid w:val="009025F3"/>
    <w:rsid w:val="00905199"/>
    <w:rsid w:val="00924E1F"/>
    <w:rsid w:val="00925147"/>
    <w:rsid w:val="00925BC7"/>
    <w:rsid w:val="00941618"/>
    <w:rsid w:val="00952055"/>
    <w:rsid w:val="00952F08"/>
    <w:rsid w:val="00956D29"/>
    <w:rsid w:val="00962F7A"/>
    <w:rsid w:val="00970C43"/>
    <w:rsid w:val="00987684"/>
    <w:rsid w:val="0099415F"/>
    <w:rsid w:val="00996958"/>
    <w:rsid w:val="009B454E"/>
    <w:rsid w:val="009D5D94"/>
    <w:rsid w:val="009D75CB"/>
    <w:rsid w:val="00A02A33"/>
    <w:rsid w:val="00A14EF2"/>
    <w:rsid w:val="00A156D8"/>
    <w:rsid w:val="00A355F2"/>
    <w:rsid w:val="00A37BE4"/>
    <w:rsid w:val="00A41619"/>
    <w:rsid w:val="00A4396B"/>
    <w:rsid w:val="00A470AD"/>
    <w:rsid w:val="00A5211C"/>
    <w:rsid w:val="00A5346C"/>
    <w:rsid w:val="00A71CBD"/>
    <w:rsid w:val="00A762CF"/>
    <w:rsid w:val="00A878CF"/>
    <w:rsid w:val="00A90CA6"/>
    <w:rsid w:val="00A93053"/>
    <w:rsid w:val="00AA0B17"/>
    <w:rsid w:val="00AA5519"/>
    <w:rsid w:val="00AA5D16"/>
    <w:rsid w:val="00AA6654"/>
    <w:rsid w:val="00AB25EC"/>
    <w:rsid w:val="00AB2D15"/>
    <w:rsid w:val="00AB3E81"/>
    <w:rsid w:val="00AB5DE0"/>
    <w:rsid w:val="00AB6A12"/>
    <w:rsid w:val="00AD5087"/>
    <w:rsid w:val="00AE0013"/>
    <w:rsid w:val="00AE4076"/>
    <w:rsid w:val="00AF4B3D"/>
    <w:rsid w:val="00AF4CEA"/>
    <w:rsid w:val="00B04523"/>
    <w:rsid w:val="00B14CF4"/>
    <w:rsid w:val="00B2157B"/>
    <w:rsid w:val="00B33F4C"/>
    <w:rsid w:val="00B3746E"/>
    <w:rsid w:val="00B438DD"/>
    <w:rsid w:val="00B46DAF"/>
    <w:rsid w:val="00B47188"/>
    <w:rsid w:val="00B542FC"/>
    <w:rsid w:val="00B64E0F"/>
    <w:rsid w:val="00B6622D"/>
    <w:rsid w:val="00B75A59"/>
    <w:rsid w:val="00B809D4"/>
    <w:rsid w:val="00B940F5"/>
    <w:rsid w:val="00B963F7"/>
    <w:rsid w:val="00BB0FFE"/>
    <w:rsid w:val="00BB160B"/>
    <w:rsid w:val="00BB2943"/>
    <w:rsid w:val="00BB6C11"/>
    <w:rsid w:val="00BC6EC1"/>
    <w:rsid w:val="00BD2F72"/>
    <w:rsid w:val="00BF17A8"/>
    <w:rsid w:val="00BF4036"/>
    <w:rsid w:val="00BF7EBF"/>
    <w:rsid w:val="00C06E27"/>
    <w:rsid w:val="00C13204"/>
    <w:rsid w:val="00C21E4A"/>
    <w:rsid w:val="00C22950"/>
    <w:rsid w:val="00C27751"/>
    <w:rsid w:val="00C27E6F"/>
    <w:rsid w:val="00C3293B"/>
    <w:rsid w:val="00C339CB"/>
    <w:rsid w:val="00C348BF"/>
    <w:rsid w:val="00C352AB"/>
    <w:rsid w:val="00C41204"/>
    <w:rsid w:val="00C439A7"/>
    <w:rsid w:val="00C51FD9"/>
    <w:rsid w:val="00C52A45"/>
    <w:rsid w:val="00C52B8F"/>
    <w:rsid w:val="00C52C96"/>
    <w:rsid w:val="00C55532"/>
    <w:rsid w:val="00C62944"/>
    <w:rsid w:val="00C7217E"/>
    <w:rsid w:val="00C76AD2"/>
    <w:rsid w:val="00C86202"/>
    <w:rsid w:val="00C92147"/>
    <w:rsid w:val="00C92937"/>
    <w:rsid w:val="00CA320B"/>
    <w:rsid w:val="00CA7F62"/>
    <w:rsid w:val="00CD0D61"/>
    <w:rsid w:val="00CD71D6"/>
    <w:rsid w:val="00CE0F83"/>
    <w:rsid w:val="00CE3BE5"/>
    <w:rsid w:val="00CF062F"/>
    <w:rsid w:val="00CF6D68"/>
    <w:rsid w:val="00D06B35"/>
    <w:rsid w:val="00D06E61"/>
    <w:rsid w:val="00D0775D"/>
    <w:rsid w:val="00D14C70"/>
    <w:rsid w:val="00D15833"/>
    <w:rsid w:val="00D16A7E"/>
    <w:rsid w:val="00D208AB"/>
    <w:rsid w:val="00D21805"/>
    <w:rsid w:val="00D25AD6"/>
    <w:rsid w:val="00D2666F"/>
    <w:rsid w:val="00D269C1"/>
    <w:rsid w:val="00D337FE"/>
    <w:rsid w:val="00D371C0"/>
    <w:rsid w:val="00D40FB2"/>
    <w:rsid w:val="00D44850"/>
    <w:rsid w:val="00D4777B"/>
    <w:rsid w:val="00D47C1E"/>
    <w:rsid w:val="00D52885"/>
    <w:rsid w:val="00D544B1"/>
    <w:rsid w:val="00D57AC8"/>
    <w:rsid w:val="00D67CBD"/>
    <w:rsid w:val="00D80BF4"/>
    <w:rsid w:val="00D84821"/>
    <w:rsid w:val="00D904AF"/>
    <w:rsid w:val="00D93A1D"/>
    <w:rsid w:val="00DA263F"/>
    <w:rsid w:val="00DA699A"/>
    <w:rsid w:val="00DC2697"/>
    <w:rsid w:val="00DD2733"/>
    <w:rsid w:val="00DD3B69"/>
    <w:rsid w:val="00DF234F"/>
    <w:rsid w:val="00DF238A"/>
    <w:rsid w:val="00DF2675"/>
    <w:rsid w:val="00DF6180"/>
    <w:rsid w:val="00E0007C"/>
    <w:rsid w:val="00E124E1"/>
    <w:rsid w:val="00E1345D"/>
    <w:rsid w:val="00E15151"/>
    <w:rsid w:val="00E17C61"/>
    <w:rsid w:val="00E2029F"/>
    <w:rsid w:val="00E20997"/>
    <w:rsid w:val="00E23ACB"/>
    <w:rsid w:val="00E3297B"/>
    <w:rsid w:val="00E32F86"/>
    <w:rsid w:val="00E41DD6"/>
    <w:rsid w:val="00E436DA"/>
    <w:rsid w:val="00E4446B"/>
    <w:rsid w:val="00E53ECD"/>
    <w:rsid w:val="00E70322"/>
    <w:rsid w:val="00E7064E"/>
    <w:rsid w:val="00E74103"/>
    <w:rsid w:val="00EA037A"/>
    <w:rsid w:val="00EA62E4"/>
    <w:rsid w:val="00EA7571"/>
    <w:rsid w:val="00EB34DE"/>
    <w:rsid w:val="00ED3868"/>
    <w:rsid w:val="00EE0217"/>
    <w:rsid w:val="00EE3880"/>
    <w:rsid w:val="00EF02E8"/>
    <w:rsid w:val="00F01D50"/>
    <w:rsid w:val="00F2144D"/>
    <w:rsid w:val="00F216D2"/>
    <w:rsid w:val="00F30DE9"/>
    <w:rsid w:val="00F31475"/>
    <w:rsid w:val="00F56B32"/>
    <w:rsid w:val="00F61197"/>
    <w:rsid w:val="00F62571"/>
    <w:rsid w:val="00F81ACE"/>
    <w:rsid w:val="00F81ECC"/>
    <w:rsid w:val="00F823C1"/>
    <w:rsid w:val="00F948FB"/>
    <w:rsid w:val="00F96738"/>
    <w:rsid w:val="00F97681"/>
    <w:rsid w:val="00FB13F2"/>
    <w:rsid w:val="00FB20B8"/>
    <w:rsid w:val="00FB7725"/>
    <w:rsid w:val="00FC0F1F"/>
    <w:rsid w:val="00FD1339"/>
    <w:rsid w:val="00FD641A"/>
    <w:rsid w:val="00FE0234"/>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FFEE63-B548-0C44-854F-B18B59E2E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character" w:styleId="Hipervnculo">
    <w:name w:val="Hyperlink"/>
    <w:basedOn w:val="Fuentedeprrafopredeter"/>
    <w:uiPriority w:val="99"/>
    <w:unhideWhenUsed/>
    <w:rsid w:val="00C6294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484979204">
      <w:bodyDiv w:val="1"/>
      <w:marLeft w:val="0"/>
      <w:marRight w:val="0"/>
      <w:marTop w:val="0"/>
      <w:marBottom w:val="0"/>
      <w:divBdr>
        <w:top w:val="none" w:sz="0" w:space="0" w:color="auto"/>
        <w:left w:val="none" w:sz="0" w:space="0" w:color="auto"/>
        <w:bottom w:val="none" w:sz="0" w:space="0" w:color="auto"/>
        <w:right w:val="none" w:sz="0" w:space="0" w:color="auto"/>
      </w:divBdr>
    </w:div>
    <w:div w:id="485050489">
      <w:bodyDiv w:val="1"/>
      <w:marLeft w:val="0"/>
      <w:marRight w:val="0"/>
      <w:marTop w:val="0"/>
      <w:marBottom w:val="0"/>
      <w:divBdr>
        <w:top w:val="none" w:sz="0" w:space="0" w:color="auto"/>
        <w:left w:val="none" w:sz="0" w:space="0" w:color="auto"/>
        <w:bottom w:val="none" w:sz="0" w:space="0" w:color="auto"/>
        <w:right w:val="none" w:sz="0" w:space="0" w:color="auto"/>
      </w:divBdr>
    </w:div>
    <w:div w:id="641236430">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939949628">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45675032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737825260">
      <w:bodyDiv w:val="1"/>
      <w:marLeft w:val="0"/>
      <w:marRight w:val="0"/>
      <w:marTop w:val="0"/>
      <w:marBottom w:val="0"/>
      <w:divBdr>
        <w:top w:val="none" w:sz="0" w:space="0" w:color="auto"/>
        <w:left w:val="none" w:sz="0" w:space="0" w:color="auto"/>
        <w:bottom w:val="none" w:sz="0" w:space="0" w:color="auto"/>
        <w:right w:val="none" w:sz="0" w:space="0" w:color="auto"/>
      </w:divBdr>
    </w:div>
    <w:div w:id="1874801576">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 w:id="2136021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OFICIOMUYFACI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38E77D-CD62-6A49-9EC9-CEEB7E268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OFICIOMUYFACIL.dotx</Template>
  <TotalTime>4</TotalTime>
  <Pages>3</Pages>
  <Words>854</Words>
  <Characters>4697</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cp:lastModifiedBy>YOALIT AMBRIZ HERNANDEZ</cp:lastModifiedBy>
  <cp:revision>4</cp:revision>
  <cp:lastPrinted>2019-10-02T14:59:00Z</cp:lastPrinted>
  <dcterms:created xsi:type="dcterms:W3CDTF">2021-11-17T17:41:00Z</dcterms:created>
  <dcterms:modified xsi:type="dcterms:W3CDTF">2021-11-29T23:36:00Z</dcterms:modified>
</cp:coreProperties>
</file>