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F16E6" w14:textId="77777777" w:rsidR="00693980" w:rsidRPr="00693980" w:rsidRDefault="00693980" w:rsidP="00693980">
      <w:pPr>
        <w:rPr>
          <w:rFonts w:ascii="Calibri" w:eastAsia="Times New Roman" w:hAnsi="Calibri" w:cs="Times New Roman"/>
          <w:lang w:eastAsia="es-MX"/>
        </w:rPr>
      </w:pPr>
    </w:p>
    <w:p w14:paraId="22BC9B06" w14:textId="75466518" w:rsidR="009C458F" w:rsidRDefault="001F351E" w:rsidP="009C458F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Vistas las obligaciones de transparencia establecidas en el 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artículo 18 y 19 concatenados al 84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XXXI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ey de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T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ransparencia y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A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cceso a la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I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nformación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ública del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stado de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S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an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uis 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P</w:t>
      </w:r>
      <w:r w:rsidRPr="00693980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otosí, se informa que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este mes </w:t>
      </w:r>
      <w:r w:rsidRPr="00753BC4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no se</w:t>
      </w:r>
      <w:r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 xml:space="preserve"> cuenta con estados financieros dictaminados</w:t>
      </w:r>
      <w:r w:rsidRPr="00753BC4">
        <w:rPr>
          <w:rFonts w:ascii="Arial Narrow" w:eastAsia="Times New Roman" w:hAnsi="Arial Narrow" w:cs="Times New Roman"/>
          <w:b/>
          <w:bCs/>
          <w:color w:val="000000"/>
          <w:sz w:val="28"/>
          <w:szCs w:val="28"/>
          <w:lang w:eastAsia="es-MX"/>
        </w:rPr>
        <w:t>,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lo anterior en virtud de que </w:t>
      </w: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el artículo 77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. 2</w:t>
      </w: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de la ley general de partidos políticos establece las reglas en cuestión a auditoría externa aplicable a partidos políticos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así como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,</w:t>
      </w: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en el reglamento de fiscalización artículo 307 se establecen los plazos de entrega del dictamen de terceros.</w:t>
      </w: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 </w:t>
      </w:r>
    </w:p>
    <w:p w14:paraId="3894098D" w14:textId="1282473B" w:rsidR="00F74028" w:rsidRDefault="001F351E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 xml:space="preserve">Debido a ello, es que, este sujeto obligado no se cuenta con estados financieros dictaminados que reportar en este período, como ya se fundó y motivo. </w:t>
      </w:r>
    </w:p>
    <w:p w14:paraId="223F2DEE" w14:textId="77777777" w:rsidR="009C458F" w:rsidRDefault="009C458F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</w:p>
    <w:p w14:paraId="6CD1D6C7" w14:textId="77777777" w:rsidR="009C458F" w:rsidRDefault="009C458F" w:rsidP="0068339B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LEY GENERAL DE PARTIDOS POLITICOS</w:t>
      </w:r>
    </w:p>
    <w:p w14:paraId="49298FE5" w14:textId="77777777" w:rsidR="009C458F" w:rsidRDefault="009C458F" w:rsidP="009C458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CAPÍTULO III </w:t>
      </w:r>
      <w:bookmarkStart w:id="0" w:name="_GoBack"/>
      <w:bookmarkEnd w:id="0"/>
    </w:p>
    <w:p w14:paraId="5A822AEB" w14:textId="77777777" w:rsidR="009C458F" w:rsidRDefault="009C458F" w:rsidP="009C458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De los Informes de Ingresos y Gastos de los Partidos Políticos </w:t>
      </w:r>
    </w:p>
    <w:p w14:paraId="4EB55455" w14:textId="77777777" w:rsidR="009C458F" w:rsidRDefault="009C458F" w:rsidP="009C458F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Artículo 77. </w:t>
      </w:r>
    </w:p>
    <w:p w14:paraId="1D712E5A" w14:textId="77777777" w:rsidR="009C458F" w:rsidRDefault="009C458F" w:rsidP="00A50E1B">
      <w:pPr>
        <w:pStyle w:val="Default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1. </w:t>
      </w:r>
      <w:r>
        <w:rPr>
          <w:sz w:val="20"/>
          <w:szCs w:val="20"/>
        </w:rPr>
        <w:t xml:space="preserve">El órgano interno de los partidos políticos previsto en el artículo 43, inciso c), de esta Ley, será el responsable de la administración de su patrimonio y de sus recursos generales, de precampaña y campaña, así como de la presentación de los informes a que se refiere el presente Capítulo. Dicho órgano se constituirá en los términos y con las modalidades y características que cada partido libremente determine. </w:t>
      </w:r>
    </w:p>
    <w:p w14:paraId="1A0BF4A3" w14:textId="77777777" w:rsidR="009C458F" w:rsidRDefault="009C458F" w:rsidP="009C458F">
      <w:pPr>
        <w:spacing w:after="0" w:line="240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2. </w:t>
      </w:r>
      <w:r>
        <w:rPr>
          <w:sz w:val="20"/>
          <w:szCs w:val="20"/>
        </w:rPr>
        <w:t>La revisión de los informes que los partidos políticos presenten sobre el origen y destino de sus recursos ordinarios y de campaña, según corresponda, así como la práctica de auditorías sobre el manejo de sus recursos y su situación contable y financiera estará a cargo del Consejo General del Instituto, a través de la Comisión de Fiscalización la cual estará a cargo de la elaboración y presentación al Consejo General del dictamen consolidado y proyecto de resolución de los diversos informes que están obligados a presentar los partidos políticos.</w:t>
      </w:r>
    </w:p>
    <w:p w14:paraId="57B4BEB2" w14:textId="77777777" w:rsidR="009C458F" w:rsidRDefault="009C458F" w:rsidP="009C458F">
      <w:pPr>
        <w:spacing w:after="0" w:line="240" w:lineRule="auto"/>
        <w:jc w:val="both"/>
        <w:rPr>
          <w:sz w:val="20"/>
          <w:szCs w:val="20"/>
        </w:rPr>
      </w:pPr>
    </w:p>
    <w:p w14:paraId="4C049651" w14:textId="77777777" w:rsidR="009C458F" w:rsidRDefault="00A50E1B" w:rsidP="009C458F">
      <w:pPr>
        <w:spacing w:after="0" w:line="240" w:lineRule="auto"/>
        <w:jc w:val="both"/>
        <w:rPr>
          <w:sz w:val="20"/>
          <w:szCs w:val="20"/>
        </w:rPr>
      </w:pPr>
      <w:r w:rsidRPr="009C458F"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  <w:t>REGLAMENTO DE FISCALIZACIÓN</w:t>
      </w:r>
    </w:p>
    <w:p w14:paraId="67079197" w14:textId="77777777" w:rsidR="009C458F" w:rsidRDefault="009C458F" w:rsidP="009C458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Artículo 307.</w:t>
      </w:r>
    </w:p>
    <w:p w14:paraId="28694AD6" w14:textId="77777777" w:rsidR="009C458F" w:rsidRDefault="009C458F" w:rsidP="009C458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</w:rPr>
      </w:pPr>
      <w:r>
        <w:rPr>
          <w:rFonts w:ascii="Calibri-Bold" w:hAnsi="Calibri-Bold" w:cs="Calibri-Bold"/>
          <w:b/>
          <w:bCs/>
        </w:rPr>
        <w:t>Plazos de entrega del dictamen de terceros</w:t>
      </w:r>
    </w:p>
    <w:p w14:paraId="6A68CCAE" w14:textId="77777777" w:rsidR="00F74028" w:rsidRDefault="009C458F" w:rsidP="00A319FB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8"/>
          <w:szCs w:val="28"/>
          <w:lang w:eastAsia="es-MX"/>
        </w:rPr>
      </w:pPr>
      <w:r>
        <w:rPr>
          <w:rFonts w:ascii="Calibri-Bold" w:hAnsi="Calibri-Bold" w:cs="Calibri-Bold"/>
          <w:b/>
          <w:bCs/>
        </w:rPr>
        <w:t xml:space="preserve">1. </w:t>
      </w:r>
      <w:r>
        <w:rPr>
          <w:rFonts w:ascii="Calibri" w:hAnsi="Calibri" w:cs="Calibri"/>
        </w:rPr>
        <w:t xml:space="preserve">Los terceros que practicaron la auditoría, deberán </w:t>
      </w:r>
      <w:proofErr w:type="spellStart"/>
      <w:r>
        <w:rPr>
          <w:rFonts w:ascii="Calibri" w:hAnsi="Calibri" w:cs="Calibri"/>
        </w:rPr>
        <w:t>ren-dir</w:t>
      </w:r>
      <w:proofErr w:type="spellEnd"/>
      <w:r>
        <w:rPr>
          <w:rFonts w:ascii="Calibri" w:hAnsi="Calibri" w:cs="Calibri"/>
        </w:rPr>
        <w:t xml:space="preserve"> un dictamen de los</w:t>
      </w:r>
      <w:r w:rsidR="00A50E1B"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 xml:space="preserve">estados </w:t>
      </w:r>
      <w:r w:rsidR="00A50E1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financieros</w:t>
      </w:r>
      <w:proofErr w:type="gramEnd"/>
      <w:r>
        <w:rPr>
          <w:rFonts w:ascii="Calibri" w:hAnsi="Calibri" w:cs="Calibri"/>
        </w:rPr>
        <w:t xml:space="preserve"> a la Unidad Técnica, de conformidad a las normas y procedimientos</w:t>
      </w:r>
      <w:r w:rsidR="00A50E1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de auditoría, dentro de los quince días naturales siguientes a la</w:t>
      </w:r>
      <w:r w:rsidR="00A50E1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fecha de conclusión de la auditoría, sin que se pueda otorgar prórroga para su</w:t>
      </w:r>
      <w:r w:rsidR="00A50E1B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presentación.</w:t>
      </w:r>
    </w:p>
    <w:sectPr w:rsidR="00F740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980"/>
    <w:rsid w:val="000D596A"/>
    <w:rsid w:val="001F351E"/>
    <w:rsid w:val="00212822"/>
    <w:rsid w:val="00366C9F"/>
    <w:rsid w:val="00402839"/>
    <w:rsid w:val="00432567"/>
    <w:rsid w:val="00476196"/>
    <w:rsid w:val="005A0BEC"/>
    <w:rsid w:val="00642BAC"/>
    <w:rsid w:val="0068339B"/>
    <w:rsid w:val="00693980"/>
    <w:rsid w:val="00753BC4"/>
    <w:rsid w:val="007D6319"/>
    <w:rsid w:val="009C458F"/>
    <w:rsid w:val="00A319FB"/>
    <w:rsid w:val="00A45DF9"/>
    <w:rsid w:val="00A46FF5"/>
    <w:rsid w:val="00A50E1B"/>
    <w:rsid w:val="00A57830"/>
    <w:rsid w:val="00AC5721"/>
    <w:rsid w:val="00B24501"/>
    <w:rsid w:val="00B75B35"/>
    <w:rsid w:val="00B85ABE"/>
    <w:rsid w:val="00C40E1A"/>
    <w:rsid w:val="00DB5639"/>
    <w:rsid w:val="00E57570"/>
    <w:rsid w:val="00E929C3"/>
    <w:rsid w:val="00F74028"/>
    <w:rsid w:val="00FF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0FFEA"/>
  <w15:docId w15:val="{0978D00F-B511-4BCF-ADF0-7F5268A3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9C45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3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342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user</cp:lastModifiedBy>
  <cp:revision>3</cp:revision>
  <dcterms:created xsi:type="dcterms:W3CDTF">2020-12-08T00:46:00Z</dcterms:created>
  <dcterms:modified xsi:type="dcterms:W3CDTF">2021-02-03T19:16:00Z</dcterms:modified>
</cp:coreProperties>
</file>