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Ind w:w="2943" w:type="dxa"/>
        <w:tblLook w:val="01E0" w:firstRow="1" w:lastRow="1" w:firstColumn="1" w:lastColumn="1" w:noHBand="0" w:noVBand="0"/>
      </w:tblPr>
      <w:tblGrid>
        <w:gridCol w:w="5329"/>
      </w:tblGrid>
      <w:tr w:rsidR="00C91E4E" w:rsidRPr="005520F4" w:rsidTr="00CE60D9">
        <w:trPr>
          <w:trHeight w:val="567"/>
        </w:trPr>
        <w:tc>
          <w:tcPr>
            <w:tcW w:w="5329" w:type="dxa"/>
            <w:vAlign w:val="center"/>
            <w:hideMark/>
          </w:tcPr>
          <w:p w:rsidR="00C91E4E" w:rsidRPr="005520F4" w:rsidRDefault="00C91E4E" w:rsidP="00CE60D9">
            <w:pPr>
              <w:spacing w:after="0"/>
              <w:jc w:val="both"/>
              <w:rPr>
                <w:rFonts w:ascii="Arial Narrow" w:hAnsi="Arial Narrow"/>
                <w:b/>
                <w:iCs/>
              </w:rPr>
            </w:pPr>
            <w:r w:rsidRPr="005520F4">
              <w:rPr>
                <w:rFonts w:ascii="Arial Narrow" w:hAnsi="Arial Narrow"/>
                <w:b/>
                <w:iCs/>
              </w:rPr>
              <w:t>TRIBUNAL ESTATAL DE JUSTICIA ADMINISTRATIVA</w:t>
            </w:r>
          </w:p>
        </w:tc>
      </w:tr>
      <w:tr w:rsidR="00C91E4E" w:rsidRPr="005520F4" w:rsidTr="00CE60D9">
        <w:trPr>
          <w:trHeight w:val="567"/>
        </w:trPr>
        <w:tc>
          <w:tcPr>
            <w:tcW w:w="5329" w:type="dxa"/>
            <w:vAlign w:val="center"/>
            <w:hideMark/>
          </w:tcPr>
          <w:p w:rsidR="00C91E4E" w:rsidRPr="005520F4" w:rsidRDefault="00C91E4E" w:rsidP="00CE60D9">
            <w:pPr>
              <w:spacing w:after="0"/>
              <w:jc w:val="both"/>
              <w:rPr>
                <w:rFonts w:ascii="Arial Narrow" w:hAnsi="Arial Narrow"/>
                <w:b/>
                <w:iCs/>
              </w:rPr>
            </w:pPr>
            <w:r w:rsidRPr="005520F4">
              <w:rPr>
                <w:rFonts w:ascii="Arial Narrow" w:hAnsi="Arial Narrow"/>
                <w:b/>
                <w:iCs/>
              </w:rPr>
              <w:t>SEGUNDA SALA UNITARIA</w:t>
            </w:r>
          </w:p>
        </w:tc>
      </w:tr>
      <w:tr w:rsidR="00C91E4E" w:rsidRPr="005520F4" w:rsidTr="00CE60D9">
        <w:trPr>
          <w:trHeight w:val="567"/>
        </w:trPr>
        <w:tc>
          <w:tcPr>
            <w:tcW w:w="5329" w:type="dxa"/>
            <w:vAlign w:val="center"/>
            <w:hideMark/>
          </w:tcPr>
          <w:p w:rsidR="00C91E4E" w:rsidRPr="005520F4" w:rsidRDefault="00C91E4E" w:rsidP="00CE60D9">
            <w:pPr>
              <w:spacing w:after="0"/>
              <w:jc w:val="both"/>
              <w:rPr>
                <w:rFonts w:ascii="Arial Narrow" w:hAnsi="Arial Narrow"/>
                <w:iCs/>
              </w:rPr>
            </w:pPr>
            <w:r w:rsidRPr="005520F4">
              <w:rPr>
                <w:rFonts w:ascii="Arial Narrow" w:hAnsi="Arial Narrow"/>
                <w:b/>
                <w:iCs/>
              </w:rPr>
              <w:t>EXPEDIENTE</w:t>
            </w:r>
            <w:r w:rsidR="00CB27AF" w:rsidRPr="005520F4">
              <w:rPr>
                <w:rFonts w:ascii="Arial Narrow" w:hAnsi="Arial Narrow"/>
                <w:iCs/>
              </w:rPr>
              <w:t>: 341</w:t>
            </w:r>
            <w:r w:rsidR="00FE3F4D" w:rsidRPr="005520F4">
              <w:rPr>
                <w:rFonts w:ascii="Arial Narrow" w:hAnsi="Arial Narrow"/>
                <w:iCs/>
              </w:rPr>
              <w:t>/2020</w:t>
            </w:r>
            <w:r w:rsidRPr="005520F4">
              <w:rPr>
                <w:rFonts w:ascii="Arial Narrow" w:hAnsi="Arial Narrow"/>
                <w:iCs/>
              </w:rPr>
              <w:t>/2.</w:t>
            </w:r>
          </w:p>
        </w:tc>
      </w:tr>
      <w:tr w:rsidR="00C91E4E" w:rsidRPr="005520F4" w:rsidTr="00CE60D9">
        <w:trPr>
          <w:trHeight w:val="567"/>
        </w:trPr>
        <w:tc>
          <w:tcPr>
            <w:tcW w:w="5329" w:type="dxa"/>
            <w:vAlign w:val="center"/>
            <w:hideMark/>
          </w:tcPr>
          <w:p w:rsidR="00C91E4E" w:rsidRPr="005520F4" w:rsidRDefault="00FE3F4D" w:rsidP="00CE60D9">
            <w:pPr>
              <w:spacing w:after="0"/>
              <w:jc w:val="both"/>
              <w:rPr>
                <w:rFonts w:ascii="Arial Narrow" w:hAnsi="Arial Narrow"/>
                <w:b/>
                <w:iCs/>
              </w:rPr>
            </w:pPr>
            <w:r w:rsidRPr="005520F4">
              <w:rPr>
                <w:rFonts w:ascii="Arial Narrow" w:hAnsi="Arial Narrow"/>
                <w:b/>
                <w:iCs/>
              </w:rPr>
              <w:t>SENTENCIA DEFINITIVA</w:t>
            </w:r>
          </w:p>
        </w:tc>
      </w:tr>
      <w:tr w:rsidR="00C91E4E" w:rsidRPr="005520F4" w:rsidTr="00CE60D9">
        <w:trPr>
          <w:trHeight w:val="454"/>
        </w:trPr>
        <w:tc>
          <w:tcPr>
            <w:tcW w:w="5329" w:type="dxa"/>
            <w:vAlign w:val="center"/>
            <w:hideMark/>
          </w:tcPr>
          <w:p w:rsidR="00C91E4E" w:rsidRPr="005520F4" w:rsidRDefault="00C91E4E" w:rsidP="004F5BC4">
            <w:pPr>
              <w:spacing w:after="0"/>
              <w:jc w:val="both"/>
              <w:rPr>
                <w:rFonts w:ascii="Arial Narrow" w:hAnsi="Arial Narrow"/>
                <w:iCs/>
              </w:rPr>
            </w:pPr>
            <w:r w:rsidRPr="005520F4">
              <w:rPr>
                <w:rFonts w:ascii="Arial Narrow" w:hAnsi="Arial Narrow"/>
                <w:b/>
                <w:iCs/>
              </w:rPr>
              <w:t>ACTOR</w:t>
            </w:r>
            <w:r w:rsidRPr="005520F4">
              <w:rPr>
                <w:rFonts w:ascii="Arial Narrow" w:hAnsi="Arial Narrow"/>
                <w:iCs/>
              </w:rPr>
              <w:t xml:space="preserve">: </w:t>
            </w:r>
            <w:r w:rsidR="004F5BC4">
              <w:rPr>
                <w:rFonts w:ascii="Arial Narrow" w:hAnsi="Arial Narrow"/>
                <w:iCs/>
                <w:color w:val="FF0000"/>
              </w:rPr>
              <w:t>******* ********** *********</w:t>
            </w:r>
          </w:p>
        </w:tc>
      </w:tr>
      <w:tr w:rsidR="00C91E4E" w:rsidRPr="005520F4" w:rsidTr="000A122F">
        <w:trPr>
          <w:trHeight w:val="1077"/>
        </w:trPr>
        <w:tc>
          <w:tcPr>
            <w:tcW w:w="5329" w:type="dxa"/>
            <w:vAlign w:val="center"/>
            <w:hideMark/>
          </w:tcPr>
          <w:p w:rsidR="00C91E4E" w:rsidRPr="005520F4" w:rsidRDefault="00F24372" w:rsidP="003A6939">
            <w:pPr>
              <w:spacing w:after="0"/>
              <w:jc w:val="both"/>
              <w:rPr>
                <w:rFonts w:ascii="Arial Narrow" w:hAnsi="Arial Narrow"/>
                <w:iCs/>
              </w:rPr>
            </w:pPr>
            <w:r w:rsidRPr="005520F4">
              <w:rPr>
                <w:rFonts w:ascii="Arial Narrow" w:hAnsi="Arial Narrow"/>
                <w:b/>
                <w:iCs/>
              </w:rPr>
              <w:t>AUTORIDAD</w:t>
            </w:r>
            <w:r w:rsidR="00FE3F4D" w:rsidRPr="005520F4">
              <w:rPr>
                <w:rFonts w:ascii="Arial Narrow" w:hAnsi="Arial Narrow"/>
                <w:b/>
                <w:iCs/>
              </w:rPr>
              <w:t>ES</w:t>
            </w:r>
            <w:r w:rsidRPr="005520F4">
              <w:rPr>
                <w:rFonts w:ascii="Arial Narrow" w:hAnsi="Arial Narrow"/>
                <w:b/>
                <w:iCs/>
              </w:rPr>
              <w:t xml:space="preserve"> </w:t>
            </w:r>
            <w:r w:rsidR="00C91E4E" w:rsidRPr="005520F4">
              <w:rPr>
                <w:rFonts w:ascii="Arial Narrow" w:hAnsi="Arial Narrow"/>
                <w:b/>
                <w:iCs/>
              </w:rPr>
              <w:t>DEMANDADA</w:t>
            </w:r>
            <w:r w:rsidR="00FE3F4D" w:rsidRPr="005520F4">
              <w:rPr>
                <w:rFonts w:ascii="Arial Narrow" w:hAnsi="Arial Narrow"/>
                <w:b/>
                <w:iCs/>
              </w:rPr>
              <w:t>S</w:t>
            </w:r>
            <w:r w:rsidR="00C91E4E" w:rsidRPr="005520F4">
              <w:rPr>
                <w:rFonts w:ascii="Arial Narrow" w:hAnsi="Arial Narrow"/>
                <w:b/>
                <w:iCs/>
              </w:rPr>
              <w:t>:</w:t>
            </w:r>
            <w:r w:rsidR="0039494A" w:rsidRPr="005520F4">
              <w:rPr>
                <w:rFonts w:ascii="Arial Narrow" w:hAnsi="Arial Narrow"/>
                <w:iCs/>
              </w:rPr>
              <w:t xml:space="preserve"> </w:t>
            </w:r>
            <w:r w:rsidR="00DA4555">
              <w:rPr>
                <w:rFonts w:ascii="Arial Narrow" w:hAnsi="Arial Narrow"/>
                <w:iCs/>
              </w:rPr>
              <w:t>DIRECCIÓ</w:t>
            </w:r>
            <w:r w:rsidR="003A6939" w:rsidRPr="005520F4">
              <w:rPr>
                <w:rFonts w:ascii="Arial Narrow" w:hAnsi="Arial Narrow"/>
                <w:iCs/>
              </w:rPr>
              <w:t>N DE SEGURIDAD PÚBLICA Y TRÁNSITO MUNICIPAL DEL H. AYUNTAMIENTO DE CÁRDENAS, S.L.P.; H. AYUNTAMIENTO DE CÁRDENAS, S.L.P.; SÍNDICO MUNICIPAL DEL H. AYUNTAMIENTO DE CÁRDENAS, S.L.P.; TESORERÍA MUNICIPAL DEL H. AYUNTAMIENTO DE CÁRDENAS, S.L.P.; SECRETARIO DEL H. AYUNTAMIENTO</w:t>
            </w:r>
            <w:r w:rsidR="00DA4555">
              <w:rPr>
                <w:rFonts w:ascii="Arial Narrow" w:hAnsi="Arial Narrow"/>
                <w:iCs/>
              </w:rPr>
              <w:t xml:space="preserve"> DE CÁRDENAS, S.L.P.; Y DIRECCIÓ</w:t>
            </w:r>
            <w:r w:rsidR="003A6939" w:rsidRPr="005520F4">
              <w:rPr>
                <w:rFonts w:ascii="Arial Narrow" w:hAnsi="Arial Narrow"/>
                <w:iCs/>
              </w:rPr>
              <w:t>N DE RECURSOS HUMANOS DEL H. AYUNTAMIENTO DE CÁRDENAS, S.L.P.</w:t>
            </w:r>
          </w:p>
        </w:tc>
      </w:tr>
      <w:tr w:rsidR="00B95FC7" w:rsidRPr="005520F4" w:rsidTr="0030202F">
        <w:trPr>
          <w:trHeight w:val="624"/>
        </w:trPr>
        <w:tc>
          <w:tcPr>
            <w:tcW w:w="5329" w:type="dxa"/>
            <w:vAlign w:val="center"/>
            <w:hideMark/>
          </w:tcPr>
          <w:p w:rsidR="00B95FC7" w:rsidRPr="005520F4" w:rsidRDefault="00B95FC7" w:rsidP="007B63D2">
            <w:pPr>
              <w:spacing w:after="0"/>
              <w:jc w:val="both"/>
              <w:rPr>
                <w:rFonts w:ascii="Arial Narrow" w:hAnsi="Arial Narrow"/>
                <w:iCs/>
              </w:rPr>
            </w:pPr>
            <w:r w:rsidRPr="005520F4">
              <w:rPr>
                <w:rFonts w:ascii="Arial Narrow" w:hAnsi="Arial Narrow"/>
                <w:b/>
                <w:iCs/>
              </w:rPr>
              <w:t>MAGISTRADA</w:t>
            </w:r>
            <w:r w:rsidRPr="005520F4">
              <w:rPr>
                <w:rFonts w:ascii="Arial Narrow" w:hAnsi="Arial Narrow"/>
                <w:iCs/>
              </w:rPr>
              <w:t xml:space="preserve">: </w:t>
            </w:r>
            <w:r w:rsidR="00B6124C" w:rsidRPr="005520F4">
              <w:rPr>
                <w:rFonts w:ascii="Arial Narrow" w:hAnsi="Arial Narrow"/>
                <w:iCs/>
              </w:rPr>
              <w:t>MARIA OLVIDO RODRÍGUEZ VÁZQUEZ.</w:t>
            </w:r>
          </w:p>
        </w:tc>
      </w:tr>
      <w:tr w:rsidR="008F58D6" w:rsidRPr="005520F4" w:rsidTr="00CE60D9">
        <w:trPr>
          <w:trHeight w:val="567"/>
        </w:trPr>
        <w:tc>
          <w:tcPr>
            <w:tcW w:w="5329" w:type="dxa"/>
            <w:vAlign w:val="center"/>
          </w:tcPr>
          <w:p w:rsidR="008F58D6" w:rsidRPr="005520F4" w:rsidRDefault="008F58D6" w:rsidP="00CE60D9">
            <w:pPr>
              <w:spacing w:after="0"/>
              <w:jc w:val="both"/>
              <w:rPr>
                <w:rFonts w:ascii="Arial" w:hAnsi="Arial" w:cs="Arial"/>
              </w:rPr>
            </w:pPr>
          </w:p>
        </w:tc>
      </w:tr>
    </w:tbl>
    <w:p w:rsidR="00FA2A1A" w:rsidRPr="005520F4" w:rsidRDefault="008F58D6" w:rsidP="008F58D6">
      <w:pPr>
        <w:tabs>
          <w:tab w:val="left" w:pos="3308"/>
        </w:tabs>
        <w:spacing w:after="0" w:line="240" w:lineRule="auto"/>
        <w:jc w:val="both"/>
        <w:rPr>
          <w:rFonts w:ascii="Arial" w:hAnsi="Arial" w:cs="Arial"/>
        </w:rPr>
      </w:pPr>
      <w:r w:rsidRPr="005520F4">
        <w:rPr>
          <w:rFonts w:ascii="Arial" w:hAnsi="Arial" w:cs="Arial"/>
        </w:rPr>
        <w:tab/>
      </w:r>
    </w:p>
    <w:p w:rsidR="00C91E4E" w:rsidRPr="005520F4" w:rsidRDefault="00C91E4E" w:rsidP="00C91E4E">
      <w:pPr>
        <w:spacing w:after="240" w:line="360" w:lineRule="auto"/>
        <w:ind w:firstLine="709"/>
        <w:jc w:val="both"/>
        <w:rPr>
          <w:rFonts w:ascii="Arial" w:hAnsi="Arial" w:cs="Arial"/>
          <w:sz w:val="28"/>
          <w:szCs w:val="28"/>
        </w:rPr>
      </w:pPr>
      <w:r w:rsidRPr="005520F4">
        <w:rPr>
          <w:rFonts w:ascii="Arial" w:hAnsi="Arial" w:cs="Arial"/>
          <w:sz w:val="28"/>
          <w:szCs w:val="28"/>
        </w:rPr>
        <w:t xml:space="preserve">San Luis Potosí, San Luis Potosí, a </w:t>
      </w:r>
      <w:r w:rsidR="00B6124C" w:rsidRPr="005520F4">
        <w:rPr>
          <w:rFonts w:ascii="Arial" w:hAnsi="Arial" w:cs="Arial"/>
          <w:sz w:val="28"/>
          <w:szCs w:val="28"/>
        </w:rPr>
        <w:t>once</w:t>
      </w:r>
      <w:r w:rsidR="00DC1F9C" w:rsidRPr="005520F4">
        <w:rPr>
          <w:rFonts w:ascii="Arial" w:hAnsi="Arial" w:cs="Arial"/>
          <w:sz w:val="28"/>
          <w:szCs w:val="28"/>
        </w:rPr>
        <w:t xml:space="preserve"> </w:t>
      </w:r>
      <w:r w:rsidR="00414010" w:rsidRPr="005520F4">
        <w:rPr>
          <w:rFonts w:ascii="Arial" w:hAnsi="Arial" w:cs="Arial"/>
          <w:sz w:val="28"/>
          <w:szCs w:val="28"/>
        </w:rPr>
        <w:t xml:space="preserve">de </w:t>
      </w:r>
      <w:r w:rsidR="00B6124C" w:rsidRPr="005520F4">
        <w:rPr>
          <w:rFonts w:ascii="Arial" w:hAnsi="Arial" w:cs="Arial"/>
          <w:sz w:val="28"/>
          <w:szCs w:val="28"/>
        </w:rPr>
        <w:t>enero de dos mil veintidós</w:t>
      </w:r>
      <w:r w:rsidRPr="005520F4">
        <w:rPr>
          <w:rFonts w:ascii="Arial" w:hAnsi="Arial" w:cs="Arial"/>
          <w:sz w:val="28"/>
          <w:szCs w:val="28"/>
        </w:rPr>
        <w:t>.</w:t>
      </w:r>
    </w:p>
    <w:p w:rsidR="00C91E4E" w:rsidRPr="005520F4" w:rsidRDefault="00C91E4E" w:rsidP="003A6939">
      <w:pPr>
        <w:spacing w:after="240" w:line="360" w:lineRule="auto"/>
        <w:ind w:firstLine="709"/>
        <w:jc w:val="both"/>
        <w:rPr>
          <w:rFonts w:ascii="Arial" w:hAnsi="Arial" w:cs="Arial"/>
          <w:sz w:val="28"/>
          <w:szCs w:val="28"/>
        </w:rPr>
      </w:pPr>
      <w:r w:rsidRPr="005520F4">
        <w:rPr>
          <w:rFonts w:ascii="Arial" w:hAnsi="Arial" w:cs="Arial"/>
          <w:b/>
          <w:sz w:val="28"/>
          <w:szCs w:val="28"/>
        </w:rPr>
        <w:t>VISTO.-</w:t>
      </w:r>
      <w:r w:rsidRPr="005520F4">
        <w:rPr>
          <w:rFonts w:ascii="Arial" w:hAnsi="Arial" w:cs="Arial"/>
          <w:sz w:val="28"/>
          <w:szCs w:val="28"/>
        </w:rPr>
        <w:t xml:space="preserve"> Para resolver en definitiva el juicio contencioso administrativo n</w:t>
      </w:r>
      <w:r w:rsidR="00622B1C" w:rsidRPr="005520F4">
        <w:rPr>
          <w:rFonts w:ascii="Arial" w:hAnsi="Arial" w:cs="Arial"/>
          <w:sz w:val="28"/>
          <w:szCs w:val="28"/>
        </w:rPr>
        <w:t xml:space="preserve">úmero </w:t>
      </w:r>
      <w:r w:rsidR="00CB27AF" w:rsidRPr="005520F4">
        <w:rPr>
          <w:rFonts w:ascii="Arial" w:hAnsi="Arial" w:cs="Arial"/>
          <w:sz w:val="28"/>
          <w:szCs w:val="28"/>
        </w:rPr>
        <w:t>341</w:t>
      </w:r>
      <w:r w:rsidR="00451DC9" w:rsidRPr="005520F4">
        <w:rPr>
          <w:rFonts w:ascii="Arial" w:hAnsi="Arial" w:cs="Arial"/>
          <w:sz w:val="28"/>
          <w:szCs w:val="28"/>
        </w:rPr>
        <w:t>/2020</w:t>
      </w:r>
      <w:r w:rsidR="00622B1C" w:rsidRPr="005520F4">
        <w:rPr>
          <w:rFonts w:ascii="Arial" w:hAnsi="Arial" w:cs="Arial"/>
          <w:sz w:val="28"/>
          <w:szCs w:val="28"/>
        </w:rPr>
        <w:t xml:space="preserve">/2, promovido por </w:t>
      </w:r>
      <w:r w:rsidR="00DC1F9C" w:rsidRPr="005520F4">
        <w:rPr>
          <w:rFonts w:ascii="Arial" w:hAnsi="Arial" w:cs="Arial"/>
          <w:sz w:val="28"/>
          <w:szCs w:val="28"/>
        </w:rPr>
        <w:t xml:space="preserve">el C. </w:t>
      </w:r>
      <w:r w:rsidR="004F5BC4">
        <w:rPr>
          <w:rFonts w:ascii="Arial" w:hAnsi="Arial" w:cs="Arial"/>
          <w:color w:val="FF0000"/>
          <w:sz w:val="28"/>
          <w:szCs w:val="28"/>
        </w:rPr>
        <w:t>******* ******** ********</w:t>
      </w:r>
      <w:r w:rsidRPr="005520F4">
        <w:rPr>
          <w:rFonts w:ascii="Arial" w:hAnsi="Arial" w:cs="Arial"/>
          <w:sz w:val="28"/>
          <w:szCs w:val="28"/>
        </w:rPr>
        <w:t xml:space="preserve">, </w:t>
      </w:r>
      <w:r w:rsidR="00600A28" w:rsidRPr="005520F4">
        <w:rPr>
          <w:rFonts w:ascii="Arial" w:hAnsi="Arial" w:cs="Arial"/>
          <w:sz w:val="28"/>
          <w:szCs w:val="28"/>
        </w:rPr>
        <w:t>por propio derecho</w:t>
      </w:r>
      <w:r w:rsidR="00A628D7" w:rsidRPr="005520F4">
        <w:rPr>
          <w:rFonts w:ascii="Arial" w:hAnsi="Arial" w:cs="Arial"/>
          <w:sz w:val="28"/>
          <w:szCs w:val="28"/>
        </w:rPr>
        <w:t>,</w:t>
      </w:r>
      <w:r w:rsidR="00E407D6" w:rsidRPr="005520F4">
        <w:rPr>
          <w:rFonts w:ascii="Arial" w:hAnsi="Arial" w:cs="Arial"/>
          <w:sz w:val="28"/>
          <w:szCs w:val="28"/>
        </w:rPr>
        <w:t xml:space="preserve"> </w:t>
      </w:r>
      <w:r w:rsidR="003A6939" w:rsidRPr="005520F4">
        <w:rPr>
          <w:rFonts w:ascii="Arial" w:hAnsi="Arial" w:cs="Arial"/>
          <w:sz w:val="28"/>
          <w:szCs w:val="28"/>
        </w:rPr>
        <w:t xml:space="preserve">en contra de </w:t>
      </w:r>
      <w:r w:rsidR="003A6939" w:rsidRPr="005520F4">
        <w:rPr>
          <w:rFonts w:ascii="Arial" w:hAnsi="Arial" w:cs="Arial"/>
          <w:i/>
          <w:sz w:val="28"/>
          <w:szCs w:val="28"/>
        </w:rPr>
        <w:t>“La Baja del Suscrito de mi puesto de Oficial Operativo de la Dirección de Seguridad Pública y Tránsito Municipal del Municipio de Cárdenas, S.L.P.”</w:t>
      </w:r>
      <w:r w:rsidR="0097773B" w:rsidRPr="005520F4">
        <w:rPr>
          <w:rFonts w:ascii="Arial" w:hAnsi="Arial" w:cs="Arial"/>
          <w:sz w:val="28"/>
          <w:szCs w:val="28"/>
        </w:rPr>
        <w:t>,</w:t>
      </w:r>
      <w:r w:rsidR="003A6939" w:rsidRPr="005520F4">
        <w:rPr>
          <w:rFonts w:ascii="Arial" w:hAnsi="Arial" w:cs="Arial"/>
          <w:sz w:val="28"/>
          <w:szCs w:val="28"/>
        </w:rPr>
        <w:t xml:space="preserve"> </w:t>
      </w:r>
      <w:r w:rsidR="00244E6E" w:rsidRPr="005520F4">
        <w:rPr>
          <w:rFonts w:ascii="Arial" w:hAnsi="Arial" w:cs="Arial"/>
          <w:sz w:val="28"/>
          <w:szCs w:val="28"/>
        </w:rPr>
        <w:t xml:space="preserve"> </w:t>
      </w:r>
      <w:r w:rsidR="003A6939" w:rsidRPr="005520F4">
        <w:rPr>
          <w:rFonts w:ascii="Arial" w:hAnsi="Arial" w:cs="Arial"/>
          <w:sz w:val="28"/>
          <w:szCs w:val="28"/>
        </w:rPr>
        <w:t>de la cual manifiesta haber conocido el día cuatro de marzo de dos mil veinte, día en que indica que al encontrarse ante la presencia del Síndico Municipal del H. Ayuntamiento de Cárdenas, San Luis Potosí, éste le indicó que prescindía de sus servicios por faltas acumuladas</w:t>
      </w:r>
      <w:r w:rsidR="00075C1F" w:rsidRPr="005520F4">
        <w:rPr>
          <w:rFonts w:ascii="Arial" w:hAnsi="Arial" w:cs="Arial"/>
          <w:sz w:val="28"/>
          <w:szCs w:val="28"/>
        </w:rPr>
        <w:t>;</w:t>
      </w:r>
      <w:r w:rsidR="006B2F40" w:rsidRPr="005520F4">
        <w:rPr>
          <w:rFonts w:ascii="Arial" w:hAnsi="Arial" w:cs="Arial"/>
          <w:sz w:val="28"/>
          <w:szCs w:val="28"/>
        </w:rPr>
        <w:t xml:space="preserve"> y,</w:t>
      </w:r>
    </w:p>
    <w:p w:rsidR="00C91E4E" w:rsidRPr="005520F4" w:rsidRDefault="00C91E4E" w:rsidP="00C91E4E">
      <w:pPr>
        <w:spacing w:after="240" w:line="360" w:lineRule="auto"/>
        <w:jc w:val="center"/>
        <w:rPr>
          <w:rFonts w:ascii="Arial" w:hAnsi="Arial" w:cs="Arial"/>
          <w:b/>
          <w:sz w:val="28"/>
          <w:szCs w:val="28"/>
        </w:rPr>
      </w:pPr>
      <w:r w:rsidRPr="005520F4">
        <w:rPr>
          <w:rFonts w:ascii="Arial" w:hAnsi="Arial" w:cs="Arial"/>
          <w:b/>
          <w:sz w:val="28"/>
          <w:szCs w:val="28"/>
        </w:rPr>
        <w:t>R E S U L T A N D O</w:t>
      </w:r>
    </w:p>
    <w:p w:rsidR="00075C1F" w:rsidRPr="005520F4" w:rsidRDefault="00C91E4E" w:rsidP="00C91E4E">
      <w:pPr>
        <w:spacing w:after="240" w:line="360" w:lineRule="auto"/>
        <w:ind w:firstLine="709"/>
        <w:jc w:val="both"/>
        <w:rPr>
          <w:rFonts w:ascii="Arial" w:hAnsi="Arial" w:cs="Arial"/>
          <w:sz w:val="28"/>
          <w:szCs w:val="28"/>
        </w:rPr>
      </w:pPr>
      <w:r w:rsidRPr="005520F4">
        <w:rPr>
          <w:rFonts w:ascii="Arial" w:hAnsi="Arial" w:cs="Arial"/>
          <w:b/>
          <w:sz w:val="28"/>
          <w:szCs w:val="28"/>
        </w:rPr>
        <w:t>I.-</w:t>
      </w:r>
      <w:r w:rsidRPr="005520F4">
        <w:rPr>
          <w:rFonts w:ascii="Arial" w:hAnsi="Arial" w:cs="Arial"/>
          <w:sz w:val="28"/>
          <w:szCs w:val="28"/>
        </w:rPr>
        <w:t xml:space="preserve"> Por escrito </w:t>
      </w:r>
      <w:r w:rsidR="003A6939" w:rsidRPr="005520F4">
        <w:rPr>
          <w:rFonts w:ascii="Arial" w:hAnsi="Arial" w:cs="Arial"/>
          <w:sz w:val="28"/>
          <w:szCs w:val="28"/>
        </w:rPr>
        <w:t xml:space="preserve">presentado en la oficialía de partes de </w:t>
      </w:r>
      <w:r w:rsidR="005F1811" w:rsidRPr="005520F4">
        <w:rPr>
          <w:rFonts w:ascii="Arial" w:hAnsi="Arial" w:cs="Arial"/>
          <w:sz w:val="28"/>
          <w:szCs w:val="28"/>
        </w:rPr>
        <w:t xml:space="preserve">este Tribunal, </w:t>
      </w:r>
      <w:r w:rsidRPr="005520F4">
        <w:rPr>
          <w:rFonts w:ascii="Arial" w:hAnsi="Arial" w:cs="Arial"/>
          <w:sz w:val="28"/>
          <w:szCs w:val="28"/>
        </w:rPr>
        <w:t xml:space="preserve">el </w:t>
      </w:r>
      <w:r w:rsidR="003A6939" w:rsidRPr="005520F4">
        <w:rPr>
          <w:rFonts w:ascii="Arial" w:hAnsi="Arial" w:cs="Arial"/>
          <w:sz w:val="28"/>
          <w:szCs w:val="28"/>
        </w:rPr>
        <w:t xml:space="preserve">dos </w:t>
      </w:r>
      <w:r w:rsidR="00FC14CE" w:rsidRPr="005520F4">
        <w:rPr>
          <w:rFonts w:ascii="Arial" w:hAnsi="Arial" w:cs="Arial"/>
          <w:sz w:val="28"/>
          <w:szCs w:val="28"/>
        </w:rPr>
        <w:t xml:space="preserve">de </w:t>
      </w:r>
      <w:r w:rsidR="003A6939" w:rsidRPr="005520F4">
        <w:rPr>
          <w:rFonts w:ascii="Arial" w:hAnsi="Arial" w:cs="Arial"/>
          <w:sz w:val="28"/>
          <w:szCs w:val="28"/>
        </w:rPr>
        <w:t xml:space="preserve">julio </w:t>
      </w:r>
      <w:r w:rsidR="00FC14CE" w:rsidRPr="005520F4">
        <w:rPr>
          <w:rFonts w:ascii="Arial" w:hAnsi="Arial" w:cs="Arial"/>
          <w:sz w:val="28"/>
          <w:szCs w:val="28"/>
        </w:rPr>
        <w:t>de do</w:t>
      </w:r>
      <w:r w:rsidR="00E60BE7" w:rsidRPr="005520F4">
        <w:rPr>
          <w:rFonts w:ascii="Arial" w:hAnsi="Arial" w:cs="Arial"/>
          <w:sz w:val="28"/>
          <w:szCs w:val="28"/>
        </w:rPr>
        <w:t xml:space="preserve">s mil </w:t>
      </w:r>
      <w:r w:rsidR="00541570" w:rsidRPr="005520F4">
        <w:rPr>
          <w:rFonts w:ascii="Arial" w:hAnsi="Arial" w:cs="Arial"/>
          <w:sz w:val="28"/>
          <w:szCs w:val="28"/>
        </w:rPr>
        <w:t>veinte</w:t>
      </w:r>
      <w:r w:rsidRPr="005520F4">
        <w:rPr>
          <w:rFonts w:ascii="Arial" w:hAnsi="Arial" w:cs="Arial"/>
          <w:sz w:val="28"/>
          <w:szCs w:val="28"/>
        </w:rPr>
        <w:t xml:space="preserve">, </w:t>
      </w:r>
      <w:r w:rsidR="00DD5B4F" w:rsidRPr="005520F4">
        <w:rPr>
          <w:rFonts w:ascii="Arial" w:hAnsi="Arial" w:cs="Arial"/>
          <w:sz w:val="28"/>
          <w:szCs w:val="28"/>
        </w:rPr>
        <w:t xml:space="preserve">el C. </w:t>
      </w:r>
      <w:r w:rsidR="004F5BC4">
        <w:rPr>
          <w:rFonts w:ascii="Arial" w:hAnsi="Arial" w:cs="Arial"/>
          <w:color w:val="FF0000"/>
          <w:sz w:val="28"/>
          <w:szCs w:val="28"/>
        </w:rPr>
        <w:t>******* ******** ********</w:t>
      </w:r>
      <w:r w:rsidR="00DD5B4F" w:rsidRPr="005520F4">
        <w:rPr>
          <w:rFonts w:ascii="Arial" w:hAnsi="Arial" w:cs="Arial"/>
          <w:sz w:val="28"/>
          <w:szCs w:val="28"/>
        </w:rPr>
        <w:t xml:space="preserve">, </w:t>
      </w:r>
      <w:r w:rsidRPr="005520F4">
        <w:rPr>
          <w:rFonts w:ascii="Arial" w:hAnsi="Arial" w:cs="Arial"/>
          <w:sz w:val="28"/>
          <w:szCs w:val="28"/>
        </w:rPr>
        <w:t>compareció por propio</w:t>
      </w:r>
      <w:r w:rsidR="00FC14CE" w:rsidRPr="005520F4">
        <w:rPr>
          <w:rFonts w:ascii="Arial" w:hAnsi="Arial" w:cs="Arial"/>
          <w:sz w:val="28"/>
          <w:szCs w:val="28"/>
        </w:rPr>
        <w:t xml:space="preserve"> </w:t>
      </w:r>
      <w:r w:rsidR="00DD5B4F" w:rsidRPr="005520F4">
        <w:rPr>
          <w:rFonts w:ascii="Arial" w:hAnsi="Arial" w:cs="Arial"/>
          <w:sz w:val="28"/>
          <w:szCs w:val="28"/>
        </w:rPr>
        <w:t>derecho</w:t>
      </w:r>
      <w:r w:rsidRPr="005520F4">
        <w:rPr>
          <w:rFonts w:ascii="Arial" w:hAnsi="Arial" w:cs="Arial"/>
          <w:sz w:val="28"/>
          <w:szCs w:val="28"/>
        </w:rPr>
        <w:t xml:space="preserve">, a promover juicio contencioso administrativo, </w:t>
      </w:r>
      <w:r w:rsidR="00E60BE7" w:rsidRPr="005520F4">
        <w:rPr>
          <w:rFonts w:ascii="Arial" w:hAnsi="Arial" w:cs="Arial"/>
          <w:sz w:val="28"/>
          <w:szCs w:val="28"/>
        </w:rPr>
        <w:t>en contra</w:t>
      </w:r>
      <w:r w:rsidRPr="005520F4">
        <w:rPr>
          <w:rFonts w:ascii="Arial" w:hAnsi="Arial" w:cs="Arial"/>
          <w:sz w:val="28"/>
          <w:szCs w:val="28"/>
        </w:rPr>
        <w:t xml:space="preserve"> de</w:t>
      </w:r>
      <w:r w:rsidR="009D4E63" w:rsidRPr="005520F4">
        <w:rPr>
          <w:rFonts w:ascii="Arial" w:hAnsi="Arial" w:cs="Arial"/>
          <w:sz w:val="28"/>
          <w:szCs w:val="28"/>
        </w:rPr>
        <w:t xml:space="preserve">l </w:t>
      </w:r>
      <w:r w:rsidR="00075C1F" w:rsidRPr="005520F4">
        <w:rPr>
          <w:rFonts w:ascii="Arial" w:hAnsi="Arial" w:cs="Arial"/>
          <w:sz w:val="28"/>
          <w:szCs w:val="28"/>
        </w:rPr>
        <w:t xml:space="preserve">acto administrativo consistente en </w:t>
      </w:r>
      <w:r w:rsidR="0097773B" w:rsidRPr="005520F4">
        <w:rPr>
          <w:rFonts w:ascii="Arial" w:hAnsi="Arial" w:cs="Arial"/>
          <w:i/>
          <w:sz w:val="28"/>
          <w:szCs w:val="28"/>
        </w:rPr>
        <w:t xml:space="preserve">“La Baja del Suscrito de mi puesto de Oficial Operativo de la Dirección de Seguridad Pública y Tránsito </w:t>
      </w:r>
      <w:r w:rsidR="0097773B" w:rsidRPr="005520F4">
        <w:rPr>
          <w:rFonts w:ascii="Arial" w:hAnsi="Arial" w:cs="Arial"/>
          <w:i/>
          <w:sz w:val="28"/>
          <w:szCs w:val="28"/>
        </w:rPr>
        <w:lastRenderedPageBreak/>
        <w:t>Municipal del Municipio de Cárdenas, S.L.P.”</w:t>
      </w:r>
      <w:r w:rsidR="00075C1F" w:rsidRPr="005520F4">
        <w:rPr>
          <w:rFonts w:ascii="Arial" w:hAnsi="Arial" w:cs="Arial"/>
          <w:sz w:val="28"/>
          <w:szCs w:val="28"/>
        </w:rPr>
        <w:t xml:space="preserve">, señalando </w:t>
      </w:r>
      <w:r w:rsidR="00B6124C" w:rsidRPr="005520F4">
        <w:rPr>
          <w:rFonts w:ascii="Arial" w:hAnsi="Arial" w:cs="Arial"/>
          <w:sz w:val="28"/>
          <w:szCs w:val="28"/>
        </w:rPr>
        <w:t>a una diversidad de</w:t>
      </w:r>
      <w:r w:rsidR="00075C1F" w:rsidRPr="005520F4">
        <w:rPr>
          <w:rFonts w:ascii="Arial" w:hAnsi="Arial" w:cs="Arial"/>
          <w:sz w:val="28"/>
          <w:szCs w:val="28"/>
        </w:rPr>
        <w:t xml:space="preserve"> autoridades demandadas.</w:t>
      </w:r>
    </w:p>
    <w:p w:rsidR="00C91E4E" w:rsidRPr="005520F4" w:rsidRDefault="00C91E4E" w:rsidP="00CE2FAF">
      <w:pPr>
        <w:spacing w:after="240" w:line="360" w:lineRule="auto"/>
        <w:ind w:firstLine="709"/>
        <w:jc w:val="both"/>
        <w:rPr>
          <w:rFonts w:ascii="Arial" w:hAnsi="Arial" w:cs="Arial"/>
          <w:sz w:val="28"/>
          <w:szCs w:val="28"/>
        </w:rPr>
      </w:pPr>
      <w:r w:rsidRPr="005520F4">
        <w:rPr>
          <w:rFonts w:ascii="Arial" w:hAnsi="Arial" w:cs="Arial"/>
          <w:b/>
          <w:sz w:val="28"/>
          <w:szCs w:val="28"/>
        </w:rPr>
        <w:t>II.-</w:t>
      </w:r>
      <w:r w:rsidRPr="005520F4">
        <w:rPr>
          <w:rFonts w:ascii="Arial" w:hAnsi="Arial" w:cs="Arial"/>
          <w:sz w:val="28"/>
          <w:szCs w:val="28"/>
        </w:rPr>
        <w:t xml:space="preserve"> Por acuerdo de </w:t>
      </w:r>
      <w:r w:rsidR="00D41E19" w:rsidRPr="005520F4">
        <w:rPr>
          <w:rFonts w:ascii="Arial" w:hAnsi="Arial" w:cs="Arial"/>
          <w:sz w:val="28"/>
          <w:szCs w:val="28"/>
        </w:rPr>
        <w:t xml:space="preserve">seis </w:t>
      </w:r>
      <w:r w:rsidR="00CD7795" w:rsidRPr="005520F4">
        <w:rPr>
          <w:rFonts w:ascii="Arial" w:hAnsi="Arial" w:cs="Arial"/>
          <w:sz w:val="28"/>
          <w:szCs w:val="28"/>
        </w:rPr>
        <w:t xml:space="preserve">de </w:t>
      </w:r>
      <w:r w:rsidR="00D41E19" w:rsidRPr="005520F4">
        <w:rPr>
          <w:rFonts w:ascii="Arial" w:hAnsi="Arial" w:cs="Arial"/>
          <w:sz w:val="28"/>
          <w:szCs w:val="28"/>
        </w:rPr>
        <w:t xml:space="preserve">julio </w:t>
      </w:r>
      <w:r w:rsidR="00EA4117" w:rsidRPr="005520F4">
        <w:rPr>
          <w:rFonts w:ascii="Arial" w:hAnsi="Arial" w:cs="Arial"/>
          <w:sz w:val="28"/>
          <w:szCs w:val="28"/>
        </w:rPr>
        <w:t xml:space="preserve">de dos mil </w:t>
      </w:r>
      <w:r w:rsidR="00D41E19" w:rsidRPr="005520F4">
        <w:rPr>
          <w:rFonts w:ascii="Arial" w:hAnsi="Arial" w:cs="Arial"/>
          <w:sz w:val="28"/>
          <w:szCs w:val="28"/>
        </w:rPr>
        <w:t>veinte</w:t>
      </w:r>
      <w:r w:rsidR="00EA4117" w:rsidRPr="005520F4">
        <w:rPr>
          <w:rFonts w:ascii="Arial" w:hAnsi="Arial" w:cs="Arial"/>
          <w:sz w:val="28"/>
          <w:szCs w:val="28"/>
        </w:rPr>
        <w:t xml:space="preserve">, </w:t>
      </w:r>
      <w:r w:rsidRPr="005520F4">
        <w:rPr>
          <w:rFonts w:ascii="Arial" w:hAnsi="Arial" w:cs="Arial"/>
          <w:sz w:val="28"/>
          <w:szCs w:val="28"/>
        </w:rPr>
        <w:t xml:space="preserve">se admitió a trámite la demanda y se ordenó </w:t>
      </w:r>
      <w:r w:rsidR="00CE2FAF" w:rsidRPr="005520F4">
        <w:rPr>
          <w:rFonts w:ascii="Arial" w:hAnsi="Arial" w:cs="Arial"/>
          <w:sz w:val="28"/>
          <w:szCs w:val="28"/>
        </w:rPr>
        <w:t>emplazar a la</w:t>
      </w:r>
      <w:r w:rsidR="00963B2B" w:rsidRPr="005520F4">
        <w:rPr>
          <w:rFonts w:ascii="Arial" w:hAnsi="Arial" w:cs="Arial"/>
          <w:sz w:val="28"/>
          <w:szCs w:val="28"/>
        </w:rPr>
        <w:t>s</w:t>
      </w:r>
      <w:r w:rsidR="00CE2FAF" w:rsidRPr="005520F4">
        <w:rPr>
          <w:rFonts w:ascii="Arial" w:hAnsi="Arial" w:cs="Arial"/>
          <w:sz w:val="28"/>
          <w:szCs w:val="28"/>
        </w:rPr>
        <w:t xml:space="preserve"> autoridad</w:t>
      </w:r>
      <w:r w:rsidR="00963B2B" w:rsidRPr="005520F4">
        <w:rPr>
          <w:rFonts w:ascii="Arial" w:hAnsi="Arial" w:cs="Arial"/>
          <w:sz w:val="28"/>
          <w:szCs w:val="28"/>
        </w:rPr>
        <w:t>es</w:t>
      </w:r>
      <w:r w:rsidR="00CE2FAF" w:rsidRPr="005520F4">
        <w:rPr>
          <w:rFonts w:ascii="Arial" w:hAnsi="Arial" w:cs="Arial"/>
          <w:sz w:val="28"/>
          <w:szCs w:val="28"/>
        </w:rPr>
        <w:t xml:space="preserve"> </w:t>
      </w:r>
      <w:r w:rsidR="000F3225" w:rsidRPr="005520F4">
        <w:rPr>
          <w:rFonts w:ascii="Arial" w:hAnsi="Arial" w:cs="Arial"/>
          <w:sz w:val="28"/>
          <w:szCs w:val="28"/>
        </w:rPr>
        <w:t>señalada</w:t>
      </w:r>
      <w:r w:rsidR="00963B2B" w:rsidRPr="005520F4">
        <w:rPr>
          <w:rFonts w:ascii="Arial" w:hAnsi="Arial" w:cs="Arial"/>
          <w:sz w:val="28"/>
          <w:szCs w:val="28"/>
        </w:rPr>
        <w:t>s</w:t>
      </w:r>
      <w:r w:rsidR="000F3225" w:rsidRPr="005520F4">
        <w:rPr>
          <w:rFonts w:ascii="Arial" w:hAnsi="Arial" w:cs="Arial"/>
          <w:sz w:val="28"/>
          <w:szCs w:val="28"/>
        </w:rPr>
        <w:t xml:space="preserve"> como </w:t>
      </w:r>
      <w:r w:rsidR="00CE2FAF" w:rsidRPr="005520F4">
        <w:rPr>
          <w:rFonts w:ascii="Arial" w:hAnsi="Arial" w:cs="Arial"/>
          <w:sz w:val="28"/>
          <w:szCs w:val="28"/>
        </w:rPr>
        <w:t>demandada</w:t>
      </w:r>
      <w:r w:rsidR="00963B2B" w:rsidRPr="005520F4">
        <w:rPr>
          <w:rFonts w:ascii="Arial" w:hAnsi="Arial" w:cs="Arial"/>
          <w:sz w:val="28"/>
          <w:szCs w:val="28"/>
        </w:rPr>
        <w:t>s</w:t>
      </w:r>
      <w:r w:rsidR="000F3225" w:rsidRPr="005520F4">
        <w:rPr>
          <w:rFonts w:ascii="Arial" w:hAnsi="Arial" w:cs="Arial"/>
          <w:sz w:val="28"/>
          <w:szCs w:val="28"/>
        </w:rPr>
        <w:t xml:space="preserve"> por el actor</w:t>
      </w:r>
      <w:r w:rsidRPr="005520F4">
        <w:rPr>
          <w:rFonts w:ascii="Arial" w:hAnsi="Arial" w:cs="Arial"/>
          <w:sz w:val="28"/>
          <w:szCs w:val="28"/>
        </w:rPr>
        <w:t>, para que dentro del término de diez días hábiles contados a partir del día hábil siguiente a aquel en que surtiera efectos su notificación contestara</w:t>
      </w:r>
      <w:r w:rsidR="00963B2B" w:rsidRPr="005520F4">
        <w:rPr>
          <w:rFonts w:ascii="Arial" w:hAnsi="Arial" w:cs="Arial"/>
          <w:sz w:val="28"/>
          <w:szCs w:val="28"/>
        </w:rPr>
        <w:t>n</w:t>
      </w:r>
      <w:r w:rsidR="00CE2FAF" w:rsidRPr="005520F4">
        <w:rPr>
          <w:rFonts w:ascii="Arial" w:hAnsi="Arial" w:cs="Arial"/>
          <w:sz w:val="28"/>
          <w:szCs w:val="28"/>
        </w:rPr>
        <w:t xml:space="preserve"> </w:t>
      </w:r>
      <w:r w:rsidR="00BF6CF7" w:rsidRPr="005520F4">
        <w:rPr>
          <w:rFonts w:ascii="Arial" w:hAnsi="Arial" w:cs="Arial"/>
          <w:sz w:val="28"/>
          <w:szCs w:val="28"/>
        </w:rPr>
        <w:t>y ofreciera</w:t>
      </w:r>
      <w:r w:rsidR="00963B2B" w:rsidRPr="005520F4">
        <w:rPr>
          <w:rFonts w:ascii="Arial" w:hAnsi="Arial" w:cs="Arial"/>
          <w:sz w:val="28"/>
          <w:szCs w:val="28"/>
        </w:rPr>
        <w:t>n</w:t>
      </w:r>
      <w:r w:rsidR="00BF6CF7" w:rsidRPr="005520F4">
        <w:rPr>
          <w:rFonts w:ascii="Arial" w:hAnsi="Arial" w:cs="Arial"/>
          <w:sz w:val="28"/>
          <w:szCs w:val="28"/>
        </w:rPr>
        <w:t xml:space="preserve"> las pruebas que </w:t>
      </w:r>
      <w:r w:rsidR="00CE2FAF" w:rsidRPr="005520F4">
        <w:rPr>
          <w:rFonts w:ascii="Arial" w:hAnsi="Arial" w:cs="Arial"/>
          <w:sz w:val="28"/>
          <w:szCs w:val="28"/>
        </w:rPr>
        <w:t>a su derecho conviniera</w:t>
      </w:r>
      <w:r w:rsidRPr="005520F4">
        <w:rPr>
          <w:rFonts w:ascii="Arial" w:hAnsi="Arial" w:cs="Arial"/>
          <w:sz w:val="28"/>
          <w:szCs w:val="28"/>
        </w:rPr>
        <w:t>.</w:t>
      </w:r>
    </w:p>
    <w:p w:rsidR="00C91E4E" w:rsidRPr="005520F4" w:rsidRDefault="00C91E4E" w:rsidP="00E14BB0">
      <w:pPr>
        <w:spacing w:before="240" w:after="240" w:line="360" w:lineRule="auto"/>
        <w:ind w:firstLine="709"/>
        <w:jc w:val="both"/>
        <w:rPr>
          <w:rFonts w:ascii="Arial" w:hAnsi="Arial" w:cs="Arial"/>
          <w:sz w:val="28"/>
          <w:szCs w:val="28"/>
          <w:lang w:val="es-ES"/>
        </w:rPr>
      </w:pPr>
      <w:r w:rsidRPr="005520F4">
        <w:rPr>
          <w:rFonts w:ascii="Arial" w:hAnsi="Arial" w:cs="Arial"/>
          <w:b/>
          <w:sz w:val="28"/>
          <w:szCs w:val="28"/>
        </w:rPr>
        <w:t>III.-</w:t>
      </w:r>
      <w:r w:rsidRPr="005520F4">
        <w:rPr>
          <w:rFonts w:ascii="Arial" w:hAnsi="Arial" w:cs="Arial"/>
          <w:sz w:val="28"/>
          <w:szCs w:val="28"/>
        </w:rPr>
        <w:t xml:space="preserve"> Por acuerdo de </w:t>
      </w:r>
      <w:r w:rsidR="00D41E19" w:rsidRPr="005520F4">
        <w:rPr>
          <w:rFonts w:ascii="Arial" w:hAnsi="Arial" w:cs="Arial"/>
          <w:sz w:val="28"/>
          <w:szCs w:val="28"/>
        </w:rPr>
        <w:t xml:space="preserve">ocho </w:t>
      </w:r>
      <w:r w:rsidR="00CE2FAF" w:rsidRPr="005520F4">
        <w:rPr>
          <w:rFonts w:ascii="Arial" w:hAnsi="Arial" w:cs="Arial"/>
          <w:sz w:val="28"/>
          <w:szCs w:val="28"/>
        </w:rPr>
        <w:t xml:space="preserve">de </w:t>
      </w:r>
      <w:r w:rsidR="00D41E19" w:rsidRPr="005520F4">
        <w:rPr>
          <w:rFonts w:ascii="Arial" w:hAnsi="Arial" w:cs="Arial"/>
          <w:sz w:val="28"/>
          <w:szCs w:val="28"/>
        </w:rPr>
        <w:t xml:space="preserve">septiembre </w:t>
      </w:r>
      <w:r w:rsidR="00B404B6" w:rsidRPr="005520F4">
        <w:rPr>
          <w:rFonts w:ascii="Arial" w:hAnsi="Arial" w:cs="Arial"/>
          <w:sz w:val="28"/>
          <w:szCs w:val="28"/>
        </w:rPr>
        <w:t xml:space="preserve">de dos </w:t>
      </w:r>
      <w:r w:rsidR="00D41E19" w:rsidRPr="005520F4">
        <w:rPr>
          <w:rFonts w:ascii="Arial" w:hAnsi="Arial" w:cs="Arial"/>
          <w:sz w:val="28"/>
          <w:szCs w:val="28"/>
        </w:rPr>
        <w:t>mil veinte</w:t>
      </w:r>
      <w:r w:rsidRPr="005520F4">
        <w:rPr>
          <w:rFonts w:ascii="Arial" w:hAnsi="Arial" w:cs="Arial"/>
          <w:sz w:val="28"/>
          <w:szCs w:val="28"/>
        </w:rPr>
        <w:t xml:space="preserve">, se </w:t>
      </w:r>
      <w:r w:rsidR="00873243" w:rsidRPr="005520F4">
        <w:rPr>
          <w:rFonts w:ascii="Arial" w:hAnsi="Arial" w:cs="Arial"/>
          <w:sz w:val="28"/>
          <w:szCs w:val="28"/>
        </w:rPr>
        <w:t xml:space="preserve">dio cuenta con los diversos oficios por medio de los cuales las autoridades demandadas formularon su contestación a la demanda, </w:t>
      </w:r>
      <w:r w:rsidR="00E14BB0" w:rsidRPr="005520F4">
        <w:rPr>
          <w:rFonts w:ascii="Arial" w:hAnsi="Arial" w:cs="Arial"/>
          <w:b/>
          <w:sz w:val="28"/>
          <w:szCs w:val="28"/>
        </w:rPr>
        <w:t>teniéndose por contestada la demanda</w:t>
      </w:r>
      <w:r w:rsidR="00E14BB0" w:rsidRPr="005520F4">
        <w:rPr>
          <w:rFonts w:ascii="Arial" w:hAnsi="Arial" w:cs="Arial"/>
          <w:sz w:val="28"/>
          <w:szCs w:val="28"/>
        </w:rPr>
        <w:t>; asimismo se tuvieron por admitidas las pruebas documentales ofrecidas por las partes</w:t>
      </w:r>
      <w:r w:rsidR="00D41E19" w:rsidRPr="005520F4">
        <w:rPr>
          <w:rFonts w:ascii="Arial" w:hAnsi="Arial" w:cs="Arial"/>
          <w:sz w:val="28"/>
          <w:szCs w:val="28"/>
        </w:rPr>
        <w:t>, se admitió la prueba testimonial ofrecida por la parte actora respecto de la cual se reservó su desahogo para el día en que se celebrara la audiencia final que correspondiera al presente asunto, estableciéndose que correspondía al actor presentar a los testigos ante esta Juzgadora para el desahogo de la citada prueba testimon</w:t>
      </w:r>
      <w:r w:rsidR="00DA4555">
        <w:rPr>
          <w:rFonts w:ascii="Arial" w:hAnsi="Arial" w:cs="Arial"/>
          <w:sz w:val="28"/>
          <w:szCs w:val="28"/>
        </w:rPr>
        <w:t>ial, bajo el apercibimiento</w:t>
      </w:r>
      <w:r w:rsidR="00D41E19" w:rsidRPr="005520F4">
        <w:rPr>
          <w:rFonts w:ascii="Arial" w:hAnsi="Arial" w:cs="Arial"/>
          <w:sz w:val="28"/>
          <w:szCs w:val="28"/>
        </w:rPr>
        <w:t xml:space="preserve"> de que de no pres</w:t>
      </w:r>
      <w:r w:rsidR="00DA4555">
        <w:rPr>
          <w:rFonts w:ascii="Arial" w:hAnsi="Arial" w:cs="Arial"/>
          <w:sz w:val="28"/>
          <w:szCs w:val="28"/>
        </w:rPr>
        <w:t>entarlos se declararía desierta;</w:t>
      </w:r>
      <w:r w:rsidR="00D41E19" w:rsidRPr="005520F4">
        <w:rPr>
          <w:rFonts w:ascii="Arial" w:hAnsi="Arial" w:cs="Arial"/>
          <w:sz w:val="28"/>
          <w:szCs w:val="28"/>
        </w:rPr>
        <w:t xml:space="preserve"> respecto de la prueba de inspección ofrecida por la actora, </w:t>
      </w:r>
      <w:r w:rsidR="0005039D" w:rsidRPr="005520F4">
        <w:rPr>
          <w:rFonts w:ascii="Arial" w:hAnsi="Arial" w:cs="Arial"/>
          <w:sz w:val="28"/>
          <w:szCs w:val="28"/>
        </w:rPr>
        <w:t xml:space="preserve">en su preparación </w:t>
      </w:r>
      <w:r w:rsidR="00D41E19" w:rsidRPr="005520F4">
        <w:rPr>
          <w:rFonts w:ascii="Arial" w:hAnsi="Arial" w:cs="Arial"/>
          <w:sz w:val="28"/>
          <w:szCs w:val="28"/>
        </w:rPr>
        <w:t>se ordenó dar vista a las autoridades demandadas para que dentro del plazo de tres días hábiles manifestaran lo que a su derecho conviniera y en su caso de considerarlo conveniente propusieran la ampliación de los objetos, cosas, lugares o hechos materia de la inspección</w:t>
      </w:r>
      <w:r w:rsidR="00E14BB0" w:rsidRPr="005520F4">
        <w:rPr>
          <w:rFonts w:ascii="Arial" w:hAnsi="Arial" w:cs="Arial"/>
          <w:sz w:val="28"/>
          <w:szCs w:val="28"/>
        </w:rPr>
        <w:t>;</w:t>
      </w:r>
      <w:r w:rsidR="0005039D" w:rsidRPr="005520F4">
        <w:rPr>
          <w:rFonts w:ascii="Arial" w:hAnsi="Arial" w:cs="Arial"/>
          <w:sz w:val="28"/>
          <w:szCs w:val="28"/>
        </w:rPr>
        <w:t xml:space="preserve"> en lo que respecta a las pruebas ofrecidas por el Síndico Municipal demandado consistentes en: </w:t>
      </w:r>
      <w:r w:rsidR="0005039D" w:rsidRPr="005520F4">
        <w:rPr>
          <w:rFonts w:ascii="Arial" w:hAnsi="Arial" w:cs="Arial"/>
          <w:i/>
          <w:sz w:val="28"/>
          <w:szCs w:val="28"/>
        </w:rPr>
        <w:t>“copias certificadas de las actuaciones y actas levantadas dentro del procedimiento administrativo que siguió en contra del actor de este juicio, la Comisión de Honor y Justicia, mismas que me permito acompañar al presente escrito”</w:t>
      </w:r>
      <w:r w:rsidR="0005039D" w:rsidRPr="005520F4">
        <w:rPr>
          <w:rFonts w:ascii="Arial" w:hAnsi="Arial" w:cs="Arial"/>
          <w:sz w:val="28"/>
          <w:szCs w:val="28"/>
        </w:rPr>
        <w:t>, toda vez que no las exhibió</w:t>
      </w:r>
      <w:r w:rsidR="00DA4555">
        <w:rPr>
          <w:rFonts w:ascii="Arial" w:hAnsi="Arial" w:cs="Arial"/>
          <w:sz w:val="28"/>
          <w:szCs w:val="28"/>
        </w:rPr>
        <w:t>,</w:t>
      </w:r>
      <w:r w:rsidR="0005039D" w:rsidRPr="005520F4">
        <w:rPr>
          <w:rFonts w:ascii="Arial" w:hAnsi="Arial" w:cs="Arial"/>
          <w:sz w:val="28"/>
          <w:szCs w:val="28"/>
        </w:rPr>
        <w:t xml:space="preserve"> se le requirió para que dentro del plazo de cinco días hábiles las exhibiera, bajo el apercibimiento de que en caso de no hacerlo se desecharía </w:t>
      </w:r>
      <w:r w:rsidR="0005039D" w:rsidRPr="005520F4">
        <w:rPr>
          <w:rFonts w:ascii="Arial" w:hAnsi="Arial" w:cs="Arial"/>
          <w:sz w:val="28"/>
          <w:szCs w:val="28"/>
        </w:rPr>
        <w:lastRenderedPageBreak/>
        <w:t>dicha probanza,</w:t>
      </w:r>
      <w:r w:rsidR="00E14BB0" w:rsidRPr="005520F4">
        <w:rPr>
          <w:rFonts w:ascii="Arial" w:hAnsi="Arial" w:cs="Arial"/>
          <w:sz w:val="28"/>
          <w:szCs w:val="28"/>
        </w:rPr>
        <w:t xml:space="preserve"> finalmente se </w:t>
      </w:r>
      <w:r w:rsidR="0005039D" w:rsidRPr="005520F4">
        <w:rPr>
          <w:rFonts w:ascii="Arial" w:hAnsi="Arial" w:cs="Arial"/>
          <w:sz w:val="28"/>
          <w:szCs w:val="28"/>
          <w:lang w:val="es-ES"/>
        </w:rPr>
        <w:t xml:space="preserve">reservó fijar fecha para el desahogo de la </w:t>
      </w:r>
      <w:r w:rsidR="00E14BB0" w:rsidRPr="005520F4">
        <w:rPr>
          <w:rFonts w:ascii="Arial" w:hAnsi="Arial" w:cs="Arial"/>
          <w:sz w:val="28"/>
          <w:szCs w:val="28"/>
          <w:lang w:val="es-ES"/>
        </w:rPr>
        <w:t>audiencia final a que se refiere el artículo 246, del Código Procesal Administrativo para el Estado</w:t>
      </w:r>
      <w:r w:rsidR="0005039D" w:rsidRPr="005520F4">
        <w:rPr>
          <w:rFonts w:ascii="Arial" w:hAnsi="Arial" w:cs="Arial"/>
          <w:sz w:val="28"/>
          <w:szCs w:val="28"/>
          <w:lang w:val="es-ES"/>
        </w:rPr>
        <w:t>, hasta en tanto fuere el momento procesal oportuno</w:t>
      </w:r>
      <w:r w:rsidR="00E14BB0" w:rsidRPr="005520F4">
        <w:rPr>
          <w:rFonts w:ascii="Arial" w:hAnsi="Arial" w:cs="Arial"/>
          <w:sz w:val="28"/>
          <w:szCs w:val="28"/>
          <w:lang w:val="es-ES"/>
        </w:rPr>
        <w:t>.</w:t>
      </w:r>
    </w:p>
    <w:p w:rsidR="00E2660A" w:rsidRPr="005520F4" w:rsidRDefault="00C91E4E" w:rsidP="00565DFA">
      <w:pPr>
        <w:spacing w:before="240" w:after="240" w:line="360" w:lineRule="auto"/>
        <w:ind w:firstLine="709"/>
        <w:jc w:val="both"/>
        <w:rPr>
          <w:rFonts w:ascii="Arial" w:hAnsi="Arial" w:cs="Arial"/>
          <w:sz w:val="28"/>
          <w:szCs w:val="28"/>
        </w:rPr>
      </w:pPr>
      <w:r w:rsidRPr="005520F4">
        <w:rPr>
          <w:rFonts w:ascii="Arial" w:hAnsi="Arial" w:cs="Arial"/>
          <w:b/>
          <w:sz w:val="28"/>
          <w:szCs w:val="28"/>
        </w:rPr>
        <w:t>IV.-</w:t>
      </w:r>
      <w:r w:rsidRPr="005520F4">
        <w:rPr>
          <w:rFonts w:ascii="Arial" w:hAnsi="Arial" w:cs="Arial"/>
          <w:sz w:val="28"/>
          <w:szCs w:val="28"/>
        </w:rPr>
        <w:t xml:space="preserve"> </w:t>
      </w:r>
      <w:r w:rsidR="00E2660A" w:rsidRPr="005520F4">
        <w:rPr>
          <w:rFonts w:ascii="Arial" w:hAnsi="Arial" w:cs="Arial"/>
          <w:sz w:val="28"/>
          <w:szCs w:val="28"/>
        </w:rPr>
        <w:t xml:space="preserve">Por acuerdo de veintitrés de octubre de dos mil veinte, el secretario de acuerdos de esta Sala certificó el plazo con que contaban las autoridades demandadas para desahogar los requerimientos efectuados en el acuerdo de ocho de septiembre de dos mil veinte, por consiguiente, al no haberse desahogado dichos requerimientos, se declaró </w:t>
      </w:r>
      <w:proofErr w:type="spellStart"/>
      <w:r w:rsidR="00E2660A" w:rsidRPr="005520F4">
        <w:rPr>
          <w:rFonts w:ascii="Arial" w:hAnsi="Arial" w:cs="Arial"/>
          <w:sz w:val="28"/>
          <w:szCs w:val="28"/>
        </w:rPr>
        <w:t>precluido</w:t>
      </w:r>
      <w:proofErr w:type="spellEnd"/>
      <w:r w:rsidR="00E2660A" w:rsidRPr="005520F4">
        <w:rPr>
          <w:rFonts w:ascii="Arial" w:hAnsi="Arial" w:cs="Arial"/>
          <w:sz w:val="28"/>
          <w:szCs w:val="28"/>
        </w:rPr>
        <w:t xml:space="preserve"> el derecho de las demandadas para proponer la ampliación de los objetos, cosas, lugares o hechos materia de la inspección, y se admitió a trámite la prueba de inspección únicamente en los términos</w:t>
      </w:r>
      <w:r w:rsidR="00DA4555">
        <w:rPr>
          <w:rFonts w:ascii="Arial" w:hAnsi="Arial" w:cs="Arial"/>
          <w:sz w:val="28"/>
          <w:szCs w:val="28"/>
        </w:rPr>
        <w:t xml:space="preserve"> propuestos por el accionante, asimismo</w:t>
      </w:r>
      <w:r w:rsidR="00E2660A" w:rsidRPr="005520F4">
        <w:rPr>
          <w:rFonts w:ascii="Arial" w:hAnsi="Arial" w:cs="Arial"/>
          <w:sz w:val="28"/>
          <w:szCs w:val="28"/>
        </w:rPr>
        <w:t xml:space="preserve"> en virtud de </w:t>
      </w:r>
      <w:r w:rsidR="00F154B2" w:rsidRPr="005520F4">
        <w:rPr>
          <w:rFonts w:ascii="Arial" w:hAnsi="Arial" w:cs="Arial"/>
          <w:sz w:val="28"/>
          <w:szCs w:val="28"/>
        </w:rPr>
        <w:t>que el desahogo de dic</w:t>
      </w:r>
      <w:r w:rsidR="00E2660A" w:rsidRPr="005520F4">
        <w:rPr>
          <w:rFonts w:ascii="Arial" w:hAnsi="Arial" w:cs="Arial"/>
          <w:sz w:val="28"/>
          <w:szCs w:val="28"/>
        </w:rPr>
        <w:t xml:space="preserve">ha prueba de inspección tendría lugar fuera del territorio donde se encuentra la sede de este Tribunal  </w:t>
      </w:r>
      <w:r w:rsidR="00F154B2" w:rsidRPr="005520F4">
        <w:rPr>
          <w:rFonts w:ascii="Arial" w:hAnsi="Arial" w:cs="Arial"/>
          <w:sz w:val="28"/>
          <w:szCs w:val="28"/>
        </w:rPr>
        <w:t xml:space="preserve">se ordenó girar exhorto al Juzgado Mixto de Primera Instancia de Cuarto Distrito Judicial, con sede en Cárdenas, S.L.P., para que auxiliara a esta Sala en el desahogo de la citada Inspección; </w:t>
      </w:r>
      <w:r w:rsidR="00E2660A" w:rsidRPr="005520F4">
        <w:rPr>
          <w:rFonts w:ascii="Arial" w:hAnsi="Arial" w:cs="Arial"/>
          <w:sz w:val="28"/>
          <w:szCs w:val="28"/>
        </w:rPr>
        <w:t>y</w:t>
      </w:r>
      <w:r w:rsidR="00DA4555">
        <w:rPr>
          <w:rFonts w:ascii="Arial" w:hAnsi="Arial" w:cs="Arial"/>
          <w:sz w:val="28"/>
          <w:szCs w:val="28"/>
        </w:rPr>
        <w:t>,</w:t>
      </w:r>
      <w:r w:rsidR="00E2660A" w:rsidRPr="005520F4">
        <w:rPr>
          <w:rFonts w:ascii="Arial" w:hAnsi="Arial" w:cs="Arial"/>
          <w:sz w:val="28"/>
          <w:szCs w:val="28"/>
        </w:rPr>
        <w:t xml:space="preserve"> en cuanto a la prueba propuesta por el S</w:t>
      </w:r>
      <w:r w:rsidR="00F154B2" w:rsidRPr="005520F4">
        <w:rPr>
          <w:rFonts w:ascii="Arial" w:hAnsi="Arial" w:cs="Arial"/>
          <w:sz w:val="28"/>
          <w:szCs w:val="28"/>
        </w:rPr>
        <w:t>índico Municipal demandado, toda vez que omitió exhibir dentro del plazo concedido para tal efecto, las documentales ofrecidas en su contestación de demanda, requeridas en el acuerdo de ocho de septiembre de dos mil veinte, se tuvo por no cumplimentado el requerimiento respectivo, haciéndose efectivo el apercibimiento correspondiente y desechándose la citada prueba documental.</w:t>
      </w:r>
    </w:p>
    <w:p w:rsidR="00E2660A" w:rsidRPr="005520F4" w:rsidRDefault="00F154B2" w:rsidP="00565DFA">
      <w:pPr>
        <w:spacing w:before="240" w:after="240" w:line="360" w:lineRule="auto"/>
        <w:ind w:firstLine="709"/>
        <w:jc w:val="both"/>
        <w:rPr>
          <w:rFonts w:ascii="Arial" w:hAnsi="Arial" w:cs="Arial"/>
          <w:b/>
          <w:sz w:val="28"/>
          <w:szCs w:val="28"/>
        </w:rPr>
      </w:pPr>
      <w:r w:rsidRPr="005520F4">
        <w:rPr>
          <w:rFonts w:ascii="Arial" w:hAnsi="Arial" w:cs="Arial"/>
          <w:b/>
          <w:sz w:val="28"/>
          <w:szCs w:val="28"/>
        </w:rPr>
        <w:t xml:space="preserve">V.- </w:t>
      </w:r>
      <w:r w:rsidRPr="005520F4">
        <w:rPr>
          <w:rFonts w:ascii="Arial" w:hAnsi="Arial" w:cs="Arial"/>
          <w:sz w:val="28"/>
          <w:szCs w:val="28"/>
        </w:rPr>
        <w:t xml:space="preserve">Mediante acuerdo de tres de junio de dos mil veintiuno, se dio cuenta con los oficios recibidos </w:t>
      </w:r>
      <w:r w:rsidR="00DA4555">
        <w:rPr>
          <w:rFonts w:ascii="Arial" w:hAnsi="Arial" w:cs="Arial"/>
          <w:sz w:val="28"/>
          <w:szCs w:val="28"/>
        </w:rPr>
        <w:t xml:space="preserve">en este Tribunal </w:t>
      </w:r>
      <w:r w:rsidRPr="005520F4">
        <w:rPr>
          <w:rFonts w:ascii="Arial" w:hAnsi="Arial" w:cs="Arial"/>
          <w:sz w:val="28"/>
          <w:szCs w:val="28"/>
        </w:rPr>
        <w:t xml:space="preserve">el primero de junio del año en cita, mediante los cuales la Secretaria General de Acuerdos del Supremo Tribunal de Justicia en el Estado, remitió las constancias </w:t>
      </w:r>
      <w:r w:rsidR="00665C27" w:rsidRPr="005520F4">
        <w:rPr>
          <w:rFonts w:ascii="Arial" w:hAnsi="Arial" w:cs="Arial"/>
          <w:sz w:val="28"/>
          <w:szCs w:val="28"/>
        </w:rPr>
        <w:t xml:space="preserve">que acreditaban la diligencia del exhorto girado por esta Sala, y se dio vista a las partes con las mismas para que en el plazo de tres días hábiles manifestaran lo que a su </w:t>
      </w:r>
      <w:r w:rsidR="00665C27" w:rsidRPr="005520F4">
        <w:rPr>
          <w:rFonts w:ascii="Arial" w:hAnsi="Arial" w:cs="Arial"/>
          <w:sz w:val="28"/>
          <w:szCs w:val="28"/>
        </w:rPr>
        <w:lastRenderedPageBreak/>
        <w:t>derecho conviniera, asimismo se señalaron las once horas del primero de julio de dos mil veintiuno, para que tuviera verificativo la audiencia de ley a que se refiere el artículo 246 del Código Procesal Administrativo para el Estado.</w:t>
      </w:r>
    </w:p>
    <w:p w:rsidR="00565DFA" w:rsidRPr="005520F4" w:rsidRDefault="00665C27" w:rsidP="00565DFA">
      <w:pPr>
        <w:spacing w:before="240" w:after="240" w:line="360" w:lineRule="auto"/>
        <w:ind w:firstLine="709"/>
        <w:jc w:val="both"/>
        <w:rPr>
          <w:rFonts w:ascii="Arial" w:hAnsi="Arial" w:cs="Arial"/>
          <w:sz w:val="28"/>
          <w:szCs w:val="28"/>
          <w:lang w:val="es-ES"/>
        </w:rPr>
      </w:pPr>
      <w:r w:rsidRPr="005520F4">
        <w:rPr>
          <w:rFonts w:ascii="Arial" w:hAnsi="Arial" w:cs="Arial"/>
          <w:b/>
          <w:sz w:val="28"/>
          <w:szCs w:val="28"/>
        </w:rPr>
        <w:t>VI.-</w:t>
      </w:r>
      <w:r w:rsidRPr="005520F4">
        <w:rPr>
          <w:rFonts w:ascii="Arial" w:hAnsi="Arial" w:cs="Arial"/>
          <w:sz w:val="28"/>
          <w:szCs w:val="28"/>
        </w:rPr>
        <w:t xml:space="preserve"> </w:t>
      </w:r>
      <w:r w:rsidR="00565DFA" w:rsidRPr="005520F4">
        <w:rPr>
          <w:rFonts w:ascii="Arial" w:hAnsi="Arial" w:cs="Arial"/>
          <w:sz w:val="28"/>
          <w:szCs w:val="28"/>
        </w:rPr>
        <w:t xml:space="preserve">En la fecha y hora fijadas en el auto descrito en el resultando que antecede se llevó a cabo la audiencia final, </w:t>
      </w:r>
      <w:r w:rsidRPr="005520F4">
        <w:rPr>
          <w:rFonts w:ascii="Arial" w:hAnsi="Arial" w:cs="Arial"/>
          <w:sz w:val="28"/>
          <w:szCs w:val="28"/>
        </w:rPr>
        <w:t xml:space="preserve">con </w:t>
      </w:r>
      <w:r w:rsidR="00565DFA" w:rsidRPr="005520F4">
        <w:rPr>
          <w:rFonts w:ascii="Arial" w:hAnsi="Arial" w:cs="Arial"/>
          <w:sz w:val="28"/>
          <w:szCs w:val="28"/>
        </w:rPr>
        <w:t xml:space="preserve">la asistencia </w:t>
      </w:r>
      <w:r w:rsidRPr="005520F4">
        <w:rPr>
          <w:rFonts w:ascii="Arial" w:hAnsi="Arial" w:cs="Arial"/>
          <w:sz w:val="28"/>
          <w:szCs w:val="28"/>
        </w:rPr>
        <w:t>únicamente del abogado autorizado de la parte actora</w:t>
      </w:r>
      <w:r w:rsidR="00565DFA" w:rsidRPr="005520F4">
        <w:rPr>
          <w:rFonts w:ascii="Arial" w:hAnsi="Arial" w:cs="Arial"/>
          <w:sz w:val="28"/>
          <w:szCs w:val="28"/>
        </w:rPr>
        <w:t>, en la cual el Secretario dio cuenta de las actuaciones en</w:t>
      </w:r>
      <w:r w:rsidR="00DA4555">
        <w:rPr>
          <w:rFonts w:ascii="Arial" w:hAnsi="Arial" w:cs="Arial"/>
          <w:sz w:val="28"/>
          <w:szCs w:val="28"/>
        </w:rPr>
        <w:t xml:space="preserve"> autos; a</w:t>
      </w:r>
      <w:r w:rsidR="00565DFA" w:rsidRPr="005520F4">
        <w:rPr>
          <w:rFonts w:ascii="Arial" w:hAnsi="Arial" w:cs="Arial"/>
          <w:sz w:val="28"/>
          <w:szCs w:val="28"/>
        </w:rPr>
        <w:t>simismo tuvo por desahogadas las pruebas de la</w:t>
      </w:r>
      <w:r w:rsidR="007A4F85" w:rsidRPr="005520F4">
        <w:rPr>
          <w:rFonts w:ascii="Arial" w:hAnsi="Arial" w:cs="Arial"/>
          <w:sz w:val="28"/>
          <w:szCs w:val="28"/>
        </w:rPr>
        <w:t>s</w:t>
      </w:r>
      <w:r w:rsidR="00565DFA" w:rsidRPr="005520F4">
        <w:rPr>
          <w:rFonts w:ascii="Arial" w:hAnsi="Arial" w:cs="Arial"/>
          <w:sz w:val="28"/>
          <w:szCs w:val="28"/>
        </w:rPr>
        <w:t xml:space="preserve"> parte</w:t>
      </w:r>
      <w:r w:rsidR="007A4F85" w:rsidRPr="005520F4">
        <w:rPr>
          <w:rFonts w:ascii="Arial" w:hAnsi="Arial" w:cs="Arial"/>
          <w:sz w:val="28"/>
          <w:szCs w:val="28"/>
        </w:rPr>
        <w:t>s</w:t>
      </w:r>
      <w:r w:rsidR="00565DFA" w:rsidRPr="005520F4">
        <w:rPr>
          <w:rFonts w:ascii="Arial" w:hAnsi="Arial" w:cs="Arial"/>
          <w:sz w:val="28"/>
          <w:szCs w:val="28"/>
        </w:rPr>
        <w:t xml:space="preserve">, dada su propia y especial naturaleza; </w:t>
      </w:r>
      <w:r w:rsidRPr="005520F4">
        <w:rPr>
          <w:rFonts w:ascii="Arial" w:hAnsi="Arial" w:cs="Arial"/>
          <w:sz w:val="28"/>
          <w:szCs w:val="28"/>
        </w:rPr>
        <w:t xml:space="preserve">se dio cuenta con el escrito presentado ante este Tribunal el día de la audiencia mediante el cual el autorizado de la parte actora se desistió de la prueba testimonial ofrecida en su demanda, por lo cual se hizo constar la inasistencia de los testigos propuestos por la actora y por ende </w:t>
      </w:r>
      <w:r w:rsidRPr="00DA4555">
        <w:rPr>
          <w:rFonts w:ascii="Arial" w:hAnsi="Arial" w:cs="Arial"/>
          <w:sz w:val="28"/>
          <w:szCs w:val="28"/>
          <w:u w:val="single"/>
        </w:rPr>
        <w:t>se declaró desierta la prueba testimonial</w:t>
      </w:r>
      <w:r w:rsidRPr="00DA4555">
        <w:rPr>
          <w:rFonts w:ascii="Arial" w:hAnsi="Arial" w:cs="Arial"/>
          <w:sz w:val="28"/>
          <w:szCs w:val="28"/>
        </w:rPr>
        <w:t xml:space="preserve"> de referencia</w:t>
      </w:r>
      <w:r w:rsidRPr="005520F4">
        <w:rPr>
          <w:rFonts w:ascii="Arial" w:hAnsi="Arial" w:cs="Arial"/>
          <w:sz w:val="28"/>
          <w:szCs w:val="28"/>
        </w:rPr>
        <w:t xml:space="preserve">, en ese sentido el Secretario </w:t>
      </w:r>
      <w:r w:rsidR="00565DFA" w:rsidRPr="005520F4">
        <w:rPr>
          <w:rFonts w:ascii="Arial" w:hAnsi="Arial" w:cs="Arial"/>
          <w:sz w:val="28"/>
          <w:szCs w:val="28"/>
        </w:rPr>
        <w:t xml:space="preserve">hizo constar que no había pruebas pendientes por desahogar. </w:t>
      </w:r>
      <w:r w:rsidR="00565DFA" w:rsidRPr="005520F4">
        <w:rPr>
          <w:rFonts w:ascii="Arial" w:hAnsi="Arial" w:cs="Arial"/>
          <w:sz w:val="28"/>
          <w:szCs w:val="28"/>
          <w:lang w:val="es-ES"/>
        </w:rPr>
        <w:t xml:space="preserve">En la etapa de alegatos </w:t>
      </w:r>
      <w:r w:rsidRPr="005520F4">
        <w:rPr>
          <w:rFonts w:ascii="Arial" w:hAnsi="Arial" w:cs="Arial"/>
          <w:sz w:val="28"/>
          <w:szCs w:val="28"/>
          <w:lang w:val="es-ES"/>
        </w:rPr>
        <w:t xml:space="preserve">dio cuenta con el escrito presentado por el autorizado de la parte actora y se </w:t>
      </w:r>
      <w:r w:rsidR="00565DFA" w:rsidRPr="005520F4">
        <w:rPr>
          <w:rFonts w:ascii="Arial" w:hAnsi="Arial" w:cs="Arial"/>
          <w:sz w:val="28"/>
          <w:szCs w:val="28"/>
          <w:lang w:val="es-ES"/>
        </w:rPr>
        <w:t xml:space="preserve">certificó que no se formularon por las </w:t>
      </w:r>
      <w:r w:rsidRPr="005520F4">
        <w:rPr>
          <w:rFonts w:ascii="Arial" w:hAnsi="Arial" w:cs="Arial"/>
          <w:sz w:val="28"/>
          <w:szCs w:val="28"/>
          <w:lang w:val="es-ES"/>
        </w:rPr>
        <w:t xml:space="preserve">autoridades demandadas, declarando </w:t>
      </w:r>
      <w:proofErr w:type="spellStart"/>
      <w:r w:rsidRPr="005520F4">
        <w:rPr>
          <w:rFonts w:ascii="Arial" w:hAnsi="Arial" w:cs="Arial"/>
          <w:sz w:val="28"/>
          <w:szCs w:val="28"/>
          <w:lang w:val="es-ES"/>
        </w:rPr>
        <w:t>precluido</w:t>
      </w:r>
      <w:proofErr w:type="spellEnd"/>
      <w:r w:rsidRPr="005520F4">
        <w:rPr>
          <w:rFonts w:ascii="Arial" w:hAnsi="Arial" w:cs="Arial"/>
          <w:sz w:val="28"/>
          <w:szCs w:val="28"/>
          <w:lang w:val="es-ES"/>
        </w:rPr>
        <w:t xml:space="preserve"> su derecho para formularlos;</w:t>
      </w:r>
      <w:r w:rsidR="00565DFA" w:rsidRPr="005520F4">
        <w:rPr>
          <w:rFonts w:ascii="Arial" w:hAnsi="Arial" w:cs="Arial"/>
          <w:sz w:val="28"/>
          <w:szCs w:val="28"/>
          <w:lang w:val="es-ES"/>
        </w:rPr>
        <w:t xml:space="preserve"> Finalmente, se citó para resolver en definitiva el presente asunto.</w:t>
      </w:r>
    </w:p>
    <w:p w:rsidR="00C91E4E" w:rsidRPr="005520F4" w:rsidRDefault="00C91E4E" w:rsidP="00013399">
      <w:pPr>
        <w:spacing w:before="240" w:after="240" w:line="360" w:lineRule="auto"/>
        <w:jc w:val="center"/>
        <w:rPr>
          <w:rFonts w:ascii="Arial" w:hAnsi="Arial" w:cs="Arial"/>
          <w:b/>
          <w:sz w:val="28"/>
          <w:szCs w:val="28"/>
        </w:rPr>
      </w:pPr>
      <w:r w:rsidRPr="005520F4">
        <w:rPr>
          <w:rFonts w:ascii="Arial" w:hAnsi="Arial" w:cs="Arial"/>
          <w:b/>
          <w:sz w:val="28"/>
          <w:szCs w:val="28"/>
        </w:rPr>
        <w:t>C O N S I D E R A N D O</w:t>
      </w:r>
    </w:p>
    <w:p w:rsidR="00952F12" w:rsidRPr="005520F4" w:rsidRDefault="00C91E4E" w:rsidP="00952F12">
      <w:pPr>
        <w:spacing w:before="240" w:after="240" w:line="360" w:lineRule="auto"/>
        <w:ind w:firstLine="708"/>
        <w:jc w:val="both"/>
        <w:rPr>
          <w:rFonts w:ascii="Arial" w:hAnsi="Arial" w:cs="Arial"/>
          <w:sz w:val="28"/>
          <w:szCs w:val="28"/>
          <w:lang w:val="es-ES"/>
        </w:rPr>
      </w:pPr>
      <w:r w:rsidRPr="005520F4">
        <w:rPr>
          <w:rFonts w:ascii="Arial" w:hAnsi="Arial" w:cs="Arial"/>
          <w:b/>
          <w:sz w:val="28"/>
          <w:szCs w:val="28"/>
        </w:rPr>
        <w:t xml:space="preserve">PRIMERO.- </w:t>
      </w:r>
      <w:r w:rsidR="00952F12" w:rsidRPr="005520F4">
        <w:rPr>
          <w:rFonts w:ascii="Arial" w:hAnsi="Arial" w:cs="Arial"/>
          <w:sz w:val="28"/>
          <w:szCs w:val="28"/>
          <w:lang w:val="es-ES"/>
        </w:rPr>
        <w:t xml:space="preserve">Esta Segunda Sala Unitaria del Tribunal Estatal de Justicia Administrativa de San Luis Potosí, es competente para conocer y resolver el presente Juicio Contencioso Administrativo conforme a lo dispuesto por los artículos 123 de la Constitución Política del Estado de San Luis Potosí, 1°, 2° 7° fracción XVII, 9 fracción III, 24 y 35 fracción VIII, de la Ley Orgánica del Tribunal Estatal de Justicia Administrativa de San Luis Potosí, segundo párrafo del artículo 2°, 248, 249, 250 y 251 del Código Procesal Administrativo para el Estado de San Luis Potosí, en relación con el artículo 51 de </w:t>
      </w:r>
      <w:smartTag w:uri="urn:schemas-microsoft-com:office:smarttags" w:element="PersonName">
        <w:smartTagPr>
          <w:attr w:name="ProductID" w:val="la Ley"/>
        </w:smartTagPr>
        <w:r w:rsidR="00952F12" w:rsidRPr="005520F4">
          <w:rPr>
            <w:rFonts w:ascii="Arial" w:hAnsi="Arial" w:cs="Arial"/>
            <w:sz w:val="28"/>
            <w:szCs w:val="28"/>
            <w:lang w:val="es-ES"/>
          </w:rPr>
          <w:t>la Ley</w:t>
        </w:r>
      </w:smartTag>
      <w:r w:rsidR="00952F12" w:rsidRPr="005520F4">
        <w:rPr>
          <w:rFonts w:ascii="Arial" w:hAnsi="Arial" w:cs="Arial"/>
          <w:sz w:val="28"/>
          <w:szCs w:val="28"/>
          <w:lang w:val="es-ES"/>
        </w:rPr>
        <w:t xml:space="preserve"> del Sistema de Seguridad Pública del Estado de San Luis Potosí; puesto que se trata de una </w:t>
      </w:r>
      <w:r w:rsidR="00952F12" w:rsidRPr="005520F4">
        <w:rPr>
          <w:rFonts w:ascii="Arial" w:hAnsi="Arial" w:cs="Arial"/>
          <w:sz w:val="28"/>
          <w:szCs w:val="28"/>
          <w:lang w:val="es-ES"/>
        </w:rPr>
        <w:lastRenderedPageBreak/>
        <w:t xml:space="preserve">controversia de naturaleza administrativa entre un particular y autoridades </w:t>
      </w:r>
      <w:r w:rsidR="00D7181A" w:rsidRPr="005520F4">
        <w:rPr>
          <w:rFonts w:ascii="Arial" w:hAnsi="Arial" w:cs="Arial"/>
          <w:sz w:val="28"/>
          <w:szCs w:val="28"/>
          <w:lang w:val="es-ES"/>
        </w:rPr>
        <w:t>del Municipio de Cárdenas, San Luis Potosí,</w:t>
      </w:r>
      <w:r w:rsidR="00952F12" w:rsidRPr="005520F4">
        <w:rPr>
          <w:rFonts w:ascii="Arial" w:hAnsi="Arial" w:cs="Arial"/>
          <w:sz w:val="28"/>
          <w:szCs w:val="28"/>
          <w:lang w:val="es-ES"/>
        </w:rPr>
        <w:t xml:space="preserve"> que se produce en virtud de una relación administrativa del actor con </w:t>
      </w:r>
      <w:r w:rsidR="00D7181A" w:rsidRPr="005520F4">
        <w:rPr>
          <w:rFonts w:ascii="Arial" w:hAnsi="Arial" w:cs="Arial"/>
          <w:sz w:val="28"/>
          <w:szCs w:val="28"/>
          <w:lang w:val="es-ES"/>
        </w:rPr>
        <w:t>el Municipio antes señalado</w:t>
      </w:r>
      <w:r w:rsidR="00952F12" w:rsidRPr="005520F4">
        <w:rPr>
          <w:rFonts w:ascii="Arial" w:hAnsi="Arial" w:cs="Arial"/>
          <w:sz w:val="28"/>
          <w:szCs w:val="28"/>
          <w:lang w:val="es-ES"/>
        </w:rPr>
        <w:t xml:space="preserve">, como </w:t>
      </w:r>
      <w:r w:rsidR="00D7181A" w:rsidRPr="005520F4">
        <w:rPr>
          <w:rFonts w:ascii="Arial" w:hAnsi="Arial" w:cs="Arial"/>
          <w:sz w:val="28"/>
          <w:szCs w:val="28"/>
          <w:lang w:val="es-ES"/>
        </w:rPr>
        <w:t>integrante del cuerpo de seguridad pública, en concreto en la Dirección de Seguridad Pública y Tránsito Municipal del citado Municipio, bajo el puesto de Oficial Operativo</w:t>
      </w:r>
      <w:r w:rsidR="00952F12" w:rsidRPr="005520F4">
        <w:rPr>
          <w:rFonts w:ascii="Arial" w:hAnsi="Arial" w:cs="Arial"/>
          <w:sz w:val="28"/>
          <w:szCs w:val="28"/>
          <w:lang w:val="es-ES"/>
        </w:rPr>
        <w:t xml:space="preserve">, conflicto para el cual los invocados numerales le confieren competencia; así como lo establecido en el criterio pronunciado por </w:t>
      </w:r>
      <w:smartTag w:uri="urn:schemas-microsoft-com:office:smarttags" w:element="PersonName">
        <w:smartTagPr>
          <w:attr w:name="ProductID" w:val="la Segunda Sala"/>
        </w:smartTagPr>
        <w:r w:rsidR="00952F12" w:rsidRPr="005520F4">
          <w:rPr>
            <w:rFonts w:ascii="Arial" w:hAnsi="Arial" w:cs="Arial"/>
            <w:sz w:val="28"/>
            <w:szCs w:val="28"/>
            <w:lang w:val="es-ES"/>
          </w:rPr>
          <w:t>la Segunda Sala</w:t>
        </w:r>
      </w:smartTag>
      <w:r w:rsidR="00952F12" w:rsidRPr="005520F4">
        <w:rPr>
          <w:rFonts w:ascii="Arial" w:hAnsi="Arial" w:cs="Arial"/>
          <w:sz w:val="28"/>
          <w:szCs w:val="28"/>
          <w:lang w:val="es-ES"/>
        </w:rPr>
        <w:t xml:space="preserve"> de </w:t>
      </w:r>
      <w:smartTag w:uri="urn:schemas-microsoft-com:office:smarttags" w:element="PersonName">
        <w:smartTagPr>
          <w:attr w:name="ProductID" w:val="la Suprema Corte"/>
        </w:smartTagPr>
        <w:r w:rsidR="00952F12" w:rsidRPr="005520F4">
          <w:rPr>
            <w:rFonts w:ascii="Arial" w:hAnsi="Arial" w:cs="Arial"/>
            <w:sz w:val="28"/>
            <w:szCs w:val="28"/>
            <w:lang w:val="es-ES"/>
          </w:rPr>
          <w:t>la Suprema Corte</w:t>
        </w:r>
      </w:smartTag>
      <w:r w:rsidR="00952F12" w:rsidRPr="005520F4">
        <w:rPr>
          <w:rFonts w:ascii="Arial" w:hAnsi="Arial" w:cs="Arial"/>
          <w:sz w:val="28"/>
          <w:szCs w:val="28"/>
          <w:lang w:val="es-ES"/>
        </w:rPr>
        <w:t xml:space="preserve"> de Justicia de </w:t>
      </w:r>
      <w:smartTag w:uri="urn:schemas-microsoft-com:office:smarttags" w:element="PersonName">
        <w:smartTagPr>
          <w:attr w:name="ProductID" w:val="la Naci￳n"/>
        </w:smartTagPr>
        <w:r w:rsidR="00952F12" w:rsidRPr="005520F4">
          <w:rPr>
            <w:rFonts w:ascii="Arial" w:hAnsi="Arial" w:cs="Arial"/>
            <w:sz w:val="28"/>
            <w:szCs w:val="28"/>
            <w:lang w:val="es-ES"/>
          </w:rPr>
          <w:t>la Nación</w:t>
        </w:r>
      </w:smartTag>
      <w:r w:rsidR="00952F12" w:rsidRPr="005520F4">
        <w:rPr>
          <w:rFonts w:ascii="Arial" w:hAnsi="Arial" w:cs="Arial"/>
          <w:sz w:val="28"/>
          <w:szCs w:val="28"/>
          <w:lang w:val="es-ES"/>
        </w:rPr>
        <w:t xml:space="preserve">, publicado en la página 244 del Tomo III de junio de 1996 del Semanario Judicial de </w:t>
      </w:r>
      <w:smartTag w:uri="urn:schemas-microsoft-com:office:smarttags" w:element="PersonName">
        <w:smartTagPr>
          <w:attr w:name="ProductID" w:val="la Federaci￳n"/>
        </w:smartTagPr>
        <w:r w:rsidR="00952F12" w:rsidRPr="005520F4">
          <w:rPr>
            <w:rFonts w:ascii="Arial" w:hAnsi="Arial" w:cs="Arial"/>
            <w:sz w:val="28"/>
            <w:szCs w:val="28"/>
            <w:lang w:val="es-ES"/>
          </w:rPr>
          <w:t>la Federación</w:t>
        </w:r>
      </w:smartTag>
      <w:r w:rsidR="00952F12" w:rsidRPr="005520F4">
        <w:rPr>
          <w:rFonts w:ascii="Arial" w:hAnsi="Arial" w:cs="Arial"/>
          <w:sz w:val="28"/>
          <w:szCs w:val="28"/>
          <w:lang w:val="es-ES"/>
        </w:rPr>
        <w:t xml:space="preserve"> y su Gaceta, Tesis 2ª/J23/96, Novena Época, que a la letra reza:</w:t>
      </w:r>
    </w:p>
    <w:p w:rsidR="00952F12" w:rsidRPr="005520F4" w:rsidRDefault="00952F12" w:rsidP="00D7181A">
      <w:pPr>
        <w:spacing w:before="120" w:after="120" w:line="240" w:lineRule="auto"/>
        <w:ind w:left="709"/>
        <w:jc w:val="both"/>
        <w:rPr>
          <w:rFonts w:ascii="Arial" w:eastAsia="Times New Roman" w:hAnsi="Arial" w:cs="Arial"/>
          <w:color w:val="000000"/>
          <w:lang w:val="es-ES" w:eastAsia="es-ES"/>
        </w:rPr>
      </w:pPr>
      <w:r w:rsidRPr="005520F4">
        <w:rPr>
          <w:rFonts w:ascii="Arial" w:eastAsia="Times New Roman" w:hAnsi="Arial" w:cs="Arial"/>
          <w:color w:val="000000"/>
          <w:lang w:val="es-ES" w:eastAsia="es-ES"/>
        </w:rPr>
        <w:t>"</w:t>
      </w:r>
      <w:r w:rsidRPr="00120180">
        <w:rPr>
          <w:rFonts w:ascii="Arial" w:eastAsia="Times New Roman" w:hAnsi="Arial" w:cs="Arial"/>
          <w:b/>
          <w:color w:val="000000"/>
          <w:lang w:val="es-ES" w:eastAsia="es-ES"/>
        </w:rPr>
        <w:t xml:space="preserve">COMPETENCIA PARA CONOCER DE LOS CONFLICTOS DERIVADOS DE </w:t>
      </w:r>
      <w:smartTag w:uri="urn:schemas-microsoft-com:office:smarttags" w:element="PersonName">
        <w:smartTagPr>
          <w:attr w:name="ProductID" w:val="LA PRESTACIￓN DE"/>
        </w:smartTagPr>
        <w:r w:rsidRPr="00120180">
          <w:rPr>
            <w:rFonts w:ascii="Arial" w:eastAsia="Times New Roman" w:hAnsi="Arial" w:cs="Arial"/>
            <w:b/>
            <w:color w:val="000000"/>
            <w:lang w:val="es-ES" w:eastAsia="es-ES"/>
          </w:rPr>
          <w:t>LA PRESTACIÓN DE</w:t>
        </w:r>
      </w:smartTag>
      <w:r w:rsidRPr="00120180">
        <w:rPr>
          <w:rFonts w:ascii="Arial" w:eastAsia="Times New Roman" w:hAnsi="Arial" w:cs="Arial"/>
          <w:b/>
          <w:color w:val="000000"/>
          <w:lang w:val="es-ES" w:eastAsia="es-ES"/>
        </w:rPr>
        <w:t xml:space="preserve"> SERVICIOS DE LOS POLICÍAS. CORRESPONDE AL TRIBUNAL DE LO CONTENCIOSO ADMINISTRATIVO (ESTADO DE SAN LUIS POTOSÍ</w:t>
      </w:r>
      <w:r w:rsidRPr="005520F4">
        <w:rPr>
          <w:rFonts w:ascii="Arial" w:eastAsia="Times New Roman" w:hAnsi="Arial" w:cs="Arial"/>
          <w:color w:val="000000"/>
          <w:lang w:val="es-ES" w:eastAsia="es-ES"/>
        </w:rPr>
        <w:t xml:space="preserve">).- De lo dispuesto por las fracciones XIII del apartado B del artículo 123 y V del 116 de </w:t>
      </w:r>
      <w:smartTag w:uri="urn:schemas-microsoft-com:office:smarttags" w:element="PersonName">
        <w:smartTagPr>
          <w:attr w:name="ProductID" w:val="ミ㹼ヸ๨ꗜヘ朘ஙĀ  ŌȎla Constituci￳n Pol￭tica   ŅȌ㺬ヸ佈ミ㹼ヸ๨ꗜヘ酠கԀ  ŒȌ  ūȌC:\WINDOWS\system32\CatRoot2\튰  ŠȌ㺬ヸ佈ミ㹼ヸ๨ꗜヘஞ ŹȌ䫈ψ濸ةjſȈÎ┠஘⁸஘ℐ஘↨஘≀஘⋘஘⎈஘䪘஘䭘஘䯰஘䲰஘䵈஘䷸஘亸஘佨஘倰஘僠஘冠஘剐஘匀஘厰஘呠஘唐஘嗐஘嚀஘地஘埠஘墠஘奐஘娐஘嫀஘孰஘尰஘峠஘嶠஘幠஘弐஘忀஘悀஘愰஘懠஘抠஘捠஘搐஘擀஘斀஘昰஘曠஘枠஘桐஘椀஘槀஘橰஘欰஘毰஘沠஘浐஘渀஘滀஘潰஘瀠஘烠஘熐஘牀஘狰஘现஘瑠஘甐஘痀஘癰஘眰஘矠஘碠஘祐஘秨஘窘஘筘஘簈஘粸஘絨஘縘஘终஘罸஘耸஘胸஘膨஘艘஘茘஘菈஘蒈஘蔸஘藸஘蚨஘蝨஘蠘஘裈஘襸஘訸஘諨஘讘஘豈஘贈஘趸஘蹨஘輘஘迈஘選஘鄨஘釘஘銘஘鍈஘鐈஘铈஘镸஘阨஘雨஘鞘஘顈஘飸஘馸஘驨஘鬨஘鯨஘鲘஘鵈஘鸈஘黈஘齸஘ꀸ஘ꃨ஘ꆘ஘ꉘ஘ꌈ஘ꎸ஘ꑸ஘ꔨ஘ꗨ஘ꚨ஘Ꝙ஘ꠈ஘꣈஘ꥸ஘꨸஘꫐஘ꮀ஘걀஘곰஘궠஘깠஘꼐஘꿐஘낀஘넰஘뇠஘느஘덀஘됀஘뒰஘땠஘똠஘뛠஘랐஘례஘뤀஘맀஘며஘묰஘믠஘벐஘뵐஘븀஘뻀஘뽰஘쀰஘샰஘솰஘쉠஘쌐஘쏀஘쑰஘씠஘엠஘욐஘은஘쟰஘좠஘쥠஘쨐஘쫀஘쭰஘찰஘쳠஘춐஘칀஘컰஘쾠஘큐஘턀஘톰஘퉠஘판஘폐஘풀஘핀஘혀஘횰஘jǕȎ&#10;LA DECISIￓN.￳naNǯȈ刈஬岐஝巨஝庀஝弘஝徰஝恠஝愐஝懐஝技஝挰஝揠஝撠஝敐஝昀஝曀஝杰஝栠஝棐஝楨஝樨஝櫘஝殈஝汈஝泸஝涸஝湨஝漨஝濘஝炐஝煐஝爐஝狀஝玀஝琰஝瓰஝疰஝癠஝眠஝矐஝碀஝礰஝秠஝窠஝筐஝簐஝糀஝絰஝縰஝绠஝羐஝聘஝脈஝膸஝艸஝茸஝菨஝蒘஝蕘஝蘈஝蚸஝蝨஝蠘஝裘஝覈஝訸஝諨஝讘஝豘஝贈஝跈஝蹸஝輸஝迨஝邨஝酨஝鈘஝鋈஝鎈஝鐸஝铨஝閨஝陘஝霘஝韘஝颈஝餸஝駸஝骨஝魘஝鰈஝鲸஝鵨஝鸨஝黀஝齰஝ꀠ஝ꃠ஝ꆐ஝ꉀ஝ꋰ஝ꎰ஝ꑰ஝ꔠ஝ꗐ஝Ꚑ஝Ꝁ஝꟰஝ꢰ஝ꥰ஝ꨰ஝ꫠ஝ꮐ஝걐஝관஝궰஝깠஝꼠஝꿐஝킐஝텀஝퇰஝튠஝퍐஝퐐஝퓐஝햐஝홐஝휐஝ퟀ஝஝஝஝஝஝஝஝஝஝஝஝஝஝஝஝஝஝஝஝஝஝ NĹȌ㺬ヸ佈ミ㹼ヸ๨ꗜヘ酸ؓ䍏䵕 ĶȈy煖贿ᒈĵȈ佴ミ๨T骜ؓ騨ؓ ŎȌ㺬ヸ佈ミ㹼ヸ๨ꗜヘ驰ؓ爀琀 ŇȈ驌ؓ鬨ؓ醀ؓ̀Ѐ窾ŘȈla猀 搀şȈ佴ミ๨W魌ؓ高ؓ ŐȌ㺬ヸ佈ミ㹼ヸ๨ꗜヘ鬠ؓ᠀㨀 ũȈ髼ؓ鯨ؓ驸ؓ熘崿ᒎŢȈconsecuente俠⃐ŧȈ佴ミ๨c&#10;鰌ؓ鮘ؓ ŸȌ㺬ヸ佈ミ㹼ヸ๨ꗜヘ鯠ؓ匀攀 űȈ鮼ؓ鲨ؓ鬨ؓ单剔繅1ƊȈdevolución攀爀琀ƏȈ佴ミ๨n鳌ؓ鱘ؓ ƀȌ㺬ヸ佈ミ㹼ヸ๨ꗜヘ鲠ؓ䈀㄀ ƙȈ鱼ؓꨘؓ鯨ؓ熒崿ᒎƒȈdel᠀㨀ƑȈ佴ミ๨r꨼ؓ꧈ؓƪȈde戀脀琉ƩȈ㦈ؓ궙駞Ȁ䳀ஐ梻鵈ؓ䶨ஐ鵤ؓḰڿ鷘ؓꨢÞƴȈ佴ミ๨Ӵة꣘؝ǉȈ佴ミ๨㊌ؓ⁀ؕǂȈ麔ؓ痨ؓ鄨! ǇȌ㺬ヸ佈ミ㹼ヸ๨ꗜヘ鹈ؓ ǜȈ佴ミ๨槤ؓ䎐؞ǑȈ䎴؞忐ؚ痨ؓǪȈÊD:\Mis Documentos\Austreberto\Jurisprudencia\Jurisprudencias no haberes dejados de percibir polis.docǱȈ賐!爐ϔǷȌ盈瑫睜瑫趠ரċȈAdministrativan.11s ĂȌ㺬ヸ佈ミ㹼ヸ๨ꗜヘꥸW ěȈ脀밄㠀Ā脀㌄먅ጀ蜀╀АฐሐྵᆷစἏ㼑ࠥ̕଀਋ဂٻĉ怂렓焁ፀଉ਌怌ऐဉ Љ뤉鈁᐀煝㳭㰐㳭㰐㼀㿭ြြㄼ䌰䁹̚Вฦᄦጅš܏愌ሀဃaࠍ愐⬀ī⬫⬫Ɓ]ŝᄳȔ⌆ȢęᄳḔ㌁㘲̑ꂓ鿭贾ꩥ֙ﲺ햱ƞĜͨﱏ잲嶲ǀā혁紀眅　Ā紀먅ༀ谁빀Аଟฝѐୟ๟ҐடຟӐ௛؋ఄ਋퐎؎Џ̟П䨃䤍퐎퐋؎Ȁ܍ఄഋɄ͇وୄ౅嘉堋１Б܇ȕܙᄐĄ̇ܨଧȶܸɆ݈ݗ攍栋砎瘂砋Ԏఃഊకചᄿᅟɩᅯᆏᆟᆿᇏ萌褂蘇퐋؆Δڜஔಐඟປᤆᐇᔋᨌᬍ娎吇夋ࠎﾸ䁊р఍ภ഍ѱᐂЄଂఌѱᐇЄงЋ༃ȇ༂഍ఌࠊം܏Ќईୠਐ੟એટય輅Ċ렊持ཀАџҏҟү輅Ą렄持⅀༎Š 뼀Ѐ  ˰逅Ā뤀鈁က煲嵝ﴼ᤼燴嵱ᠼ㳽㤒ᄹ㤹㼀ြြ㼼ሼ㤗և⬮約쐐ևᠮЫၽ⯄〱爁煲嵝嵝煱崀牱ᄳĳ㘗ķᄳᄣ⌁ᄁᴁᔹī혠ﺙ辢꓾먅凙Κ﫼ц﯋еﯠ WŢȈ鬨攀鎐ؕਂÀ䘀ŧȈ扴瞭ꄠد跨஗ŸȈƉȈ1ƞȈ橰瑫橠瑫橌瑫樤瑫樄瑫槰瑫槜瑫榰瑫榔瑫榀瑫楰瑫楜瑫楀瑫⏴瑫睜瑫酈!℘؞*ꠀᎤ봠رᖜ瑫ᖜ瑫ᖜ瑫ᖜ瑫ᖜ瑫ᖜ瑫ᖜ瑫ᖜ瑫ﯔؾᖜ瑫 1ǏȊꙨؓꙈؓॾ瞪⸲㘱㠮〴ㄮㄮ㌱㌷⸰⸱2欼ǆȊ☘ψꚀؓॾ瞪⸲㘱㠮〴ㄮㄮ㌱㌷⸰⸱3ǙȈꚼؓㆊ瞫 ǒȌla Administraci￳n P￺blica ǫȈʂギ粁ꝰؓ‰؞̀Ѐ箾朼煿䤿ᒎ䄀甀猀琀爀攀戀攀爀琀漀᠀䘀㄀䨀ⴾ႓䔀偘䑅繉1⸀̀Ѐ箾ᘼ熀䤿ᒎ䔀砀瀀攀搀椀攀渀琀攀猀᠀䠀&#10;ǴȔC:\WINDOWS\System32\cscui.dll᠀(&#10;ĂȌ造繪濘繪竐ؗ运繪込繪辨繪䑐㠹ஜ竐ؗ竘ؗ漰繪澖繪:.躸஗咈ஓ匀(ĺȈ遨ஜ僈஬ľȈ遨ஜ힨ட ĲȌ㺬ヸ佈ミ㹼ヸ๨ꗜヘꨐؓ ŋȈꧬؓ꫘ؓ鲨ؓŌȈvehículoŁȈ佴ミ๨{ ꫼ؓꪈؓ ŚȌ㺬ヸ佈ミ㹼ヸ๨ꗜヘ꫐ؓ œȈꪬؓꮘؓꨘؓŔȈpropiedadũȈ佴ミ๨鴌ؓꭈؓ ŢȌ㺬ヸ佈ミ㹼ヸ๨ꗜヘꮐؓ ŻȈ꭬ؓ갰ؓ꫘ؓżȈ佴ミ๨걔ؓꯠؓ űȌ㺬ヸ佈ミ㹼ヸ๨ꗜヘ갨ؓ ƎȈ간ؓ고ؓꮘؓƃȈmiƆȈ佴ミ๨괄ؓ겐ؓ ƛȌ㺬ヸ佈ミ㹼ヸ๨ꗜヘ곘ؓ ƐȈ겴ؓ궠ؓ갰ؓƕȈrepresentadaƮȈ佴ミ๨귄ؓ교ؓ ƣȌ㺬ヸ佈ミ㹼ヸ๨ꗜヘ궘ؓ ƸȈ굴ؓ꼐ؓ고ؓƽȈ&#10;ưȌ珘瑫睜瑫ƷȌ蟰łǊȈ.ǉȈ,ǌȈLuisǃȈESTUDIOstaǄȈPotosíntadaǙȈS QuejosaǒȈ㳄ヸ欈ؙ㰔ヸ买ミ뱈浐ࢸύ휘ǪȈ짬ؓ나ؓ궠ؓdadǯȈ佴ミ๨㊤ؓ질ؓǠȈ儈ؕ흘؝ǤȈ㳄ヸ땸ؓ㰔ヸ买ミ 뀰ؓ휘ǼȈ儈ؕ跸!ǰȈ儈ؕ跸!ǴȈ佴ミ๨於ؔ⽀ؔĉȌ⥸ψꦀϔďȈ㳄ヸ渀ϕ㰔ヸ买ミ꽸ؓ휘ćȈ儈ؕ⬐ψěȈ쨴ؓ쫐ؓ꼐ؓTagĜȏ냨ؓ냐ؓ㟢瞪⸲⸵㤲㠮ĖȎ佘ப넀ؓ㟢瞪⸲⸵㤲ㄮ7ؕ䓸ؗĨȈ遨ஜ僈஬ĬȐlaȾÚ놸ؓĠȈ릀멸ĸȐ,弰ȾČジؕļȐotra棠ؔ&#10;İȌ猜瑫猈瑫.躄ح睜瑫ᖜ瑫&#10;ŎȈ뱸攀횀ட蹐#ئ베攀봀攀喐͔&#10;ŅȌ赜ح&#10;œȈ뱸攀쓠؛닸캠ό베攀봀攀嫐͔ŮȈ:urn:schemas-microsoft-com:office:smarttags#metricconverteržȈ:urn:schemas-microsoft-com:office:smarttags#metricconverterƎȈ:urn:schemas-microsoft-com:office:smarttags#metricconverterƞȈ:urn:schemas-microsoft-com:office:smarttags#metricconverterƮȌɀ䳀ةƭȈLƠȐ. Ĕ雘#ƤȌ녘ؓŸVƺȌழ戊&#10;䀀䀀䀀䀀Ð0＞ἠ紜聱°°°°°°°°°°°°°°°°°°°°°°°°°°°°°°°°0@@`°p @@`@@@@``````````@@P p`pp``pp@P`Pp`p``p` ```@@@````P``@`` 0P ````@P@````PP@P°`° `@```ð`@°°`°°  @@P` ` P@ °P`0@````@`` P`@ `PPP```@`PP`°°°Ppppppp p````@@@@ppppp````````` P````    ```````````````ѝΉÔu!ƹ੩Ɛ`` ￼ ✀＞‟fVČȈ:urn:schemas-microsoft-com:office:smarttags#metricconverterĜȈ:urn:schemas-microsoft-com:office:smarttags#metricconverterĬȈ:urn:schemas-microsoft-com:office:smarttags#metricconverterļȈ:urn:schemas-microsoft-com:office:smarttags#metricconverterŌȈ:urn:schemas-microsoft-com:office:smarttags#metricconverterVŜȌଯ尊)ऀ䀀䀀䀀䀀退ᴰ＞ἠ紜聱ᴰᴰᴰᴰᴰᴰᴰᴰᴰᴰᴰᴰᴰᴰᴰᴰᴰᴰᴰᴰᴰᴰᴰᴰᴰᴰᴰᴰᴰᴰᴰᴰᴰᴰ╀㩠㩠嵐䘀ᐠ⋰⋰⣐㵐ᴰ⋰ᴰᴰ㩠㩠㩠㩠㩠㩠㩠㩠㩠㩠ᴰᴰ㵐㵐㵐㩠檀䘀䘀䯀䯀䘀䀠冰䯀ᴰ㒀䘀㩠坰䯀冰䘀冰䯀䘀䀠䯀䘀挐䘀䘀䀠ᴰᴰᴰㅀ㩠⋰㩠㩠㒀㩠㩠ᴰ㩠㩠ᝐᝐ㒀ᝐ坰㩠㩠㩠㩠⋰㒀ᴰ㩠㒀䯀㒀㒀㒀⌐ᭀ⌐㵐ᴰ㩠ᴰᝐ㩠⋰棰㩠㩠⋰棰䘀⋰棰ᴰ䀠ᴰᴰᝐᝐ⋰⋰Ⓚ㩠棰⋰棰㒀⋰挐ᴰ㒀䘀ᴰ⋰㩠㩠㩠㩠ᭀ㩠⋰䵐⛐㩠㵐⋰䵐䀀㌰䙀⋰⋰⋰䧀㡐⋰⋰⋰♀㩠垐垐垐䀠䘀䘀䘀䘀䘀䘀棰䯀䘀䘀䘀䘀ᴰᴰᴰᴰ䯀䯀冰冰冰冰冰㵐冰䯀䯀䯀䯀䘀䘀䀠㩠㩠㩠㩠㩠㩠嵐㒀㩠㩠㩠㩠ᴰᴰᴰᴰ㩠㩠㩠㩠㩠㩠㩠䙀䀠㩠㩠㩠㩠㒀㩠㒀ऀݑƯĀ.˥শƐ`` ﬂ ÿ✀＞‟f.VƦȌ簀怄─̀簀ࠄ먅ကᰀ⠀㩀ࡕउ✒ᄒ⡙꼨뼧ȧ✧ᬀ夜ĂḂ夝ई؝᝹⎚yဌȌఠీౠಀಠೀఆʸ䀭⤖ᴜŠ ðက ̀뤀鈁⤀嵱ﴼြ巴ﵝ㤒㼀ﴼ㼼ﴼሼ⼹㱝ﴐ᤼ሑ⼹〱䌘䁹̀ᔦᐖȖІᤥฦΩ•Ȣ┆ጦᜈ;̚縗ἁ⌏žਦ縣ᘃሇ~᠈ᬅžഢ縞␀✋ž㰊⬫㰫ī⬫⬫⨫⬫⨫㎁ℑḲᔁؔḇᔁด⌁℁㜲ľ㐵Įīℑ㜲ľ㐵Į℣ż觃暠偘祩뙭ﺟǕ昄㸫㵃荥Ǳ挫䐯䑇筳먅둕敭ㆢ뜦薆寉刃ᔎ啣楏ﬨአ眚博㕳àV.ǐȌథ툊)थ䀀䀀䀀䀀鉐ᴰ＞ἠ紜聱ᴰᴰᴰᴰᴰᴰᴰᴰᴰᴰᴰᴰᴰᴰᴰᴰᴰᴰᴰᴰᴰᴰᴰᴰᴰᴰᴰᴰᴰᴰᴰᴰᴰ⋰㇐㩠㩠嵐䯀ᣰ⋰⋰⣐㵐ᴰ⋰ᴰᴰ㩠㩠㩠㩠㩠㩠㩠㩠㩠㩠⋰⋰㵐㵐㵐䀠晠䯀䯀䯀䯀䘀䀠冰䯀ᴰ㩠䯀䀠坰䯀冰䘀冰䯀䘀䀠䯀䘀挐䘀䘀䀠⋰ᴰ⋰㵐㩠⋰㩠䀠㩠䀠㩠⋰䀠䀠ᴰᴰ㩠ᴰ嵐䀠䀠䀠䀠⣐㩠⋰䀠㩠冰㩠㩠㒀⣐ᵰ⣐㵐ᴰ㩠ᴰᴰ㩠㒀棰㩠㩠⋰棰䘀⋰棰ᴰ䀠ᴰᴰᴰᴰ㒀㒀Ⓚ㩠棰⋰棰㩠⋰挐ᴰ㒀䘀㩠⋰㩠㩠㩠㩠ᵰ㩠⋰䵐⛐㩠㵐⋰䵐䀀㌰䙀⋰⋰⋰䧀㩠⋰⋰⋰♀㩠垐垐垐䀠䯀䯀䯀䯀䯀䯀棰䯀䘀䘀䘀䘀ᴰᴰᴰᴰ䯀䯀冰冰冰冰冰㵐冰䯀䯀䯀䯀䘀䘀䀠㩠㩠㩠㩠㩠㩠嵐㩠㩠㩠㩠㩠ᴰᴰᴰᴰ䀠䀠䀠䀠䀠䀠䀠䙀䀠䀠䀠䀠䀠㩠䀠㩠䘀ᐠथݶƯĥ ̣घʼ`` ﬂ ✀＞‟㒀䘀㩠坰䯀冰f䯀䘀VVĺȌႍ褊)ए䀀䀀䀀䀀郰ᴰ＞ἠ紜聱ᴰᴰᴰᴰᴰᴰᴰᴰᴰᴰᴰᴰᴰᴰᴰᴰᴰᴰᴰᴰᴰᴰᴰᴰᴰᴰᴰᴰᴰᴰᴰᴰᴰᴰ╀㩠㩠嵐䘀ᐠ⋰⋰⣐㵐ᴰ⋰ᴰᴰ㩠㩠㩠㩠㩠㩠㩠㩠㩠㩠ᴰᴰ㵐㵐㵐㩠檀䘀䘀䯀䯀䘀䀠冰䯀ᴰ㒀䘀㩠坰䯀冰䘀冰䯀䘀䀠䯀䘀挐䘀䘀䀠ᴰᴰᴰㅀ㩠⋰㩠㩠㒀㩠㩠ᴰ㩠㩠ᝐᝐ㒀ᝐ坰㩠㩠㩠㩠⋰㒀ᴰ㩠㒀䯀㒀㒀㒀⌐ᭀ⌐㵐ᴰ㩠ᴰᝐ㩠⋰棰㩠㩠⋰棰䘀⋰棰ᴰ䀠ᴰᴰᝐᝐ⋰⋰Ⓚ㩠棰⋰棰㒀⋰挐ᴰ㒀䘀ᴰ⋰㩠㩠㩠㩠ᭀ㩠⋰䵐⛐㩠㵐⋰䵐䀀㌰䙀⋰⋰⋰䧀㡐⋰⋰⋰♀㩠垐垐垐䀠䘀䘀䘀䘀䘀䘀棰䯀䘀䘀䘀䘀ᴰᴰᴰᴰ䯀䯀冰冰冰冰冰㵐冰䯀䯀䯀䯀䘀䘀䀠㩠㩠㩠㩠㩠㩠嵐㒀㩠㩠㩠㩠ᴰᴰᴰᴰ㩠㩠㩠㩠㩠㩠㩠䙀䀠㩠㩠㩠㩠㒀㩠㒀䯀ᣰएݠƯď˥ॴƐ`` ﬂ ✀翽＞‟㩠䯀䀠坰䯀冰f䯀䘀VVƌȌங儊)थ䀀䀀䀀䀀鉐ᴰ＞ἠ紜聱ᴰᴰᴰᴰᴰᴰᴰᴰᴰᴰᴰᴰᴰᴰᴰᴰᴰᴰᴰᴰᴰᴰᴰᴰᴰᴰᴰᴰᴰᴰᴰᴰᴰ⋰㇐㩠㩠嵐䯀ᣰ⋰⋰⣐㵐ᴰ⋰ᴰᴰ㩠㩠㩠㩠㩠㩠㩠㩠㩠㩠⋰⋰㵐㵐㵐䀠晠䯀䯀䯀䯀䘀䀠冰䯀ᴰ㩠䯀䀠坰䯀冰䘀冰䯀䘀䀠䯀䘀挐䘀䘀䀠⋰ᴰ⋰㵐㩠⋰㩠䀠㩠䀠㩠⋰䀠䀠ᴰᴰ㩠ᴰ嵐䀠䀠䀠䀠⣐㩠⋰䀠㩠冰㩠㩠㒀⣐ᵰ⣐㵐ᴰ㩠ᴰᴰ㩠㒀棰㩠㩠⋰棰䘀⋰棰ᴰ䀠ᴰᴰᴰᴰ㒀㒀Ⓚ㩠棰⋰棰㩠⋰挐ᴰ㒀䘀㩠⋰㩠㩠㩠㩠ᵰ㩠⋰䵐⛐㩠㵐⋰䵐䀀㌰䙀⋰⋰⋰䧀㩠⋰⋰⋰♀㩠垐垐垐䀠䯀䯀䯀䯀䯀䯀棰䯀䘀䘀䘀䘀ᴰᴰᴰᴰ䯀䯀冰冰冰冰冰㵐冰䯀䯀䯀䯀䘀䘀䀠㩠㩠㩠㩠㩠㩠嵐㩠㩠㩠㩠㩠ᴰᴰᴰᴰ䀠䀠䀠䀠䀠䀠䀠䙀䀠䀠䀠䀠䀠㩠䀠㩠䀠冰थݶƯĥ ̣घʼ`` ﬂ ✀＞‟ᝐ㒀ᝐ坰㩠㩠f⋰㒀VVǖȌ଱┊)ए䀀䀀䀀䀀郰ᴰ＞ἠ紜聱ᴰᴰᴰᴰᴰᴰᴰᴰᴰᴰᴰᴰᴰᴰᴰᴰᴰᴰᴰᴰᴰᴰᴰᴰᴰᴰᴰᴰᴰᴰᴰᴰᴰᴰ╀㩠㩠嵐䘀ᐠ⋰⋰⣐㵐ᴰ⋰ᴰᴰ㩠㩠㩠㩠㩠㩠㩠㩠㩠㩠ᴰᴰ㵐㵐㵐㩠檀䘀䘀䯀䯀䘀䀠冰䯀ᴰ㒀䘀㩠坰䯀冰䘀冰䯀䘀䀠䯀䘀挐䘀䘀䀠ᴰᴰᴰㅀ㩠⋰㩠㩠㒀㩠㩠ᴰ㩠㩠ᝐᝐ㒀ᝐ坰㩠㩠㩠㩠⋰㒀ᴰ㩠㒀䯀㒀㒀㒀⌐ᭀ⌐㵐ᴰ㩠ᴰᝐ㩠⋰棰㩠㩠⋰棰䘀⋰棰ᴰ䀠ᴰᴰᝐᝐ⋰⋰Ⓚ㩠棰⋰棰㒀⋰挐ᴰ㒀䘀ᴰ⋰㩠㩠㩠㩠ᭀ㩠⋰䵐⛐㩠㵐⋰䵐䀀㌰䙀⋰⋰⋰䧀㡐⋰⋰⋰♀㩠垐垐垐䀠䘀䘀䘀䘀䘀䘀棰䯀䘀䘀䘀䘀ᴰᴰᴰᴰ䯀䯀冰冰冰冰冰㵐冰䯀䯀䯀䯀䘀䘀䀠㩠㩠㩠㩠㩠㩠嵐㒀㩠㩠㩠㩠ᴰᴰᴰᴰ㩠㩠㩠㩠㩠㩠㩠䙀䀠㩠㩠㩠㩠㒀㩠㒀䯀ᣰएݠƯď˥ॴƐ`` ﬂ ✀翽＞‟㩠䯀䀠坰䯀冰f䯀䘀VĸȌྸୈύĿȈ. ĲȌ㺬ヸ佈ミ㹼ヸ๨ꗜヘ꼈ؓVW  ŋȌ㺬ヸ佈ミ㹼ヸ๨ꗜヘ낐ؓz{ ŀȈ佴ミ๨&#10;깼ؓ쪀ؓ ŅȌ㺬ヸ佈ミ㹼ヸ๨ꗜヘ쫈ؓ²³ ŒȈ쪤ؓ쭨ؓ나ؓÄÅÆÇŗȈ佴ミ๨긤ؓ쬘ؓ ŨȌ㺬ヸ佈ミ㹼ヸ๨ꗜヘ쭠ؓþÿ šȈ쬼ؓ찀ؓ쫐ؓźȈ佴ミ๨꺤ؓ쮰ؓ ſȌ㺬ヸ佈ミ㹼ヸ๨ꗜヘ쯸ؓ㒀䘀 ŴȈ쯔ؓ처ؓ쭨ؓᴰᴰㅀ㩠ƉȈ佴ミ๨즴ؓ챈ؓ ƂȌ㺬ヸ佈ミ㹼ヸ๨ꗜヘ첐ؓ㩠棰 ƛȈ챬ؓ촰ؓ찀ؓ⋰䵐⛐㩠ƜȈ佴ミ๨땄ؓ쳠ؓ ƑȌ㺬ヸ佈ミ㹼ヸ๨ꗜヘ촨ؓ㩠㩠 ƮȈ촄ؓ췈ؓ처ؓ㩠㩠㩠䙀ƣȈ佴ミ๨췬ؓ쵸ؓ ƤȌ㺬ヸ佈ミ㹼ヸ๨ꗜヘ췀ؓ ƽȈ출ؓ칸ؓ촰ؓƶȈ.ƵȈ佴ミ๨캜ؓ츨ؓ ǎȌ㺬ヸ佈ミ㹼ヸ๨ꗜヘ칰ؓ ǇȈ칌ؓ켨ؓ췈ؓǘȈPǟȈ佴ミ๨콌ؓ컘ؓ ǐȌ㺬ヸ佈ミ㹼ヸ๨ꗜヘ켠ؓ ǩȈ컼ؓ쿘ؓ칸ؓǢȈ.ǡȈ佴ミ๨쿼ؓ쾈ؓ ǺȌ㺬ヸ佈ミ㹼ヸ๨ꗜヘ쿐ؓ ǳȈ쾬ؓ킈ؓ켨ؓǴȈaċȈ佴ミ๨킬ؓ퀸ؓ ČȌ㺬ヸ佈ミ㹼ヸ๨ꗜヘ킀ؓ ąȈ큜ؓ털ؓ쿘ؓĞȈdĝȈ佴ミ๨템ؓ탨ؓ ĖȌ㺬ヸ佈ミ㹼ヸ๨ꗜヘ터ؓ įȈ턌ؓ퇨ؓ킈ؓĠȈdiezħȈ佴ミ๨¡툌ؓ톘ؓ ĸȌ㺬ヸ佈ミ㹼ヸ๨ꗜヘ퇠ؓ ıȈ톼ؓ튘ؓ털ؓŊȈdeŉȈ佴ミ๨¤ 튼ؓ퉈ؓ łȌ㺬ヸ佈ミ㹼ヸ๨ꗜヘ튐ؓ śȈ퉬ؓ퍘ؓ퇨ؓŜȈnoviembreőȈ佴ミ๨®퍼ؓ팈ؓ ŪȌ㺬ヸ佈ミ㹼ヸ๨ꗜヘ퍐ؓ ţȈ팬ؓ퐈ؓ튘ؓŤȈdeŻȈ佴ミ๨±퐬ؓ편ؓ żȌ㺬ヸ佈ミ㹼ヸ๨ꗜヘ퐀ؓ ŵȈ폜ؓ풸ؓ퍘ؓƎȈdosƍȈ佴ミ๨µ퓜ؓ푨ؓ ƆȌ㺬ヸ佈ミ㹼ヸ๨ꗜヘ풰ؓ ƟȈ풌ؓ함ؓ퐈ؓƐȈmilƗȈ佴ミ๨¹햌ؓ픘ؓ ƨȌ㺬ヸ佈ミ㹼ヸ๨ꗜヘ할ؓ ơȈ피ؓ혘ؓ풸ؓƺȈonceƹȈ佴ミ๨½혼ؓ허ؓ ƲȌ㺬ヸ佈ミ㹼ヸ๨ꗜヘ혐ؓ ǋȈ헬ؓ훈ؓ함ؓǌȈ.ǃȈ佴ミ๨¾훬ؓ홸ؓ ǄȌ㺬ヸ佈ミ㹼ヸ๨ꗜヘ훀ؓ ǝȈ횜ؓؓ혘ؓǖȈ&#10;ǕȌⴈϏ؝ⴈϏ؝؝؝ⴈϏ໐ிl]XhǧȈ佴ミ๨£ᔔ؛힘ؓ ǸȌ㺬ヸ佈ミ㹼ヸ๨ꗜヘ鄘ؕ鐠ؕ ǱȐde؜沘؛溘؜潘؜ǵȈDE1ĈȈ.isďȈSECRETARIOĀȈ&#10;ken ListąȈYce.ĘȐ&#10;mismoؓŸĜȈ†盟ؔؔđȈlapcĔȈ㻤ؓؓ廐ؚNDAĩȈ佴ミ๨&#10;ؓؓĢȐseȾĉ࢘ؔĦȌ芸஗ؓĤȌ䖐ؓύĸȐ&#10;ideasύ ļȌ㺬ヸ佈ミ㹼ヸ๨ꗜヘؓ ĵȈؓؓ훈ؓŎȈ佴ミ๨ؓؓ ŃȌ㺬ヸ佈ミ㹼ヸ๨ꗜヘؓ ŘȈؓؓؓŝȈ佴ミ๨깔ؓؓ ŖȌ㺬ヸ佈ミ㹼ヸ๨ꗜヘؓ ůȈؓؓؓŠȈ佴ミ๨ؓؓ ťȌ㺬ヸ佈ミ㹼ヸ๨ꗜヘؓ ŲȈؓؓؓŷȈ佴ミ๨ؓؓ ƈȌ㺬ヸ佈ミ㹼ヸ๨ꗜヘؓ ƁȈؓؓؓƚȈCUENTAƟȈ佴ミ๨ؓؓ ƐȌ㺬ヸ佈ミ㹼ヸ๨ꗜヘؓ ƩȈؓؓؓƢȈ:ơȈ佴ミ๨!ؓؓ ƺȌ㺬ヸ佈ミ㹼ヸ๨ꗜヘؓ ƳȈؓؓؓƴȈAUSTREBERTOǉȈ佴ミ๨-ؓؓ ǂȌ㺬ヸ佈ミ㹼ヸ๨ꗜヘؓ ǛȈؓؓؓǜȈ&#10;REGILǓȈ佴ミ๨3ؓؓ ǔȌ㺬ヸ佈ミ㹼ヸ๨ꗜヘؓ ǭȈؓؓؓǦȈGONZÁLEZǻȈ&#10;PaguereǼȈlapcǳȈ熤ϔؕؓǴȈ&#10;y1LEZTOĉȈ.ken ListĂȈ佴ミ๨ؓؓćȌ붘ஜ槐؜ąȈ&#10;VISTOĘȈ&#10;SULTANDO&#10; ĝȌ㺬ヸ佈ミ㹼ヸ๨ꗜヘؓ ĪȈؓؓؓįȈĭȈ-ĠȈ桬ؓ۰؟㰠ةIDĥȈ佴ミ๨值ؓؔľȈdeĽȈ佴ミ๨ؓؓĶȈPara1 ŋȌ㺬ヸ佈ミ㹼ヸ๨ꗜヘؓ ŀȈؓؓؓŅȈ佴ミ๨ؓؓ ŞȌ㺬ヸ佈ミ㹼ヸ๨ꗜヘؓ ŗȈؓؓؓŨȈ佴ミ๨ؓؓ ŭȌ㺬ヸ佈ミ㹼ヸ๨ꗜヘؓ źȈؓؓؓſȈ佴ミ๨ؓؓ ŰȌ㺬ヸ佈ミ㹼ヸ๨ꗜヘؓ ƉȈؓؓؓƂȈ佴ミ๨ ؓؓ ƇȌ㺬ヸ佈ミ㹼ヸ๨ꗜヘؓ ƜȈؓؓؓƑȈ佴ミ๨ؓؓ ƪȌ㺬ヸ佈ミ㹼ヸ๨ꗜヘؓ ƣȈؓؓؓƤȈdeƻȈ佴ミ๨ؓؓ ƼȌ㺬ヸ佈ミ㹼ヸ๨ꗜヘؓ ƵȈؓؓؓǎȈresolverǃȈ佴ミ๨ؓؓ ǄȌ㺬ヸ佈ミ㹼ヸ๨ꗜヘؓ ǝȈؓؓؓǖȈenǕȈ佴ミ๨&#10;ؓؓ ǮȌ㺬ヸ佈ミ㹼ヸ๨ꗜヘؓ ǧȈؓؓؓǸȈdefinitivaǽȈ佴ミ๨(ؓؓ ǶȌ㺬ヸ佈ミ㹼ヸ๨ꗜヘؓ ďȈؓؓؓĀȈelćȈ佴ミ๨+ؓؓ ĘȌ㺬ヸ佈ミ㹼ヸ๨ꗜヘؓ đȈؓؓؓĪȈjuicioįȈ佴ミ๨2ؓؓ ĠȌ㺬ヸ佈ミ㹼ヸ๨ꗜヘؓ ĹȈؓؓؓĲȈcontenciosoķȈ佴ミ๨&gt;敤ϕؓ ňȌ㺬ヸ佈ミ㹼ヸ๨ꗜヘؓ ŁȈؓؓؓŚȈ佴ミ๨Mؓؓ şȌ㺬ヸ佈ミ㹼ヸ๨ꗜヘؓ ŔȈؓؓؓũȈnúmeroŢȈ佴ミ๨Tؓؓ ŧȌ㺬ヸ佈ミ㹼ヸ๨ꗜヘؓ żȈؓؓؓűȈ273ŴȈ佴ミ๨Wؓؓ ƉȌ㺬ヸ佈ミ㹼ヸ๨ꗜヘؓ ƆȈؓؓؓƛȈ/ƞȈ佴ミ๨Xؓؓ ƓȌ㺬ヸ佈ミ㹼ヸ๨ꗜヘؓ ƨȈؓؓؓƭȈ2010ƠȈ佴ミ๨\ؓؓ ƥȌ㺬ヸ佈ミ㹼ヸ๨ꗜヘؓ ƲȈؓؓؓƷȈ,ǊȈ佴ミ๨^ؓؓ ǏȌ㺬ヸ佈ミ㹼ヸ๨ꗜヘؓ ǄȈؓؓؓǙȈenǜȈ佴ミ๨aؓؓ ǑȌ㺬ヸ佈ミ㹼ヸ๨ꗜヘؓ ǮȈؓؓؓǣȈcumplimientoǤȈ佴ミ๨nؓؓ ǹȌ㺬ヸ佈ミ㹼ヸ๨ꗜヘؓ ǶȈؓؓؓċȈaĎȈ佴ミ๨pؓؓ ăȌ㺬ヸ佈ミ㹼ヸ๨ꗜヘؓ ĘȈؓؓؓĝȈlaĐȈ佴ミ๨s&#10;ؓؓ ĕȌ㺬ヸ佈ミ㹼ヸ๨ꗜヘؓ ĢȈؓؓؓħȈejecutoriaĸȈ佴ミ๨~ؓؓ ĽȌ㺬ヸ佈ミ㹼ヸ๨ꗜヘؓ ŊȈؓؓؓŏȈdełȈ佴ミ๨ؓؓ ŇȌ㺬ヸ佈ミ㹼ヸ๨ꗜヘؓ ŜȈؓؓؓőȈamparoŪȈ佴ミ๨ؓؓ ůȌ㺬ヸ佈ミ㹼ヸ๨ꗜヘؓ ŤȈؓؓؓŹȈdictadaŲȈ佴ミ๨ؓؓ ŷȌ㺬ヸ佈ミ㹼ヸ๨ꗜヘؓ ƌȈؓؓؓƁȈporƄȈ佴ミ๨ؓؓ ƙȌ㺬ヸ佈ミ㹼ヸ๨ꗜヘؓ ƖȈؓؓؓƫȈelƮȈ佴ミ๨ؓؓ ƣȌ㺬ヸ佈ミ㹼ヸ๨ꗜヘؓကȀ ƸȈؓؓؓƽȈPrimerƶȈ佴ミ๨ؓؓ ǋȌ㺬ヸ佈ミ㹼ヸ๨ꗜヘؓ ǀȈؓؓؓǅȈTribunalǞȈ佴ミ๨§ ؓؓ ǓȌ㺬ヸ佈ミ㹼ヸ๨ꗜヘؓ ǨȈؓؓؓǭȈColegiadoǦȈ佴ミ๨±ؓؓ ǻȌ㺬ヸ佈ミ㹼ヸ๨ꗜヘؓ ǰȈؓؓؓǵȈdelĈȈ佴ミ๨µؓؓ čȌ㺬ヸ佈ミ㹼ヸ๨ꗜヘؓ ĚȈؓ縷ؓؓğȈNovenoĐȈ佴ミ๨¼若ؓ豈ؓ ĕȌ㺬ヸ佈ミ㹼ヸ๨ꗜヘ賂ؓ ĢȈ襤ؓ塚ؓؓħȈCircuitoĸȈ佴ミ๨Å勤ؓ燎ؓ ĽȌ㺬ヸ佈ミ㹼ヸ๨ꗜヘ行ؓ ŊȈ理ؓ變ؓ縷ؓŏȈenłȈ佴ミ๨È﫤ؓ並ؓ ŇȌ㺬ヸ佈ミ㹼ヸ๨ꗜヘ視ؓ ŜȈ杖ؓﭰؓ塚ؓőȈelŔȈ佴ミ๨Ëﮔؓﬠؓ ũȌ㺬ヸ佈ミ㹼ヸ๨ꗜヘﭨؓ ŦȈפּؓﰰؓ變ؓŻȈjuiciożȈ佴ミ๨Òﱔؓﯠؓ űȌ㺬ヸ佈ミ㹼ヸ๨ꗜヘﰨؓ ƎȈﰄؓﳠؓﭰؓƃȈdeƆȈ佴ミ๨Õﴄؓﲐؓ ƛȌ㺬ヸ佈ミ㹼ヸ๨ꗜヘﳘؓ ƐȈﲴؓﶠؓﰰؓƕȈamparoƮȈ佴ミ๨Üﷄؓﵐؓ ƣȌ㺬ヸ佈ミ㹼ヸ๨ꗜヘﶘؓ ƸȈﵴؓ﹠ؓﳠؓƽȈdirectoƶȈ佴ミ๨ä斜ϕ︐ؓ ǋȌ㺬ヸ佈ミ㹼ヸ๨ꗜヘ﹘ؓ ǀȈ︴ؓﻸؓﶠؓǅȈ佴ミ๨ó＜ؓﺨؓ ǞȌ㺬ヸ佈ミ㹼ヸ๨ꗜヘﻰؓ ǗȈﻌؓﾸؓ﹠ؓǨȈnúmeroǭȈ佴ミ๨úￜؓｨؓ ǦȌ㺬ヸ佈ミ㹼ヸ๨ꗜヘﾰؓ ǿȈﾌؓhؔﻸؓǰȈ381ǷȈ佴ミ๨ýؔؔ ĈȌ㺬ヸ佈ミ㹼ヸ๨ꗜヘ`ؔ āȈ&lt;ؔĘؔﾸؓĚȈ/ęȈ佴ミ๨þļؔÈؔ ĒȌ㺬ヸ佈ミ㹼ヸ๨ꗜヘĐؔ īȈìؔǈؔhؔĬȈ2011ģȈ佴ミ๨ĂǬؔŸؔ ĤȌ㺬ヸ佈ミ㹼ヸ๨ꗜヘǀؔ ĽȈƜ͈ؔؔĘؔĶȈ.ĵȈ㳄ヸ剘ؓ㰔ヸ买ミட줸஝튈ட휘ōȈ㳄ヸÈب㰔ヸ买ミ஛ꮰد튈ட휘ŅȈᶰ஘咸ϑŝȌ廰ஓ釰ؕœȈ佴ミ๨ăͬؔ˸ؔ ŔȌ㺬ヸ佈ミ㹼ヸ๨ꗜヘ̀ؔ ŭȈ̜ؔक़ؔǈؔŦȈ&#10;ťȈ1y1ŸȈ.ſȈRESULTANDOoŰȈ.ken ListŵȈ燄ؔӈؔ煀ؔito ƎȈUnidadte esteƃȈ佴ミ๨3ӬؔѸؔ ƄȌ㺬ヸ佈ミ㹼ヸ๨ꗜヘӀؔ C ƝȈҜؔոؔЈؔOlveƖȈderadƕȈ佴ミ๨6&#10;֜ؔԨؔ ƮȌ㺬ヸ佈ミ㹼ヸ๨ꗜヘհؔmo ƧȈՌؔظؔӈؔuiciƸȈTransparenciaƽȈ佴ミ๨Dٜؔרؔ ƶȌ㺬ヸ佈ミ㹼ヸ๨ꗜヘذؔa  ǏȈ،ؔۨؔոؔel HǀȈdelntǇȈ佴ミ๨H܌ؔژؔ ǘȌ㺬ヸ佈ミ㹼ヸ๨ꗜヘ۠ؔ y ǑȈڼؔޘؔظؔs deǪȈHntamǩȈ佴ミ๨I޼݈ؔؔ ǢȌ㺬ヸ佈ミ㹼ヸ๨ꗜヘސؔno ǻȈݬؔ燰ؔۨؔe CoǼȈ.el HǳȈ佴ミ๨K爔ؔ߸ؔ ǴȌ㺬ヸ佈ミ㹼ヸ๨ꗜヘ燨ؔpr čȈdeĀȈ&#10;11.ćȈ佴ミ๨࡜ؔईؔĘȐ䪜ب䭸ب䠘بȌꦨ؛醸ؕĒȐA弰ȾĝᙸϏĖȐel؟㽰ヸ驄ؤ噈ψ ĪȌ㺬ヸ佈ミ㹼ヸ๨ꗜヘॐؔ ģȈबؔઘ͈ؔؔĤȈ&#10;ĻȈ↼盟ㅐؕ濠ؓļȈyaĳȈ㻰ஜ녨粘≈ஐallĴȈ佴ミ๨&#10;δؔੈؔŉȈAuto1ist łȌ㺬ヸ佈ミ㹼ヸ๨ꗜヘઐؔ śȈ੬ؔରؔक़ؔŜȈ佴ミ๨ॼؔૠؔ őȌ㺬ヸ佈ミ㹼ヸ๨ꗜヘନؔ ŮȈ଄ؔಠؔઘؔţȈ-y1TANDOŤȈPore1NDOŹȈEnue1cciónŲȈ佴ミ๨栄ؔ큀ؔŷȈ쭴ؔ킐ؔ새ؔIDƈȈ佴ミ๨ؓ౐ؔƍȌ还ؕ䩸؜ ƃȌ㺬ヸ佈ミ㹼ヸ๨ꗜヘಘؔ ƘȈ౴ؔസؔରؔƝȈ佴ミ๨΄ؔ೨ؔ ƖȌ㺬ヸ佈ミ㹼ヸ๨ꗜヘരؔ ƯȈഌؔැؔಠؔƠȈ佴ミ๨Ϝؔ඀ؔ ƥȌ㺬ヸ佈ミ㹼ヸ๨ꗜヘ෈ؔ ƲȈඤؔ๨ؔസؔƷȈ佴ミ๨୔ؔธؔ ǈȌ㺬ヸ佈ミ㹼ヸ๨ꗜヘ๠ؔ ǁȈ฼ؔༀؔැؔǚȈ佴ミ๨୼ؔະؔ ǟȌ㺬ヸ佈ミ㹼ヸ๨ꗜヘ໸ؔ ǔȈ໔ؔ྘ؔ๨ؔǩȈ佴ミ๨ ྼؔ཈ؔ ǢȌ㺬ヸ佈ミ㹼ヸ๨ꗜヘྐؔ ǻȈཬؔၘؔༀؔǼȈescritoǱȈ佴ミ๨&#10;ၼؔဈؔ ĊȌ㺬ヸ佈ミ㹼ヸ๨ꗜヘၐؔ ăȈာؔᄘؔ྘ؔĄȈpresentadoęȈ佴ミ๨ᄼؔ჈ؔ ĒȌ㺬ヸ佈ミ㹼ヸ๨ꗜヘᄐؔ īȈწؔᇈؔၘؔĬȈanteģȈ佴ミ๨!ᇬؔᅸؔ ĤȌ㺬ヸ佈ミ㹼ヸ๨ꗜヘᇀؔ ĽȈᆜؔቸؔᄘؔĶȈesteĵȈ佴ミ๨&amp;ኜؔረؔ ŎȌ㺬ヸ佈ミ㹼ヸ๨ꗜヘተؔ ŇȈቌؔጸؔᇈؔŘȈTribunalŝȈ佴ミ๨/፜ؔየؔ ŖȌ㺬ヸ佈ミ㹼ヸ๨ꗜヘጰؔ ůȈጌؔᏨؔቸؔŠȈelŧȈ佴ミ๨2ᐌؔ᎘ؔ ŸȌ㺬ヸ佈ミ㹼ヸ๨ꗜヘᏠؔ űȈᎼؔᒘؔጸؔƊȈ6ƉȈ佴ミ๨4ᒼؔᑈؔ ƂȌ㺬ヸ佈ミ㹼ヸ๨ꗜヘᒐؔ ƛȈᑬؔᕈؔᏨؔƜȈseisƓȈ佴ミ๨9ᕬؔᓸؔ ƔȌ㺬ヸ佈ミ㹼ヸ๨ꗜヘᕀؔ ƭȈᔜؔᗸؔᒘؔƦȈdeƥȈ佴ミ๨&lt;ᘜؔᖨؔ ƾȌ㺬ヸ佈ミ㹼ヸ๨ꗜヘᗰؔ ƷȈᗌؔᚨؔᕈؔǈȈ&#10;julioǏȈ佴ミ๨Bᛌؔᙘؔ ǀȌ㺬ヸ佈ミ㹼ヸ๨ꗜヘᚠؔ ǙȈᙼؔ᝘ؔᗸؔǒȈdelǑȈ佴ミ๨F᝼ؔᜈؔ ǪȌ㺬ヸ佈ミ㹼ヸ๨ꗜヘᝐؔ ǣȈᜬؔ᠈ؔᚨؔǤȈ2010ǻȈ佴ミ๨Kᠬؔីؔ ǼȌ㺬ヸ佈ミ㹼ヸ๨ꗜヘ᠀ؔ ǵȈៜؔᢸؔ᝘ؔĎȈdosčȈ佴ミ๨Oᣜؔᡨؔ ĆȌ㺬ヸ佈ミ㹼ヸ๨ꗜヘᢰؔ ğȈᢌؔᥨؔ᠈ؔĐȈmilėȈ佴ミ๨Sᦌؔᤘؔ ĨȌ㺬ヸ佈ミ㹼ヸ๨ꗜヘᥠؔ ġȈ᤼ᨘؔؔᢸؔĺȈdiezĹȈ佴ミ๨Wᨼؔᧈؔ ĲȌ㺬ヸ佈ミ㹼ヸ๨ꗜヘᨐؔ ŋȈ᧬ؔ᫈ؔᥨؔŌȈ,ŃȈ佴ミ๨Y᫬ؔ᩸ؔ ńȌ㺬ヸ佈ミ㹼ヸ๨ꗜヘᫀؔ ŝȈ᪜ؔ᭸ᨘؔؔŖȈlaŕȈ佴ミ๨\ᮜؔᬨؔ ŮȌ㺬ヸ佈ミ㹼ヸ๨ꗜヘ᭰ؔ ŧȈᭌؔᰨؔ᫈ؔŸȈCſȈ佴ミ๨]᱌ؔᯘؔ ŰȌ㺬ヸ佈ミ㹼ヸ๨ꗜヘᰠؔ ƉȈ᯼᳘ؔؔ᭸ؔƂȈ.ƁȈ佴ミ๨_᳼ؔᲈؔ ƚȌ㺬ヸ佈ミ㹼ヸ๨ꗜヘ᳐ؔ ƓȈᲬؔᶘؔᰨؔƔȈMarianaƩȈ佴ミ๨gᶼؔᵈؔ ƢȌ㺬ヸ佈ミ㹼ヸ๨ꗜヘᶐؔ ƻȈᵬؔṈ᳘ؔؔƼȈ&#10;FélixƳȈ佴ミ๨mṬ᷸ؔؔ ƴȌ㺬ヸ佈ミ㹼ヸ๨ꗜヘṀؔ ǍȈḜؔἈؔᶘؔǆȈOlveraǛȈ佴ミ๨sἬؔẸؔ ǜȌ㺬ヸ佈ミ㹼ヸ๨ꗜヘἀؔ ǕȈỜؔᾸؔṈؔǮȈ,ǭȈ佴ミ๨u ῜ؔὨؔ ǦȌ㺬ヸ佈ミ㹼ヸ๨ꗜヘᾰؔ ǿȈᾌؔ◀ؔἈؔǰȐapoderadaĊȈ佴ミ๨◤ؔ╰ؔďȈ⃨ؔؔؔ recĀȈdellaćȈ佴ミ๨ℌؔₘؔ ĘȌ㺬ヸ佈ミ㹼ヸ๨ꗜヘ⃠ؔen đȈ₼ؔ↘ؔ‸ؔotosĪȈ15iecĩȈ佴ミ๨↼ؔⅈؔ ĢȌ㺬ヸ佈ミ㹼ヸ๨ꗜヘ←ؔ e ĻȈⅬؔ≘⃨ؔؔirecļȈquinceio y elıȈ佴ミ๨≼ؔ∈ؔ ŊȌ㺬ヸ佈ミ㹼ヸ๨ꗜヘ≐ؔct ŃȈ∬ؔ⌈ؔ↘ؔautońȈdeertśȈ佴ミ๨⌬ؔ⊸ؔ ŜȌ㺬ヸ佈ミ㹼ヸ๨ꗜヘ⌀ؔas ŕȈ⋜ؔ⎸ؔ≘ؔe deŮȈ&#10;julioŭȈ佴ミ๨$⏜ؔ⍨ؔ ŦȌ㺬ヸ佈ミ㹼ヸ๨ꗜヘ⎰ؔez ſȈ⎌ؔ⑨ؔ⌈ؔifieŰȈdelevŷȈ佴ミ๨(⒌ؔ␘ؔ ƈȌ㺬ヸ佈ミ㹼ヸ๨ꗜヘ①ؔón ƁȈ␼ؔ┘ؔ⎸ؔcumpƚȈ2010 ƙȈ佴ミ๨-┼ؔⓈؔ ƒȌ㺬ヸ佈ミ㹼ヸ๨ꗜヘ┐ؔci ƫȈ⓬ؔؔ⑨ؔ comƬȈdosPeƣȐmil” &#10; ƧȌ㺬ヸ佈ミ㹼ヸ๨ꗜヘ▸ؔ ƼȈ▔ؔ♰ؔᾸؔƱȈdeƴȈ佴ミ๨⚔ؔ☠ؔ ǉȌ㺬ヸ佈ミ㹼ヸ๨ꗜヘ♨ؔ ǆȈ♄ؔ✠ؔ◀ؔǛȈlaǞȈ佴ミ๨❄ؔ⛐ؔ ǓȌ㺬ヸ佈ミ㹼ヸ๨ꗜヘ✘ؔ ǨȈ⛴ؔ⟠ؔ♰ؔǭȈpersonaǦȈ佴ミ๨⠄ؔ➐ؔ ǻȌ㺬ヸ佈ミ㹼ヸ๨ꗜヘ⟘ؔ ǰȈ➴ؔ⢐ؔ✠ؔǵȈ&#10;moralĈȈ佴ミ๨⢴ؔ⡀ؔ čȌ㺬ヸ佈ミ㹼ヸ๨ꗜヘ⢈ؔ ĚȈ⡤ؔ⥐ؔ⟠ؔğȈParqueĐȈ佴ミ๨⥴ؔ⤀ؔ ĕȌ㺬ヸ佈ミ㹼ヸ๨ꗜヘ⥈ؔ ĢȈ⤤ؔ⨐ؔ⢐ؔħȈPotosinoĸȈ佴ミ๨£⨴ؔ⧀ؔ ĽȌ㺬ヸ佈ミ㹼ヸ๨ꗜヘ⨈ؔ ŊȈ⧤ؔ⫀ؔ⥐ؔŏȈSłȈ佴ミ๨¤⫤ؔ⩰ؔ ŇȌ㺬ヸ佈ミ㹼ヸ๨ꗜヘ⪸ؔ ŜȈ⪔ؔ⭰ؔ⨐ؔőȈ.ŔȈ佴ミ๨¥⮔ؔ⬠ؔ ũȌ㺬ヸ佈ミ㹼ヸ๨ꗜヘ⭨ؔ ŦȈ⭄ؔⳐؔ⫀ؔŻȈAžȈ佴ミ๨敤ؔ⯐ؔ ųȌ㺬ヸ佈ミ㹼ヸ๨ꗜヘⰘؔ ƈȈ⯴ؔ⼠ؔ戀ؔƍȈlaƀȈ佴ミ๨¨⳴ؔⲀؔ ƅȌ㺬ヸ佈ミ㹼ヸ๨ꗜヘⳈؔ ƒȈⲤؔⶀؔ⭰ؔƗȈdeƪȈ佴ミ๨«ⶤؔⴰؔ ƯȌ㺬ヸ佈ミ㹼ヸ๨ꗜヘ⵸ؔ ƤȈⵔؔ⸰ؔⳐؔƹȈCƼȈ佴ミ๨¬⹔ؔⷠؔ ƱȌ㺬ヸ佈ミ㹼ヸ๨ꗜヘ⸨ؔ ǎȈ⸄ؔ⻠ؔⶀؔǃȈ.ǆȈ佴ミ๨­⼄ؔ⺐ؔ ǛȌ㺬ヸ佈ミ㹼ヸ๨ꗜヘ⻘ؔ ǐȈ⺴ؔ぀ؔ⸰ؔǕȈVǨȈ⽤ؔ梐ؔⰠؔTag ǭȌ㺬ヸ佈ミ㹼ヸ๨ꗜヘ⼘ؔ ǺȈ佴ミ๨旤ؔ沘ؔǿȈdeǲȈ佴ミ๨°つؔ⿰ؔ ǷȌ㺬ヸ佈ミ㹼ヸ๨ꗜヘ〸ؔ ČȈ〔ؔ㄀ؔ⻠ؔāȈpromovióĚȈ佴"/>
        </w:smartTagPr>
        <w:r w:rsidRPr="005520F4">
          <w:rPr>
            <w:rFonts w:ascii="Arial" w:eastAsia="Times New Roman" w:hAnsi="Arial" w:cs="Arial"/>
            <w:color w:val="000000"/>
            <w:lang w:val="es-ES" w:eastAsia="es-ES"/>
          </w:rPr>
          <w:t>la Constitución Política</w:t>
        </w:r>
      </w:smartTag>
      <w:r w:rsidRPr="005520F4">
        <w:rPr>
          <w:rFonts w:ascii="Arial" w:eastAsia="Times New Roman" w:hAnsi="Arial" w:cs="Arial"/>
          <w:color w:val="000000"/>
          <w:lang w:val="es-ES" w:eastAsia="es-ES"/>
        </w:rPr>
        <w:t xml:space="preserve"> de los Estados Unidos Mexicanos, se desprende que la naturaleza del vínculo jurídico existente entre los agentes de seguridad pública y el Estado, es de naturaleza administrativa y no laboral. Asimismo, el Estatuto Jurídico de los Trabajadores al Servicio de las Autoridades de San Luis Potosí, tampoco reconoce como laboral el vínculo que une a los agentes de seguridad pública con el Estado. Por ello, resulta competente para conocer de los litigios que se generen con motivo de la prestación del servicio, el Tribunal de lo Contencioso Administrativo del Estado, tal como lo dispone el artículo 2o. de </w:t>
      </w:r>
      <w:smartTag w:uri="urn:schemas-microsoft-com:office:smarttags" w:element="PersonName">
        <w:smartTagPr>
          <w:attr w:name="ProductID" w:val="la Ley"/>
        </w:smartTagPr>
        <w:r w:rsidRPr="005520F4">
          <w:rPr>
            <w:rFonts w:ascii="Arial" w:eastAsia="Times New Roman" w:hAnsi="Arial" w:cs="Arial"/>
            <w:color w:val="000000"/>
            <w:lang w:val="es-ES" w:eastAsia="es-ES"/>
          </w:rPr>
          <w:t>la Ley</w:t>
        </w:r>
      </w:smartTag>
      <w:r w:rsidRPr="005520F4">
        <w:rPr>
          <w:rFonts w:ascii="Arial" w:eastAsia="Times New Roman" w:hAnsi="Arial" w:cs="Arial"/>
          <w:color w:val="000000"/>
          <w:lang w:val="es-ES" w:eastAsia="es-ES"/>
        </w:rPr>
        <w:t xml:space="preserve"> de Justicia Administrativa de dicha entidad federativa, que faculta a este órgano para conocer de las controversias de naturaleza administrativa entre las autoridades del Estado y los gobernados, sin dejar de tomar en consideración que las prestaciones demandadas no son sino una consecuencia de la acción de nulidad promovida en contra de la orden de baja del actor. Este criterio se ve fortalecido por diversas tesis aisladas y de jurisprudencia, dentro de las que destacan las tesis jurisprudenciales números 24/1995 del Tribunal Pleno y 77/95 de </w:t>
      </w:r>
      <w:smartTag w:uri="urn:schemas-microsoft-com:office:smarttags" w:element="PersonName">
        <w:smartTagPr>
          <w:attr w:name="ProductID" w:val="la Segunda Sala"/>
        </w:smartTagPr>
        <w:r w:rsidRPr="005520F4">
          <w:rPr>
            <w:rFonts w:ascii="Arial" w:eastAsia="Times New Roman" w:hAnsi="Arial" w:cs="Arial"/>
            <w:color w:val="000000"/>
            <w:lang w:val="es-ES" w:eastAsia="es-ES"/>
          </w:rPr>
          <w:t>la Segunda Sala</w:t>
        </w:r>
      </w:smartTag>
      <w:r w:rsidRPr="005520F4">
        <w:rPr>
          <w:rFonts w:ascii="Arial" w:eastAsia="Times New Roman" w:hAnsi="Arial" w:cs="Arial"/>
          <w:color w:val="000000"/>
          <w:lang w:val="es-ES" w:eastAsia="es-ES"/>
        </w:rPr>
        <w:t xml:space="preserve">, publicadas en el Tomo II del Semanario Judicial de </w:t>
      </w:r>
      <w:smartTag w:uri="urn:schemas-microsoft-com:office:smarttags" w:element="PersonName">
        <w:smartTagPr>
          <w:attr w:name="ProductID" w:val="la Federaci￳n"/>
        </w:smartTagPr>
        <w:r w:rsidRPr="005520F4">
          <w:rPr>
            <w:rFonts w:ascii="Arial" w:eastAsia="Times New Roman" w:hAnsi="Arial" w:cs="Arial"/>
            <w:color w:val="000000"/>
            <w:lang w:val="es-ES" w:eastAsia="es-ES"/>
          </w:rPr>
          <w:t>la Federación</w:t>
        </w:r>
      </w:smartTag>
      <w:r w:rsidRPr="005520F4">
        <w:rPr>
          <w:rFonts w:ascii="Arial" w:eastAsia="Times New Roman" w:hAnsi="Arial" w:cs="Arial"/>
          <w:color w:val="000000"/>
          <w:lang w:val="es-ES" w:eastAsia="es-ES"/>
        </w:rPr>
        <w:t xml:space="preserve"> (Novena Época), la primera en el mes de septiembre de mil novecientos noventa y cinco, página cuarenta y tres y la segunda en el mes de diciembre siguiente, página doscientos noventa, y aunque se refieren a los policías en el Estado de México, guardan analogía con lo que acontece en San Luis Potosí y no viene sino a fortalecer el carácter administrativo de la relación que sostienen los agentes de seguridad pública con el propio Estado."</w:t>
      </w:r>
    </w:p>
    <w:p w:rsidR="00D7181A" w:rsidRPr="005520F4" w:rsidRDefault="00D7181A" w:rsidP="00D7181A">
      <w:pPr>
        <w:spacing w:before="120" w:after="120"/>
        <w:ind w:left="709"/>
        <w:jc w:val="both"/>
        <w:rPr>
          <w:color w:val="000000"/>
        </w:rPr>
      </w:pPr>
    </w:p>
    <w:p w:rsidR="00877C32" w:rsidRPr="005520F4" w:rsidRDefault="00C91E4E" w:rsidP="00952F12">
      <w:pPr>
        <w:spacing w:before="120" w:after="240" w:line="360" w:lineRule="auto"/>
        <w:ind w:firstLine="709"/>
        <w:jc w:val="both"/>
        <w:rPr>
          <w:rFonts w:ascii="Arial" w:hAnsi="Arial" w:cs="Arial"/>
          <w:sz w:val="28"/>
          <w:szCs w:val="28"/>
        </w:rPr>
      </w:pPr>
      <w:r w:rsidRPr="005520F4">
        <w:rPr>
          <w:rFonts w:ascii="Arial" w:hAnsi="Arial" w:cs="Arial"/>
          <w:b/>
          <w:sz w:val="28"/>
          <w:szCs w:val="28"/>
        </w:rPr>
        <w:t>SEGUNDO.-</w:t>
      </w:r>
      <w:r w:rsidR="00AA1250" w:rsidRPr="005520F4">
        <w:rPr>
          <w:rFonts w:ascii="Arial" w:hAnsi="Arial" w:cs="Arial"/>
          <w:b/>
          <w:sz w:val="28"/>
          <w:szCs w:val="28"/>
        </w:rPr>
        <w:t xml:space="preserve"> </w:t>
      </w:r>
      <w:r w:rsidR="00877C32" w:rsidRPr="005520F4">
        <w:rPr>
          <w:rFonts w:ascii="Arial" w:hAnsi="Arial" w:cs="Arial"/>
          <w:sz w:val="28"/>
          <w:szCs w:val="28"/>
        </w:rPr>
        <w:t>De acuerdo con lo que precisa el artículo 221, del Código Procesal Administrativo para el Estado de San Luis Potosí, esta Segunda Sala Unitaria procede a analizar la legitimació</w:t>
      </w:r>
      <w:r w:rsidR="00251ED1" w:rsidRPr="005520F4">
        <w:rPr>
          <w:rFonts w:ascii="Arial" w:hAnsi="Arial" w:cs="Arial"/>
          <w:sz w:val="28"/>
          <w:szCs w:val="28"/>
        </w:rPr>
        <w:t>n de las partes en este juicio.</w:t>
      </w:r>
      <w:r w:rsidR="00877C32" w:rsidRPr="005520F4">
        <w:rPr>
          <w:rFonts w:ascii="Arial" w:hAnsi="Arial" w:cs="Arial"/>
          <w:sz w:val="28"/>
          <w:szCs w:val="28"/>
        </w:rPr>
        <w:t xml:space="preserve"> </w:t>
      </w:r>
    </w:p>
    <w:p w:rsidR="0084036D" w:rsidRPr="005520F4" w:rsidRDefault="00877C32" w:rsidP="0084036D">
      <w:pPr>
        <w:autoSpaceDE w:val="0"/>
        <w:autoSpaceDN w:val="0"/>
        <w:adjustRightInd w:val="0"/>
        <w:spacing w:after="240" w:line="360" w:lineRule="auto"/>
        <w:ind w:firstLine="709"/>
        <w:jc w:val="both"/>
        <w:rPr>
          <w:rFonts w:ascii="Arial" w:hAnsi="Arial" w:cs="Arial"/>
          <w:sz w:val="28"/>
          <w:szCs w:val="28"/>
        </w:rPr>
      </w:pPr>
      <w:r w:rsidRPr="005520F4">
        <w:rPr>
          <w:rFonts w:ascii="Arial" w:hAnsi="Arial" w:cs="Arial"/>
          <w:sz w:val="28"/>
          <w:szCs w:val="28"/>
        </w:rPr>
        <w:lastRenderedPageBreak/>
        <w:t xml:space="preserve">En lo que respecta al C. </w:t>
      </w:r>
      <w:r w:rsidR="004F5BC4">
        <w:rPr>
          <w:rFonts w:ascii="Arial" w:hAnsi="Arial" w:cs="Arial"/>
          <w:color w:val="FF0000"/>
          <w:sz w:val="28"/>
          <w:szCs w:val="28"/>
        </w:rPr>
        <w:t>******* ******** ********</w:t>
      </w:r>
      <w:r w:rsidR="00D7181A" w:rsidRPr="005520F4">
        <w:rPr>
          <w:rFonts w:ascii="Arial" w:hAnsi="Arial" w:cs="Arial"/>
          <w:sz w:val="28"/>
          <w:szCs w:val="28"/>
        </w:rPr>
        <w:t xml:space="preserve">, </w:t>
      </w:r>
      <w:r w:rsidRPr="005520F4">
        <w:rPr>
          <w:rFonts w:ascii="Arial" w:hAnsi="Arial" w:cs="Arial"/>
          <w:sz w:val="28"/>
          <w:szCs w:val="28"/>
        </w:rPr>
        <w:t xml:space="preserve">la personalidad </w:t>
      </w:r>
      <w:r w:rsidR="00AD0FB0" w:rsidRPr="005520F4">
        <w:rPr>
          <w:rFonts w:ascii="Arial" w:hAnsi="Arial" w:cs="Arial"/>
          <w:sz w:val="28"/>
          <w:szCs w:val="28"/>
        </w:rPr>
        <w:t>del mismo para comparecer a juicio no requiere pronunciamiento especial alguno, en virtud de que, compareció por derecho propio a defender sus derechos que consideró afectados</w:t>
      </w:r>
      <w:r w:rsidR="00D7181A" w:rsidRPr="005520F4">
        <w:rPr>
          <w:rFonts w:ascii="Arial" w:hAnsi="Arial" w:cs="Arial"/>
          <w:sz w:val="28"/>
          <w:szCs w:val="28"/>
        </w:rPr>
        <w:t xml:space="preserve">, y en el caso su interés jurídico deriva de que se duele del cese verbal de que fue objeto por el Síndico Municipal del Ayuntamiento de Cárdenas, San Luis Potosí, que le privó del cargo que ostentaba como Oficial Operativo de la </w:t>
      </w:r>
      <w:r w:rsidR="00D7181A" w:rsidRPr="005520F4">
        <w:rPr>
          <w:rFonts w:ascii="Arial" w:hAnsi="Arial" w:cs="Arial"/>
          <w:sz w:val="28"/>
          <w:szCs w:val="28"/>
          <w:lang w:val="es-ES"/>
        </w:rPr>
        <w:t xml:space="preserve">Dirección de Seguridad Pública y Tránsito Municipal, del Ayuntamiento de Cárdenas, San Luis Potosí, el cual se desprende </w:t>
      </w:r>
      <w:r w:rsidR="0084036D" w:rsidRPr="005520F4">
        <w:rPr>
          <w:rFonts w:ascii="Arial" w:hAnsi="Arial" w:cs="Arial"/>
          <w:sz w:val="28"/>
          <w:szCs w:val="28"/>
          <w:lang w:val="es-ES"/>
        </w:rPr>
        <w:t xml:space="preserve">de la impresión </w:t>
      </w:r>
      <w:r w:rsidR="00D7181A" w:rsidRPr="005520F4">
        <w:rPr>
          <w:rFonts w:ascii="Arial" w:hAnsi="Arial" w:cs="Arial"/>
          <w:sz w:val="28"/>
          <w:szCs w:val="28"/>
          <w:lang w:val="es-ES"/>
        </w:rPr>
        <w:t xml:space="preserve">del </w:t>
      </w:r>
      <w:r w:rsidR="0084036D" w:rsidRPr="005520F4">
        <w:rPr>
          <w:rFonts w:ascii="Arial" w:hAnsi="Arial" w:cs="Arial"/>
          <w:sz w:val="28"/>
          <w:szCs w:val="28"/>
          <w:lang w:val="es-ES"/>
        </w:rPr>
        <w:t xml:space="preserve">comprobante de fiscal digital que constituye el </w:t>
      </w:r>
      <w:r w:rsidR="00D7181A" w:rsidRPr="005520F4">
        <w:rPr>
          <w:rFonts w:ascii="Arial" w:hAnsi="Arial" w:cs="Arial"/>
          <w:sz w:val="28"/>
          <w:szCs w:val="28"/>
          <w:lang w:val="es-ES"/>
        </w:rPr>
        <w:t xml:space="preserve">recibo de pago expedido por </w:t>
      </w:r>
      <w:r w:rsidR="0084036D" w:rsidRPr="005520F4">
        <w:rPr>
          <w:rFonts w:ascii="Arial" w:hAnsi="Arial" w:cs="Arial"/>
          <w:sz w:val="28"/>
          <w:szCs w:val="28"/>
          <w:lang w:val="es-ES"/>
        </w:rPr>
        <w:t xml:space="preserve">el Municipio de Cárdenas, al hoy actor que cubre el periodo quincenal del primero de febrero al quince del mismo mes del año dos mil veinte, el cual hace prueba plena por no haber sido objetado por la demandada, </w:t>
      </w:r>
      <w:r w:rsidR="0084036D" w:rsidRPr="005520F4">
        <w:rPr>
          <w:rFonts w:ascii="Arial" w:hAnsi="Arial" w:cs="Arial"/>
          <w:sz w:val="28"/>
          <w:szCs w:val="28"/>
        </w:rPr>
        <w:t xml:space="preserve">con apoyo legal en el artículo 74, </w:t>
      </w:r>
      <w:r w:rsidR="0084036D" w:rsidRPr="005520F4">
        <w:rPr>
          <w:rFonts w:ascii="Arial" w:hAnsi="Arial" w:cs="Arial"/>
          <w:sz w:val="28"/>
          <w:szCs w:val="28"/>
          <w:lang w:val="es-ES"/>
        </w:rPr>
        <w:t>del Código Procesal Administrativo para el Estado de San Luis Potosí</w:t>
      </w:r>
      <w:r w:rsidR="0084036D" w:rsidRPr="005520F4">
        <w:rPr>
          <w:rFonts w:ascii="Arial" w:hAnsi="Arial" w:cs="Arial"/>
          <w:sz w:val="28"/>
          <w:szCs w:val="28"/>
        </w:rPr>
        <w:t>.</w:t>
      </w:r>
    </w:p>
    <w:p w:rsidR="000102FF" w:rsidRPr="005520F4" w:rsidRDefault="0084036D" w:rsidP="000102FF">
      <w:pPr>
        <w:spacing w:before="240" w:after="240" w:line="360" w:lineRule="auto"/>
        <w:ind w:firstLine="709"/>
        <w:jc w:val="both"/>
        <w:rPr>
          <w:sz w:val="28"/>
          <w:szCs w:val="28"/>
        </w:rPr>
      </w:pPr>
      <w:r w:rsidRPr="005520F4">
        <w:rPr>
          <w:rFonts w:ascii="Arial" w:hAnsi="Arial" w:cs="Arial"/>
          <w:sz w:val="28"/>
          <w:szCs w:val="28"/>
          <w:lang w:val="es-ES"/>
        </w:rPr>
        <w:t xml:space="preserve">Por su parte, </w:t>
      </w:r>
      <w:r w:rsidR="000102FF" w:rsidRPr="005520F4">
        <w:rPr>
          <w:rFonts w:ascii="Arial" w:hAnsi="Arial" w:cs="Arial"/>
          <w:sz w:val="28"/>
          <w:szCs w:val="28"/>
          <w:lang w:val="es-ES"/>
        </w:rPr>
        <w:t xml:space="preserve">la personalidad de </w:t>
      </w:r>
      <w:r w:rsidRPr="005520F4">
        <w:rPr>
          <w:rFonts w:ascii="Arial" w:hAnsi="Arial" w:cs="Arial"/>
          <w:sz w:val="28"/>
          <w:szCs w:val="28"/>
          <w:lang w:val="es-ES"/>
        </w:rPr>
        <w:t xml:space="preserve">los CC. Jorge Flores Fernández, en su carácter de Síndico Municipal, Salvador Espinosa González, Juan Carlos Ramos Moreno, Ricardo Castilla Céspedes y Juan Mario Velázquez Almaguer, estos últimos </w:t>
      </w:r>
      <w:r w:rsidR="000102FF" w:rsidRPr="005520F4">
        <w:rPr>
          <w:rFonts w:ascii="Arial" w:hAnsi="Arial" w:cs="Arial"/>
          <w:sz w:val="28"/>
          <w:szCs w:val="28"/>
          <w:lang w:val="es-ES"/>
        </w:rPr>
        <w:t xml:space="preserve">en su carácter de Secretario, Tesorero, Director de Recursos Humanos y Director de Seguridad Pública y Tránsito Municipal, todos del Ayuntamiento de Cárdenas, San Luis Potosí; se acredita por el primero de las autoridades citadas, con copia certificada de la publicación del Periódico Oficial del Estado de treinta de septiembre de dos mil dieciocho, la cual contiene la Declaración de Validez de la elección de los 58 Ayuntamientos del Estado, para el periodo comprendido del primero de octubre de dos mil dieciocho al treinta de septiembre de dos mil veintiuno; y por las restantes autoridades con la copia certificada de su respectivo nombramiento, que exhibieron anexo a sus contestaciones de demanda; documentales que obran en las fojas 42 a la 50, y 59 a 66, de autos, respectivamente, lo anterior, conforme lo establecido </w:t>
      </w:r>
      <w:r w:rsidR="000102FF" w:rsidRPr="005520F4">
        <w:rPr>
          <w:rFonts w:ascii="Arial" w:hAnsi="Arial" w:cs="Arial"/>
          <w:sz w:val="28"/>
          <w:szCs w:val="28"/>
          <w:lang w:val="es-ES"/>
        </w:rPr>
        <w:lastRenderedPageBreak/>
        <w:t>en los párrafos segundo y tercero del artículo 220 del Código Procesal Administrativo para el Estado de San Luis Potosí</w:t>
      </w:r>
    </w:p>
    <w:p w:rsidR="0084036D" w:rsidRPr="005520F4" w:rsidRDefault="0084036D" w:rsidP="000102FF">
      <w:pPr>
        <w:spacing w:before="240" w:after="240" w:line="360" w:lineRule="auto"/>
        <w:ind w:firstLine="709"/>
        <w:jc w:val="both"/>
        <w:rPr>
          <w:rFonts w:ascii="Arial" w:hAnsi="Arial" w:cs="Arial"/>
          <w:sz w:val="28"/>
          <w:szCs w:val="28"/>
          <w:lang w:val="es-ES"/>
        </w:rPr>
      </w:pPr>
      <w:r w:rsidRPr="005520F4">
        <w:rPr>
          <w:rFonts w:ascii="Arial" w:hAnsi="Arial" w:cs="Arial"/>
          <w:sz w:val="28"/>
          <w:szCs w:val="28"/>
          <w:lang w:val="es-ES"/>
        </w:rPr>
        <w:t>A las referidas documentales se les otorga valor probatorio pleno, con apoyo legal en los artículos 72 fracción I del Código Procesal Administrativo pa</w:t>
      </w:r>
      <w:r w:rsidR="000102FF" w:rsidRPr="005520F4">
        <w:rPr>
          <w:rFonts w:ascii="Arial" w:hAnsi="Arial" w:cs="Arial"/>
          <w:sz w:val="28"/>
          <w:szCs w:val="28"/>
          <w:lang w:val="es-ES"/>
        </w:rPr>
        <w:t>ra el Estado de San Luis Potosí</w:t>
      </w:r>
      <w:r w:rsidRPr="005520F4">
        <w:rPr>
          <w:rFonts w:ascii="Arial" w:hAnsi="Arial" w:cs="Arial"/>
          <w:sz w:val="28"/>
          <w:szCs w:val="28"/>
          <w:lang w:val="es-ES"/>
        </w:rPr>
        <w:t>.</w:t>
      </w:r>
    </w:p>
    <w:p w:rsidR="00D206B1" w:rsidRPr="005520F4" w:rsidRDefault="00D206B1" w:rsidP="00D206B1">
      <w:pPr>
        <w:spacing w:before="240" w:after="240" w:line="360" w:lineRule="auto"/>
        <w:ind w:firstLine="708"/>
        <w:jc w:val="both"/>
        <w:rPr>
          <w:rFonts w:ascii="Arial" w:hAnsi="Arial" w:cs="Arial"/>
          <w:sz w:val="28"/>
          <w:szCs w:val="28"/>
          <w:lang w:val="es-ES"/>
        </w:rPr>
      </w:pPr>
      <w:r w:rsidRPr="005520F4">
        <w:rPr>
          <w:rFonts w:ascii="Arial" w:hAnsi="Arial" w:cs="Arial"/>
          <w:b/>
          <w:sz w:val="28"/>
          <w:szCs w:val="28"/>
        </w:rPr>
        <w:t>TERCERO.-</w:t>
      </w:r>
      <w:r w:rsidRPr="005520F4">
        <w:rPr>
          <w:sz w:val="28"/>
          <w:szCs w:val="28"/>
        </w:rPr>
        <w:t xml:space="preserve"> </w:t>
      </w:r>
      <w:r w:rsidRPr="005520F4">
        <w:rPr>
          <w:rFonts w:ascii="Arial" w:hAnsi="Arial" w:cs="Arial"/>
          <w:sz w:val="28"/>
          <w:szCs w:val="28"/>
          <w:lang w:val="es-ES"/>
        </w:rPr>
        <w:t xml:space="preserve">La </w:t>
      </w:r>
      <w:proofErr w:type="spellStart"/>
      <w:r w:rsidRPr="005520F4">
        <w:rPr>
          <w:rFonts w:ascii="Arial" w:hAnsi="Arial" w:cs="Arial"/>
          <w:sz w:val="28"/>
          <w:szCs w:val="28"/>
          <w:lang w:val="es-ES"/>
        </w:rPr>
        <w:t>litis</w:t>
      </w:r>
      <w:proofErr w:type="spellEnd"/>
      <w:r w:rsidRPr="005520F4">
        <w:rPr>
          <w:rFonts w:ascii="Arial" w:hAnsi="Arial" w:cs="Arial"/>
          <w:sz w:val="28"/>
          <w:szCs w:val="28"/>
          <w:lang w:val="es-ES"/>
        </w:rPr>
        <w:t xml:space="preserve"> planteada en este Juicio Contencioso Administrativo consiste en determinar si fue legal o ilegal el acto consistente en:</w:t>
      </w:r>
    </w:p>
    <w:p w:rsidR="00D206B1" w:rsidRPr="005520F4" w:rsidRDefault="00D206B1" w:rsidP="00D206B1">
      <w:pPr>
        <w:ind w:left="851"/>
        <w:jc w:val="both"/>
        <w:rPr>
          <w:lang w:val="es-ES_tradnl"/>
        </w:rPr>
      </w:pPr>
      <w:r w:rsidRPr="005520F4">
        <w:rPr>
          <w:lang w:val="es-ES_tradnl"/>
        </w:rPr>
        <w:t>“…</w:t>
      </w:r>
      <w:r w:rsidRPr="005520F4">
        <w:rPr>
          <w:rFonts w:ascii="Arial" w:hAnsi="Arial" w:cs="Arial"/>
          <w:i/>
          <w:sz w:val="28"/>
          <w:szCs w:val="28"/>
        </w:rPr>
        <w:t>La Baja del Suscrito de mi puesto de Oficial Operativo de la Dirección de Seguridad Pública y Tránsito Municipal del Municipio de Cárdenas, S.L.P.”</w:t>
      </w:r>
      <w:r w:rsidRPr="005520F4">
        <w:rPr>
          <w:lang w:val="es-ES_tradnl"/>
        </w:rPr>
        <w:t>…”</w:t>
      </w:r>
    </w:p>
    <w:p w:rsidR="00D206B1" w:rsidRPr="005520F4" w:rsidRDefault="00D206B1" w:rsidP="00D206B1">
      <w:pPr>
        <w:spacing w:before="240" w:after="240" w:line="360" w:lineRule="auto"/>
        <w:ind w:firstLine="709"/>
        <w:jc w:val="both"/>
        <w:rPr>
          <w:rFonts w:ascii="Arial" w:hAnsi="Arial" w:cs="Arial"/>
          <w:sz w:val="28"/>
          <w:szCs w:val="28"/>
        </w:rPr>
      </w:pPr>
      <w:r w:rsidRPr="005520F4">
        <w:rPr>
          <w:rFonts w:ascii="Arial" w:hAnsi="Arial" w:cs="Arial"/>
          <w:sz w:val="28"/>
          <w:szCs w:val="28"/>
        </w:rPr>
        <w:t>Esto en relación con las pretensiones de la parte actora, que consisten en una declaración de ilegalidad del acto de baja o cese impugnado; la restitución del puesto que venía desempeñando, el pago de los salarios dejados de percibir a partir del dieciséis de febrero de dos mil veinte; los beneficios, recompensas, asignaciones, gratificaciones, premios, retribuciones, subvenciones, dietas, compensaciones, así como gastos de servicios médicos, reconocimiento de antigüedad, categoría, salario y condiciones de trabajo que venía desempeñando hasta el momento en que fue objeto de la baja o cese</w:t>
      </w:r>
      <w:r w:rsidR="00120180">
        <w:rPr>
          <w:rFonts w:ascii="Arial" w:hAnsi="Arial" w:cs="Arial"/>
          <w:sz w:val="28"/>
          <w:szCs w:val="28"/>
        </w:rPr>
        <w:t xml:space="preserve">, hasta que se realice el pago; </w:t>
      </w:r>
      <w:r w:rsidRPr="005520F4">
        <w:rPr>
          <w:rFonts w:ascii="Arial" w:hAnsi="Arial" w:cs="Arial"/>
          <w:sz w:val="28"/>
          <w:szCs w:val="28"/>
        </w:rPr>
        <w:t>lo previsto en la fracción XIII apartado B del artículo 123 de la Constitución Política de los Estados Unidos Mexicanos y lo establecido en el artículo 252 del Código Procesal Administrativo para el Estado.</w:t>
      </w:r>
    </w:p>
    <w:p w:rsidR="00D131A0" w:rsidRPr="005520F4" w:rsidRDefault="00D206B1" w:rsidP="00877C32">
      <w:pPr>
        <w:spacing w:before="240" w:after="240" w:line="360" w:lineRule="auto"/>
        <w:ind w:firstLine="709"/>
        <w:jc w:val="both"/>
        <w:rPr>
          <w:rFonts w:ascii="Arial" w:hAnsi="Arial" w:cs="Arial"/>
          <w:sz w:val="28"/>
          <w:szCs w:val="28"/>
        </w:rPr>
      </w:pPr>
      <w:r w:rsidRPr="005520F4">
        <w:rPr>
          <w:rFonts w:ascii="Arial" w:hAnsi="Arial" w:cs="Arial"/>
          <w:b/>
          <w:sz w:val="28"/>
          <w:szCs w:val="28"/>
        </w:rPr>
        <w:t>CUART</w:t>
      </w:r>
      <w:r w:rsidR="006541EA" w:rsidRPr="005520F4">
        <w:rPr>
          <w:rFonts w:ascii="Arial" w:hAnsi="Arial" w:cs="Arial"/>
          <w:b/>
          <w:sz w:val="28"/>
          <w:szCs w:val="28"/>
        </w:rPr>
        <w:t xml:space="preserve">O.- </w:t>
      </w:r>
      <w:r w:rsidR="00525A82" w:rsidRPr="005520F4">
        <w:rPr>
          <w:rFonts w:ascii="Arial" w:hAnsi="Arial" w:cs="Arial"/>
          <w:sz w:val="28"/>
          <w:szCs w:val="28"/>
        </w:rPr>
        <w:t xml:space="preserve">Antes de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w:t>
      </w:r>
      <w:r w:rsidR="00525A82" w:rsidRPr="005520F4">
        <w:rPr>
          <w:rFonts w:ascii="Arial" w:hAnsi="Arial" w:cs="Arial"/>
          <w:sz w:val="28"/>
          <w:szCs w:val="28"/>
        </w:rPr>
        <w:lastRenderedPageBreak/>
        <w:t>sobreseimiento del Juicio, ya sea que lo hagan valer o no las partes; toda vez que se trata de cuestiones de orden público que se tienen que estudiar de oficio y, cuyo análisis es preferente al del fondo del asunto.</w:t>
      </w:r>
    </w:p>
    <w:p w:rsidR="00EB0BCE" w:rsidRPr="005520F4" w:rsidRDefault="00EB0BCE" w:rsidP="00EB0BCE">
      <w:pPr>
        <w:spacing w:after="0" w:line="360" w:lineRule="auto"/>
        <w:ind w:firstLine="708"/>
        <w:jc w:val="both"/>
        <w:rPr>
          <w:rFonts w:ascii="Arial" w:hAnsi="Arial" w:cs="Arial"/>
          <w:sz w:val="28"/>
          <w:szCs w:val="28"/>
          <w:lang w:val="es-ES"/>
        </w:rPr>
      </w:pPr>
      <w:r w:rsidRPr="005520F4">
        <w:rPr>
          <w:rFonts w:ascii="Arial" w:hAnsi="Arial" w:cs="Arial"/>
          <w:sz w:val="28"/>
          <w:szCs w:val="28"/>
          <w:lang w:val="es-ES"/>
        </w:rPr>
        <w:t xml:space="preserve">Ahora bien, las autoridades demandadas en su contestación, plantean en su capítulo de excepciones la falta de acción o sine </w:t>
      </w:r>
      <w:proofErr w:type="spellStart"/>
      <w:r w:rsidRPr="005520F4">
        <w:rPr>
          <w:rFonts w:ascii="Arial" w:hAnsi="Arial" w:cs="Arial"/>
          <w:sz w:val="28"/>
          <w:szCs w:val="28"/>
          <w:lang w:val="es-ES"/>
        </w:rPr>
        <w:t>actione</w:t>
      </w:r>
      <w:proofErr w:type="spellEnd"/>
      <w:r w:rsidRPr="005520F4">
        <w:rPr>
          <w:rFonts w:ascii="Arial" w:hAnsi="Arial" w:cs="Arial"/>
          <w:sz w:val="28"/>
          <w:szCs w:val="28"/>
          <w:lang w:val="es-ES"/>
        </w:rPr>
        <w:t xml:space="preserve"> </w:t>
      </w:r>
      <w:proofErr w:type="spellStart"/>
      <w:r w:rsidRPr="005520F4">
        <w:rPr>
          <w:rFonts w:ascii="Arial" w:hAnsi="Arial" w:cs="Arial"/>
          <w:sz w:val="28"/>
          <w:szCs w:val="28"/>
          <w:lang w:val="es-ES"/>
        </w:rPr>
        <w:t>agis</w:t>
      </w:r>
      <w:proofErr w:type="spellEnd"/>
      <w:r w:rsidRPr="005520F4">
        <w:rPr>
          <w:rFonts w:ascii="Arial" w:hAnsi="Arial" w:cs="Arial"/>
          <w:sz w:val="28"/>
          <w:szCs w:val="28"/>
          <w:lang w:val="es-ES"/>
        </w:rPr>
        <w:t xml:space="preserve">, así como la falta de legitimación pasiva, ad </w:t>
      </w:r>
      <w:proofErr w:type="spellStart"/>
      <w:r w:rsidRPr="005520F4">
        <w:rPr>
          <w:rFonts w:ascii="Arial" w:hAnsi="Arial" w:cs="Arial"/>
          <w:sz w:val="28"/>
          <w:szCs w:val="28"/>
          <w:lang w:val="es-ES"/>
        </w:rPr>
        <w:t>procesum</w:t>
      </w:r>
      <w:proofErr w:type="spellEnd"/>
      <w:r w:rsidRPr="005520F4">
        <w:rPr>
          <w:rFonts w:ascii="Arial" w:hAnsi="Arial" w:cs="Arial"/>
          <w:sz w:val="28"/>
          <w:szCs w:val="28"/>
          <w:lang w:val="es-ES"/>
        </w:rPr>
        <w:t>, falsedad en la demanda, y oscuridad en la demanda, en virtud de que la relación de trabajo se establece entre el ente moral público y no con las autoridades que tiene cierto periodo en el ejercicio de sus funciones, aunado a que el actor del juicio fue dado de baja de la Dirección de Seguridad Pública y Tránsito Municipal de Cárdenas,, S.L.P., mediante el procedimiento respectivo ante la Comisión competente para tal efecto, sólo que el actor siempre se negó a recibir las notificaciones.</w:t>
      </w:r>
    </w:p>
    <w:p w:rsidR="00EB0BCE" w:rsidRPr="005520F4" w:rsidRDefault="00EB0BCE" w:rsidP="00EB0BCE">
      <w:pPr>
        <w:spacing w:after="0" w:line="360" w:lineRule="auto"/>
        <w:ind w:firstLine="708"/>
        <w:jc w:val="both"/>
        <w:rPr>
          <w:rFonts w:ascii="Arial" w:hAnsi="Arial" w:cs="Arial"/>
          <w:sz w:val="28"/>
          <w:szCs w:val="28"/>
        </w:rPr>
      </w:pPr>
      <w:r w:rsidRPr="005520F4">
        <w:rPr>
          <w:rFonts w:ascii="Arial" w:hAnsi="Arial" w:cs="Arial"/>
          <w:sz w:val="28"/>
          <w:szCs w:val="28"/>
          <w:lang w:val="es-ES"/>
        </w:rPr>
        <w:t>En ese sentido, los argumentos formulados por las autoridades demandadas corresponden al análisis de fondo del asunto; pues precisamente lo que está en controversia en el expediente en que se actúa, es la legalidad o ilegalidad de la resolución impugnada. Por lo tanto, las excepciones que manifiestan las demandadas tienen sustento en la supuesta validez del acto de baja o cese impugnado, como lo son que cumplió con todas y cada una de las formalidades necesarias para la emisión del acto impugnado, la de sin acción, falta de legitimación, falsedad de la demanda y oscuridad en la misma, así como que se realizó el procedimiento administrativo</w:t>
      </w:r>
      <w:r w:rsidR="007C17FC" w:rsidRPr="005520F4">
        <w:rPr>
          <w:rFonts w:ascii="Arial" w:hAnsi="Arial" w:cs="Arial"/>
          <w:sz w:val="28"/>
          <w:szCs w:val="28"/>
          <w:lang w:val="es-ES"/>
        </w:rPr>
        <w:t xml:space="preserve"> para dar de baja al hoy actor</w:t>
      </w:r>
      <w:r w:rsidRPr="005520F4">
        <w:rPr>
          <w:rFonts w:ascii="Arial" w:hAnsi="Arial" w:cs="Arial"/>
          <w:sz w:val="28"/>
          <w:szCs w:val="28"/>
          <w:lang w:val="es-ES"/>
        </w:rPr>
        <w:t xml:space="preserve">; </w:t>
      </w:r>
      <w:r w:rsidRPr="005520F4">
        <w:rPr>
          <w:rFonts w:ascii="Arial" w:hAnsi="Arial" w:cs="Arial"/>
          <w:b/>
          <w:sz w:val="28"/>
          <w:szCs w:val="28"/>
        </w:rPr>
        <w:t>deben desestimarse,</w:t>
      </w:r>
      <w:r w:rsidRPr="005520F4">
        <w:rPr>
          <w:rFonts w:ascii="Arial" w:hAnsi="Arial" w:cs="Arial"/>
          <w:sz w:val="28"/>
          <w:szCs w:val="28"/>
        </w:rPr>
        <w:t xml:space="preserve"> pues los razonamientos en los cuales se sustenta, </w:t>
      </w:r>
      <w:r w:rsidRPr="005520F4">
        <w:rPr>
          <w:rFonts w:ascii="Arial" w:hAnsi="Arial" w:cs="Arial"/>
          <w:b/>
          <w:sz w:val="28"/>
          <w:szCs w:val="28"/>
        </w:rPr>
        <w:t>involucran cuestiones inherentes a la resolución de fondo del juicio</w:t>
      </w:r>
      <w:r w:rsidRPr="005520F4">
        <w:rPr>
          <w:rFonts w:ascii="Arial" w:hAnsi="Arial" w:cs="Arial"/>
          <w:sz w:val="28"/>
          <w:szCs w:val="28"/>
        </w:rPr>
        <w:t xml:space="preserve">, esto es, constituyen la materia del asunto, estrechamente vinculadas con el análisis de la ilegalidad que reclama la parte actora. </w:t>
      </w:r>
    </w:p>
    <w:p w:rsidR="00EB0BCE" w:rsidRPr="005520F4" w:rsidRDefault="00EB0BCE" w:rsidP="00EB0BCE">
      <w:pPr>
        <w:spacing w:before="240" w:line="240" w:lineRule="auto"/>
        <w:ind w:firstLine="709"/>
        <w:contextualSpacing/>
        <w:jc w:val="both"/>
        <w:rPr>
          <w:rFonts w:ascii="Arial" w:hAnsi="Arial" w:cs="Arial"/>
          <w:sz w:val="28"/>
          <w:szCs w:val="28"/>
        </w:rPr>
      </w:pPr>
    </w:p>
    <w:p w:rsidR="00EB0BCE" w:rsidRPr="005520F4" w:rsidRDefault="00EB0BCE" w:rsidP="007C17FC">
      <w:pPr>
        <w:spacing w:before="240" w:line="360" w:lineRule="auto"/>
        <w:ind w:firstLine="709"/>
        <w:jc w:val="both"/>
        <w:rPr>
          <w:rFonts w:ascii="Arial" w:hAnsi="Arial" w:cs="Arial"/>
          <w:sz w:val="28"/>
          <w:szCs w:val="28"/>
        </w:rPr>
      </w:pPr>
      <w:r w:rsidRPr="005520F4">
        <w:rPr>
          <w:rFonts w:ascii="Arial" w:hAnsi="Arial" w:cs="Arial"/>
          <w:sz w:val="28"/>
          <w:szCs w:val="28"/>
        </w:rPr>
        <w:lastRenderedPageBreak/>
        <w:t>Sirve de apoyo a lo anterior, el criterio contenido en la jurisprudencia que, aunque se refiere al juicio de amparo, es aplicable al caso por analogía; cuyos datos de localización y contenido se reproducen a continuación:</w:t>
      </w:r>
    </w:p>
    <w:p w:rsidR="00EB0BCE" w:rsidRPr="005520F4" w:rsidRDefault="00EB0BCE" w:rsidP="007C17FC">
      <w:pPr>
        <w:spacing w:before="240" w:line="240" w:lineRule="auto"/>
        <w:ind w:left="993"/>
        <w:jc w:val="both"/>
        <w:rPr>
          <w:rFonts w:ascii="Arial Narrow" w:hAnsi="Arial Narrow" w:cs="Arial"/>
        </w:rPr>
      </w:pPr>
      <w:r w:rsidRPr="005520F4">
        <w:rPr>
          <w:rFonts w:ascii="Arial Narrow" w:hAnsi="Arial Narrow" w:cs="Arial"/>
        </w:rPr>
        <w:t>No. Registro: 187,973, Jurisprudencia Materia(s): Común, Novena Época, Instancia: Pleno, Fuente: Semanario Judicial de la Federación y su Gaceta, XV, Enero de 2002, Tesis: P</w:t>
      </w:r>
      <w:proofErr w:type="gramStart"/>
      <w:r w:rsidRPr="005520F4">
        <w:rPr>
          <w:rFonts w:ascii="Arial Narrow" w:hAnsi="Arial Narrow" w:cs="Arial"/>
        </w:rPr>
        <w:t>./</w:t>
      </w:r>
      <w:proofErr w:type="gramEnd"/>
      <w:r w:rsidRPr="005520F4">
        <w:rPr>
          <w:rFonts w:ascii="Arial Narrow" w:hAnsi="Arial Narrow" w:cs="Arial"/>
        </w:rPr>
        <w:t>J. 135/2001, Página: 5</w:t>
      </w:r>
    </w:p>
    <w:p w:rsidR="00EB0BCE" w:rsidRPr="005520F4" w:rsidRDefault="00EB0BCE" w:rsidP="007C17FC">
      <w:pPr>
        <w:spacing w:before="240" w:line="240" w:lineRule="auto"/>
        <w:ind w:left="993"/>
        <w:jc w:val="both"/>
        <w:rPr>
          <w:rFonts w:ascii="Arial Narrow" w:hAnsi="Arial Narrow" w:cs="Arial"/>
        </w:rPr>
      </w:pPr>
      <w:r w:rsidRPr="005520F4">
        <w:rPr>
          <w:rFonts w:ascii="Arial Narrow" w:hAnsi="Arial Narrow" w:cs="Arial"/>
        </w:rPr>
        <w:t>“</w:t>
      </w:r>
      <w:r w:rsidRPr="005520F4">
        <w:rPr>
          <w:rFonts w:ascii="Arial Narrow" w:hAnsi="Arial Narrow" w:cs="Arial"/>
          <w:b/>
        </w:rPr>
        <w:t>IMPROCEDENCIA DEL JUICIO DE AMPARO. SI SE HACE VALER UNA CAUSAL QUE INVOLUCRA EL ESTUDIO DE FONDO DEL ASUNTO, DEBERÁ DESESTIMARSE</w:t>
      </w:r>
      <w:r w:rsidRPr="005520F4">
        <w:rPr>
          <w:rFonts w:ascii="Arial Narrow" w:hAnsi="Arial Narrow" w:cs="Arial"/>
        </w:rPr>
        <w:t>. Las causales de improcedencia del juicio de garantías deben ser claras e inobjetables, de lo que se desprende que si se hace valer una en la que se involucre una argumentación íntimamente relacionada con el fondo del negocio, debe desestimarse…”</w:t>
      </w:r>
    </w:p>
    <w:p w:rsidR="00F25A2A" w:rsidRPr="00120180" w:rsidRDefault="00EB0BCE" w:rsidP="00120180">
      <w:pPr>
        <w:spacing w:before="240" w:after="240" w:line="360" w:lineRule="auto"/>
        <w:ind w:firstLine="709"/>
        <w:jc w:val="both"/>
        <w:rPr>
          <w:rFonts w:ascii="Arial" w:hAnsi="Arial" w:cs="Arial"/>
          <w:sz w:val="28"/>
          <w:szCs w:val="28"/>
        </w:rPr>
      </w:pPr>
      <w:r w:rsidRPr="005520F4">
        <w:rPr>
          <w:rFonts w:ascii="Arial" w:hAnsi="Arial" w:cs="Arial"/>
          <w:sz w:val="28"/>
          <w:szCs w:val="28"/>
          <w:lang w:val="es-ES"/>
        </w:rPr>
        <w:t>Finalmente</w:t>
      </w:r>
      <w:r w:rsidR="00120180">
        <w:rPr>
          <w:rFonts w:ascii="Arial" w:hAnsi="Arial" w:cs="Arial"/>
          <w:sz w:val="28"/>
          <w:szCs w:val="28"/>
          <w:lang w:val="es-ES"/>
        </w:rPr>
        <w:t>, se debe de hacer mención</w:t>
      </w:r>
      <w:r w:rsidRPr="005520F4">
        <w:rPr>
          <w:rFonts w:ascii="Arial" w:hAnsi="Arial" w:cs="Arial"/>
          <w:sz w:val="28"/>
          <w:szCs w:val="28"/>
          <w:lang w:val="es-ES"/>
        </w:rPr>
        <w:t xml:space="preserve"> que</w:t>
      </w:r>
      <w:r w:rsidR="00120180">
        <w:rPr>
          <w:rFonts w:ascii="Arial" w:hAnsi="Arial" w:cs="Arial"/>
          <w:sz w:val="28"/>
          <w:szCs w:val="28"/>
          <w:lang w:val="es-ES"/>
        </w:rPr>
        <w:t>,</w:t>
      </w:r>
      <w:r w:rsidRPr="005520F4">
        <w:rPr>
          <w:rFonts w:ascii="Arial" w:hAnsi="Arial" w:cs="Arial"/>
          <w:sz w:val="28"/>
          <w:szCs w:val="28"/>
          <w:lang w:val="es-ES"/>
        </w:rPr>
        <w:t xml:space="preserve"> de acuerdo a lo que ordena</w:t>
      </w:r>
      <w:r w:rsidR="00120180">
        <w:rPr>
          <w:rFonts w:ascii="Arial" w:hAnsi="Arial" w:cs="Arial"/>
          <w:sz w:val="28"/>
          <w:szCs w:val="28"/>
          <w:lang w:val="es-ES"/>
        </w:rPr>
        <w:t>n</w:t>
      </w:r>
      <w:r w:rsidRPr="005520F4">
        <w:rPr>
          <w:rFonts w:ascii="Arial" w:hAnsi="Arial" w:cs="Arial"/>
          <w:sz w:val="28"/>
          <w:szCs w:val="28"/>
          <w:lang w:val="es-ES"/>
        </w:rPr>
        <w:t xml:space="preserve"> los últimos párrafos de los artículos 228 y 229, del Código Procesal Administrativo para el Estado de San Luis Potosí, esta Sala practicó estudio oficioso de las causales de improcedencia y sobreseimiento, sin que advirtiera que en la especie se act</w:t>
      </w:r>
      <w:r w:rsidR="007C17FC" w:rsidRPr="005520F4">
        <w:rPr>
          <w:rFonts w:ascii="Arial" w:hAnsi="Arial" w:cs="Arial"/>
          <w:sz w:val="28"/>
          <w:szCs w:val="28"/>
          <w:lang w:val="es-ES"/>
        </w:rPr>
        <w:t>ualizara alguna, por lo que, en</w:t>
      </w:r>
      <w:r w:rsidRPr="005520F4">
        <w:rPr>
          <w:rFonts w:ascii="Arial" w:hAnsi="Arial" w:cs="Arial"/>
          <w:sz w:val="28"/>
          <w:szCs w:val="28"/>
          <w:lang w:val="es-ES"/>
        </w:rPr>
        <w:t xml:space="preserve">seguida se procede al estudio de los conceptos de impugnación que hizo valer el demandante en contra de la </w:t>
      </w:r>
      <w:r w:rsidR="007C17FC" w:rsidRPr="005520F4">
        <w:rPr>
          <w:rFonts w:ascii="Arial" w:hAnsi="Arial" w:cs="Arial"/>
          <w:sz w:val="28"/>
          <w:szCs w:val="28"/>
          <w:lang w:val="es-ES"/>
        </w:rPr>
        <w:t>determinación de baja o cese impugnada.</w:t>
      </w:r>
    </w:p>
    <w:p w:rsidR="00F25A2A" w:rsidRPr="005520F4" w:rsidRDefault="00F25A2A" w:rsidP="00120180">
      <w:pPr>
        <w:spacing w:before="240" w:after="240" w:line="360" w:lineRule="auto"/>
        <w:ind w:firstLine="709"/>
        <w:jc w:val="both"/>
        <w:rPr>
          <w:rFonts w:ascii="Arial" w:hAnsi="Arial" w:cs="Arial"/>
          <w:sz w:val="28"/>
          <w:szCs w:val="28"/>
        </w:rPr>
      </w:pPr>
      <w:r w:rsidRPr="00120180">
        <w:rPr>
          <w:rFonts w:ascii="Arial" w:hAnsi="Arial" w:cs="Arial"/>
          <w:b/>
          <w:sz w:val="28"/>
          <w:szCs w:val="28"/>
        </w:rPr>
        <w:t>QUINT</w:t>
      </w:r>
      <w:r w:rsidRPr="005520F4">
        <w:rPr>
          <w:rFonts w:ascii="Arial" w:hAnsi="Arial" w:cs="Arial"/>
          <w:b/>
          <w:sz w:val="28"/>
          <w:szCs w:val="28"/>
        </w:rPr>
        <w:t xml:space="preserve">O.- </w:t>
      </w:r>
      <w:r w:rsidRPr="005520F4">
        <w:rPr>
          <w:rFonts w:ascii="Arial" w:hAnsi="Arial" w:cs="Arial"/>
          <w:sz w:val="28"/>
          <w:szCs w:val="28"/>
          <w:lang w:val="es-ES"/>
        </w:rPr>
        <w:t xml:space="preserve">Los conceptos de impugnación que plantea el </w:t>
      </w:r>
      <w:r w:rsidR="00550B58" w:rsidRPr="005520F4">
        <w:rPr>
          <w:rFonts w:ascii="Arial" w:hAnsi="Arial" w:cs="Arial"/>
          <w:sz w:val="28"/>
          <w:szCs w:val="28"/>
          <w:lang w:val="es-ES"/>
        </w:rPr>
        <w:t>a</w:t>
      </w:r>
      <w:r w:rsidRPr="005520F4">
        <w:rPr>
          <w:rFonts w:ascii="Arial" w:hAnsi="Arial" w:cs="Arial"/>
          <w:sz w:val="28"/>
          <w:szCs w:val="28"/>
          <w:lang w:val="es-ES"/>
        </w:rPr>
        <w:t>ctor en su escri</w:t>
      </w:r>
      <w:r w:rsidR="00550B58">
        <w:rPr>
          <w:rFonts w:ascii="Arial" w:hAnsi="Arial" w:cs="Arial"/>
          <w:sz w:val="28"/>
          <w:szCs w:val="28"/>
          <w:lang w:val="es-ES"/>
        </w:rPr>
        <w:t>to de demanda, se localizan a foja 7</w:t>
      </w:r>
      <w:r w:rsidRPr="005520F4">
        <w:rPr>
          <w:rFonts w:ascii="Arial" w:hAnsi="Arial" w:cs="Arial"/>
          <w:sz w:val="28"/>
          <w:szCs w:val="28"/>
          <w:lang w:val="es-ES"/>
        </w:rPr>
        <w:t xml:space="preserve"> del expediente en que se actúa, los que por economía procesal se tienen aquí por reproducidos. Resulta aplicable por analogía </w:t>
      </w:r>
      <w:smartTag w:uri="urn:schemas-microsoft-com:office:smarttags" w:element="PersonName">
        <w:smartTagPr>
          <w:attr w:name="ProductID" w:val="la Tesis"/>
        </w:smartTagPr>
        <w:r w:rsidRPr="005520F4">
          <w:rPr>
            <w:rFonts w:ascii="Arial" w:hAnsi="Arial" w:cs="Arial"/>
            <w:sz w:val="28"/>
            <w:szCs w:val="28"/>
            <w:lang w:val="es-ES"/>
          </w:rPr>
          <w:t>la Tesis</w:t>
        </w:r>
      </w:smartTag>
      <w:r w:rsidRPr="005520F4">
        <w:rPr>
          <w:rFonts w:ascii="Arial" w:hAnsi="Arial" w:cs="Arial"/>
          <w:sz w:val="28"/>
          <w:szCs w:val="28"/>
          <w:lang w:val="es-ES"/>
        </w:rPr>
        <w:t xml:space="preserve"> de Jurisprudencia emitida por el Segundo Tribunal Colegiado del Sexto Circuito; publicada en la página 414, Tomo VI, Común, Jurisprudencia  TCC,  del Apéndice 2000, Novena Época, que a la letra dice lo siguiente:</w:t>
      </w:r>
    </w:p>
    <w:p w:rsidR="00F25A2A" w:rsidRPr="005520F4" w:rsidRDefault="00F25A2A" w:rsidP="00F25A2A">
      <w:pPr>
        <w:spacing w:before="240" w:line="240" w:lineRule="auto"/>
        <w:ind w:left="993"/>
        <w:jc w:val="both"/>
        <w:rPr>
          <w:rFonts w:ascii="Arial Narrow" w:hAnsi="Arial Narrow" w:cs="Arial"/>
        </w:rPr>
      </w:pPr>
      <w:r w:rsidRPr="005520F4">
        <w:rPr>
          <w:rFonts w:ascii="Arial Narrow" w:hAnsi="Arial Narrow" w:cs="Arial"/>
        </w:rPr>
        <w:t>“</w:t>
      </w:r>
      <w:r w:rsidRPr="005520F4">
        <w:rPr>
          <w:rFonts w:ascii="Arial Narrow" w:hAnsi="Arial Narrow" w:cs="Arial"/>
          <w:b/>
        </w:rPr>
        <w:t>CONCEPTOS DE VIOLACIÓN. EL JUEZ NO ESTÁ OBLIGADO A TRANSCRIBIRLOS</w:t>
      </w:r>
      <w:r w:rsidRPr="005520F4">
        <w:rPr>
          <w:rFonts w:ascii="Arial Narrow" w:hAnsi="Arial Narrow" w:cs="Arial"/>
        </w:rPr>
        <w:t xml:space="preserve">.-  El hecho de que el Juez  Federal  no  transcriba en su fallo los conceptos de violación expresados en la demanda, no implica que haya infringido disposiciones de </w:t>
      </w:r>
      <w:smartTag w:uri="urn:schemas-microsoft-com:office:smarttags" w:element="PersonName">
        <w:smartTagPr>
          <w:attr w:name="ProductID" w:val="la Ley"/>
        </w:smartTagPr>
        <w:r w:rsidRPr="005520F4">
          <w:rPr>
            <w:rFonts w:ascii="Arial Narrow" w:hAnsi="Arial Narrow" w:cs="Arial"/>
          </w:rPr>
          <w:t>la Ley</w:t>
        </w:r>
      </w:smartTag>
      <w:r w:rsidRPr="005520F4">
        <w:rPr>
          <w:rFonts w:ascii="Arial Narrow" w:hAnsi="Arial Narrow" w:cs="Arial"/>
        </w:rPr>
        <w:t xml:space="preserve">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 en su caso, la ilegalidad de la misma.”</w:t>
      </w:r>
    </w:p>
    <w:p w:rsidR="00F25A2A" w:rsidRPr="005520F4" w:rsidRDefault="00F25A2A" w:rsidP="00F25A2A">
      <w:pPr>
        <w:spacing w:before="240" w:after="240" w:line="360" w:lineRule="auto"/>
        <w:ind w:right="51" w:firstLine="709"/>
        <w:jc w:val="both"/>
        <w:rPr>
          <w:sz w:val="28"/>
          <w:szCs w:val="28"/>
        </w:rPr>
      </w:pPr>
      <w:r w:rsidRPr="005520F4">
        <w:rPr>
          <w:rFonts w:ascii="Arial" w:hAnsi="Arial" w:cs="Arial"/>
          <w:b/>
          <w:sz w:val="28"/>
          <w:szCs w:val="28"/>
        </w:rPr>
        <w:t>SEXTO.-</w:t>
      </w:r>
      <w:r w:rsidRPr="005520F4">
        <w:rPr>
          <w:b/>
          <w:sz w:val="28"/>
          <w:szCs w:val="28"/>
        </w:rPr>
        <w:t xml:space="preserve"> </w:t>
      </w:r>
      <w:r w:rsidRPr="005520F4">
        <w:rPr>
          <w:rFonts w:ascii="Arial" w:hAnsi="Arial" w:cs="Arial"/>
          <w:sz w:val="28"/>
          <w:szCs w:val="28"/>
          <w:lang w:val="es-ES"/>
        </w:rPr>
        <w:t xml:space="preserve">A juicio de la Suscrita Magistrada el único concepto de impugnación planteado por el Actor en la demanda, </w:t>
      </w:r>
      <w:r w:rsidRPr="005520F4">
        <w:rPr>
          <w:rFonts w:ascii="Arial" w:hAnsi="Arial" w:cs="Arial"/>
          <w:sz w:val="28"/>
          <w:szCs w:val="28"/>
          <w:lang w:val="es-ES"/>
        </w:rPr>
        <w:lastRenderedPageBreak/>
        <w:t>resulta esencialmente fundado y suficiente para declarar la ilegalidad y nulidad del acto impugnado, en virtud de las consideraciones que a continuación se exponen.</w:t>
      </w:r>
    </w:p>
    <w:p w:rsidR="00863E65" w:rsidRPr="005520F4" w:rsidRDefault="00F25A2A" w:rsidP="00ED5968">
      <w:pPr>
        <w:spacing w:before="240" w:after="240" w:line="360" w:lineRule="auto"/>
        <w:ind w:right="51" w:firstLine="709"/>
        <w:jc w:val="both"/>
        <w:rPr>
          <w:sz w:val="28"/>
          <w:szCs w:val="28"/>
        </w:rPr>
      </w:pPr>
      <w:r w:rsidRPr="005520F4">
        <w:rPr>
          <w:rFonts w:ascii="Arial" w:hAnsi="Arial" w:cs="Arial"/>
          <w:sz w:val="28"/>
          <w:szCs w:val="28"/>
          <w:lang w:val="es-ES"/>
        </w:rPr>
        <w:t xml:space="preserve">En el único concepto de impugnación </w:t>
      </w:r>
      <w:r w:rsidR="00863E65" w:rsidRPr="005520F4">
        <w:rPr>
          <w:rFonts w:ascii="Arial" w:hAnsi="Arial" w:cs="Arial"/>
          <w:sz w:val="28"/>
          <w:szCs w:val="28"/>
          <w:lang w:val="es-ES"/>
        </w:rPr>
        <w:t>que denomina “razones por las que se impugna el acto o resolución”</w:t>
      </w:r>
      <w:r w:rsidRPr="005520F4">
        <w:rPr>
          <w:rFonts w:ascii="Arial" w:hAnsi="Arial" w:cs="Arial"/>
          <w:sz w:val="28"/>
          <w:szCs w:val="28"/>
          <w:lang w:val="es-ES"/>
        </w:rPr>
        <w:t xml:space="preserve">, </w:t>
      </w:r>
      <w:r w:rsidR="00863E65" w:rsidRPr="005520F4">
        <w:rPr>
          <w:rFonts w:ascii="Arial" w:hAnsi="Arial" w:cs="Arial"/>
          <w:sz w:val="28"/>
          <w:szCs w:val="28"/>
          <w:lang w:val="es-ES"/>
        </w:rPr>
        <w:t>el actor</w:t>
      </w:r>
      <w:r w:rsidRPr="005520F4">
        <w:rPr>
          <w:rFonts w:ascii="Arial" w:hAnsi="Arial" w:cs="Arial"/>
          <w:sz w:val="28"/>
          <w:szCs w:val="28"/>
          <w:lang w:val="es-ES"/>
        </w:rPr>
        <w:t xml:space="preserve"> aduce que la baja </w:t>
      </w:r>
      <w:r w:rsidR="00863E65" w:rsidRPr="005520F4">
        <w:rPr>
          <w:rFonts w:ascii="Arial" w:hAnsi="Arial" w:cs="Arial"/>
          <w:sz w:val="28"/>
          <w:szCs w:val="28"/>
          <w:lang w:val="es-ES"/>
        </w:rPr>
        <w:t xml:space="preserve">o cese </w:t>
      </w:r>
      <w:r w:rsidRPr="005520F4">
        <w:rPr>
          <w:rFonts w:ascii="Arial" w:hAnsi="Arial" w:cs="Arial"/>
          <w:sz w:val="28"/>
          <w:szCs w:val="28"/>
          <w:lang w:val="es-ES"/>
        </w:rPr>
        <w:t>de que fue objeto es ilegal</w:t>
      </w:r>
      <w:r w:rsidR="00863E65" w:rsidRPr="005520F4">
        <w:rPr>
          <w:rFonts w:ascii="Arial" w:hAnsi="Arial" w:cs="Arial"/>
          <w:sz w:val="28"/>
          <w:szCs w:val="28"/>
          <w:lang w:val="es-ES"/>
        </w:rPr>
        <w:t xml:space="preserve"> y violatorio de las garantías de legalidad, debido proceso y seguridad jurídica consagrados en los artículos 14 y 16 Constitucionales</w:t>
      </w:r>
      <w:r w:rsidRPr="005520F4">
        <w:rPr>
          <w:rFonts w:ascii="Arial" w:hAnsi="Arial" w:cs="Arial"/>
          <w:sz w:val="28"/>
          <w:szCs w:val="28"/>
          <w:lang w:val="es-ES"/>
        </w:rPr>
        <w:t xml:space="preserve">, porque </w:t>
      </w:r>
      <w:r w:rsidR="00863E65" w:rsidRPr="005520F4">
        <w:rPr>
          <w:rFonts w:ascii="Arial" w:hAnsi="Arial" w:cs="Arial"/>
          <w:sz w:val="28"/>
          <w:szCs w:val="28"/>
          <w:lang w:val="es-ES"/>
        </w:rPr>
        <w:t>jamás fue notificado ni llamado legalmente para asistir a audiencia alguna en que se dieran a conocer faltas o causales que ameritaran la sanción de baja, ni mucho menos la oportunidad de ejercer su garantía de audiencia en la que pudiera ofrecer pruebas y realizar alegatos a su favor, tal como lo dispone la Ley del Sistema de Seguridad Pública del Estado y el Reglamento de la Comisión de Honor y Justicia, del cual jamás se le notificó</w:t>
      </w:r>
      <w:r w:rsidR="00863E65" w:rsidRPr="005520F4">
        <w:rPr>
          <w:sz w:val="28"/>
          <w:szCs w:val="28"/>
        </w:rPr>
        <w:t>.</w:t>
      </w:r>
    </w:p>
    <w:p w:rsidR="000B6397" w:rsidRPr="005520F4" w:rsidRDefault="00550B58" w:rsidP="00ED5968">
      <w:pPr>
        <w:spacing w:before="240" w:after="240" w:line="360" w:lineRule="auto"/>
        <w:ind w:right="51" w:firstLine="709"/>
        <w:jc w:val="both"/>
        <w:rPr>
          <w:rFonts w:ascii="Arial" w:hAnsi="Arial" w:cs="Arial"/>
          <w:sz w:val="28"/>
          <w:szCs w:val="28"/>
          <w:lang w:val="es-ES"/>
        </w:rPr>
      </w:pPr>
      <w:r>
        <w:rPr>
          <w:rFonts w:ascii="Arial" w:hAnsi="Arial" w:cs="Arial"/>
          <w:sz w:val="28"/>
          <w:szCs w:val="28"/>
          <w:lang w:val="es-ES"/>
        </w:rPr>
        <w:t>Que el demandado cesó</w:t>
      </w:r>
      <w:r w:rsidR="00863E65" w:rsidRPr="005520F4">
        <w:rPr>
          <w:rFonts w:ascii="Arial" w:hAnsi="Arial" w:cs="Arial"/>
          <w:sz w:val="28"/>
          <w:szCs w:val="28"/>
          <w:lang w:val="es-ES"/>
        </w:rPr>
        <w:t xml:space="preserve"> injustificadamente de su trabajo al actor sin seguir las formalidades esenciales del procedimiento a que se refiere el artículo 126 de la Ley del Sistema de Seguridad Pública del Estado y el Reglamento de la Comisión de Honor y Justicia, pues omitió expedir y notificar la citación en que se le llamara al procedimiento administrativo ante la Comisión de Honor y Justicia</w:t>
      </w:r>
      <w:r w:rsidR="000B6397" w:rsidRPr="005520F4">
        <w:rPr>
          <w:rFonts w:ascii="Arial" w:hAnsi="Arial" w:cs="Arial"/>
          <w:sz w:val="28"/>
          <w:szCs w:val="28"/>
          <w:lang w:val="es-ES"/>
        </w:rPr>
        <w:t>, omitiendo también levantar el acta administrativa correspondiente, además de omitir comunicar y hacer entrega de documento alguno que contuviera por escrito de fecha, causa o causas de baja en la que se determinaran las causales por las cuales se le despedía.</w:t>
      </w:r>
    </w:p>
    <w:p w:rsidR="000B6397" w:rsidRPr="005520F4" w:rsidRDefault="000B6397" w:rsidP="00ED5968">
      <w:pPr>
        <w:spacing w:before="240" w:after="240" w:line="360" w:lineRule="auto"/>
        <w:ind w:right="51" w:firstLine="709"/>
        <w:jc w:val="both"/>
        <w:rPr>
          <w:sz w:val="28"/>
          <w:szCs w:val="28"/>
        </w:rPr>
      </w:pPr>
      <w:r w:rsidRPr="005520F4">
        <w:rPr>
          <w:rFonts w:ascii="Arial" w:hAnsi="Arial" w:cs="Arial"/>
          <w:sz w:val="28"/>
          <w:szCs w:val="28"/>
          <w:lang w:val="es-ES"/>
        </w:rPr>
        <w:t xml:space="preserve">Por su parte, las autoridades demandadas en contestación a los argumentos del actor aducen que no existe violación a ningún precepto legal porque si existió el procedimiento administrativo que llevo a cabo la Comisión de Honor y Justicia, en el cual se determinó el cese, en virtud de que eran constantes sus faltas a la responsabilidad encomendada como elemento </w:t>
      </w:r>
      <w:r w:rsidRPr="005520F4">
        <w:rPr>
          <w:rFonts w:ascii="Arial" w:hAnsi="Arial" w:cs="Arial"/>
          <w:sz w:val="28"/>
          <w:szCs w:val="28"/>
          <w:lang w:val="es-ES"/>
        </w:rPr>
        <w:lastRenderedPageBreak/>
        <w:t xml:space="preserve">activo de la Dirección de Seguridad Pública y Tránsito Municipal, pues se envió citatorio al actor para que compareciera al inicio del procedimiento el cual se negó a firmar, luego se determinó su cese, el cual también se le notificó en forma legal (sic), pero también se negó a recibir dicha notificación (sic), pero que del escrito de demanda se advierte su confesión de haber sido sancionado en dos ocasiones por haber incurrido en faltas sin haber solicitado permiso, por lo cual no existe </w:t>
      </w:r>
      <w:r w:rsidR="00ED5968" w:rsidRPr="005520F4">
        <w:rPr>
          <w:rFonts w:ascii="Arial" w:hAnsi="Arial" w:cs="Arial"/>
          <w:sz w:val="28"/>
          <w:szCs w:val="28"/>
          <w:lang w:val="es-ES"/>
        </w:rPr>
        <w:t>violación alguna de sus derechos</w:t>
      </w:r>
      <w:r w:rsidR="00ED5968" w:rsidRPr="005520F4">
        <w:rPr>
          <w:sz w:val="28"/>
          <w:szCs w:val="28"/>
        </w:rPr>
        <w:t>.</w:t>
      </w:r>
    </w:p>
    <w:p w:rsidR="00F25A2A" w:rsidRPr="005520F4" w:rsidRDefault="00ED5968" w:rsidP="00ED5968">
      <w:pPr>
        <w:spacing w:before="240" w:after="240" w:line="360" w:lineRule="auto"/>
        <w:ind w:right="51" w:firstLine="709"/>
        <w:jc w:val="both"/>
        <w:rPr>
          <w:rFonts w:ascii="Arial" w:hAnsi="Arial" w:cs="Arial"/>
          <w:sz w:val="28"/>
          <w:szCs w:val="28"/>
          <w:lang w:val="es-ES"/>
        </w:rPr>
      </w:pPr>
      <w:r w:rsidRPr="005520F4">
        <w:rPr>
          <w:rFonts w:ascii="Arial" w:hAnsi="Arial" w:cs="Arial"/>
          <w:sz w:val="28"/>
          <w:szCs w:val="28"/>
          <w:lang w:val="es-ES"/>
        </w:rPr>
        <w:t>Una vez analizados los argumentos de las partes así como las constancias de autos, esta Sala Unitaria estima que, c</w:t>
      </w:r>
      <w:r w:rsidR="00F25A2A" w:rsidRPr="005520F4">
        <w:rPr>
          <w:rFonts w:ascii="Arial" w:hAnsi="Arial" w:cs="Arial"/>
          <w:sz w:val="28"/>
          <w:szCs w:val="28"/>
          <w:lang w:val="es-ES"/>
        </w:rPr>
        <w:t xml:space="preserve">omo se adelantó el argumento </w:t>
      </w:r>
      <w:r w:rsidRPr="005520F4">
        <w:rPr>
          <w:rFonts w:ascii="Arial" w:hAnsi="Arial" w:cs="Arial"/>
          <w:sz w:val="28"/>
          <w:szCs w:val="28"/>
          <w:lang w:val="es-ES"/>
        </w:rPr>
        <w:t xml:space="preserve">del actor </w:t>
      </w:r>
      <w:r w:rsidR="00F25A2A" w:rsidRPr="005520F4">
        <w:rPr>
          <w:rFonts w:ascii="Arial" w:hAnsi="Arial" w:cs="Arial"/>
          <w:sz w:val="28"/>
          <w:szCs w:val="28"/>
          <w:lang w:val="es-ES"/>
        </w:rPr>
        <w:t>es fundado</w:t>
      </w:r>
      <w:r w:rsidRPr="005520F4">
        <w:rPr>
          <w:rFonts w:ascii="Arial" w:hAnsi="Arial" w:cs="Arial"/>
          <w:sz w:val="28"/>
          <w:szCs w:val="28"/>
          <w:lang w:val="es-ES"/>
        </w:rPr>
        <w:t xml:space="preserve"> y suficiente para declarar la nulidad de la baja impugnada, con base en lo siguiente</w:t>
      </w:r>
      <w:r w:rsidR="00F25A2A" w:rsidRPr="005520F4">
        <w:rPr>
          <w:rFonts w:ascii="Arial" w:hAnsi="Arial" w:cs="Arial"/>
          <w:sz w:val="28"/>
          <w:szCs w:val="28"/>
          <w:lang w:val="es-ES"/>
        </w:rPr>
        <w:t>.</w:t>
      </w:r>
    </w:p>
    <w:p w:rsidR="00F25A2A" w:rsidRPr="005520F4" w:rsidRDefault="00ED5968" w:rsidP="00671186">
      <w:pPr>
        <w:spacing w:before="240" w:after="240" w:line="360" w:lineRule="auto"/>
        <w:ind w:right="51" w:firstLine="709"/>
        <w:jc w:val="both"/>
        <w:rPr>
          <w:rFonts w:ascii="Arial" w:hAnsi="Arial" w:cs="Arial"/>
          <w:sz w:val="28"/>
          <w:szCs w:val="28"/>
          <w:lang w:val="es-ES"/>
        </w:rPr>
      </w:pPr>
      <w:r w:rsidRPr="005520F4">
        <w:rPr>
          <w:rFonts w:ascii="Arial" w:hAnsi="Arial" w:cs="Arial"/>
          <w:sz w:val="28"/>
          <w:szCs w:val="28"/>
          <w:lang w:val="es-ES"/>
        </w:rPr>
        <w:t>L</w:t>
      </w:r>
      <w:r w:rsidR="00F25A2A" w:rsidRPr="005520F4">
        <w:rPr>
          <w:rFonts w:ascii="Arial" w:hAnsi="Arial" w:cs="Arial"/>
          <w:sz w:val="28"/>
          <w:szCs w:val="28"/>
          <w:lang w:val="es-ES"/>
        </w:rPr>
        <w:t xml:space="preserve">os artículos 114, 119, 125 y 126 de la Ley del Sistema de Seguridad Pública del Estado de San Luis Potosí, </w:t>
      </w:r>
      <w:r w:rsidR="00D00750" w:rsidRPr="005520F4">
        <w:rPr>
          <w:rFonts w:ascii="Arial" w:hAnsi="Arial" w:cs="Arial"/>
          <w:sz w:val="28"/>
          <w:szCs w:val="28"/>
          <w:lang w:val="es-ES"/>
        </w:rPr>
        <w:t xml:space="preserve">aplicables al presente asunto en términos de lo dispuesto en el último párrafo del artículo 124 de dicha Ley, </w:t>
      </w:r>
      <w:r w:rsidR="00F25A2A" w:rsidRPr="005520F4">
        <w:rPr>
          <w:rFonts w:ascii="Arial" w:hAnsi="Arial" w:cs="Arial"/>
          <w:sz w:val="28"/>
          <w:szCs w:val="28"/>
          <w:lang w:val="es-ES"/>
        </w:rPr>
        <w:t>son del tenor literal siguiente:</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“ARTICULO 114. Las sanciones disciplinarias aplicables por la Comisión de Honor y Justicia son:</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I. Amonestación;</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II. Suspensión temporal de funciones hasta por noventa días, y</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III. Remoción, o destitución del cargo.”</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“ARTICULO 119. La Comisión de Honor y Justicia es un órgano colegiado de carácter permanente, encargado de conocer e imponer, en su caso, las sanciones correspondientes por infracciones o faltas previstas en la Ley, sus reglamentos, o a los ordenamientos jurídicos de la materia, cometidas por los integrantes de los cuerpos de seguridad.</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Además, evaluar el otorgamiento de reconocimientos y condecoraciones, en su caso.”</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“ARTICULO 125. En materia disciplinaria la Comisión de Honor y Justicia tendrá las atribuciones siguientes:</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I. Sustanciar los procedimientos disciplinarios por incumplimiento a los deberes u obligaciones de los integrantes, preservando el derecho a la garantía de audiencia y el principio de presunción de inocencia;</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II. Sancionar a los integrantes por incumplimiento a los deberes previstos en la presente Ley y disposiciones aplicables;</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lastRenderedPageBreak/>
        <w:t>III. Dictar las medidas necesarias para el despacho pronto y expedito de los asuntos de su competencia;</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IV. Certificar por conducto del secretario, copias de las constancias documentales que obren en su poder con motivo de la sustanciación de los procedimientos disciplinarios;</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V. Aplicar los medios de apremio previstos en esta Ley, y</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VI. Las demás que le señalen la presente Ley y demás disposiciones legales que de ella deriven.”</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“ARTICULO 126. En cualquier supuesto que amerite sanción, se deberá respetar en todo momento las garantías de, audiencia, debido proceso, y principio de presunción de inocencia.</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En consecuencia, cualquier infracción, ya sea que se cometa por acción u omisión, que constituya responsabilidad en el desempeño de sus funciones o incumplimiento de sus deberes, de acuerdo a la presente Ley, sus reglamentos, o a los ordenamientos jurídicos de la materia, se someterá ante la Comisión de Honor y Justicia, conforme al siguiente procedimiento:</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l. Se iniciará por solicitud escrita presentada por el titular de la Unidad de Asuntos Internos de las instituciones de seguridad pública, en los términos de sus ordenamientos.</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La solicitud deberá contener lugar, fecha, y la imputación que se atribuye al probable infractor; pruebas que sustenten la imputación, motivación para su formulación, y fundamentación de la infracción que se imputa;</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II. La Comisión de Honor y Justicia dentro de las veinticuatro horas siguientes, contadas a partir del momento en que reciba la solicitud, por conducto de su presidente, asignará el número progresivo que corresponda al expediente y dictará acuerdo de radicación, en el que señalará día y hora para la celebración de una audiencia, que deberá efectuarse dentro de los treinta días hábiles siguientes al que se haya dictado el acuerdo.</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En el mismo acuerdo, la Comisión de Honor y Justicia, por conducto de su presidente acordará:</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a) Se notifique personalmente al probable infractor, y a los integrantes de la Comisión de Honor y Justicia, cuando menos con diez días de anticipación a la audiencia.</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b) Que en el acto de notificación, al probable infractor se le entregue copia cotejada del escrito de solicitud, así como de las constancias y actuaciones que obren en el expediente.</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Con respecto de la información reservada o confidencial prevista en la fracción III del presente artículo, únicamente se le permitirá consultarla en el local de la instancia y ante la presencia del personal actuante que para tal efecto designe el Presidente, pudiendo en tal caso tomar las anotaciones que considere pertinentes.</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c) Se apercibirá al probable infractor que la imputación se tendrá por consentida y aceptada, y por perdido el derecho de ofrecer pruebas, si no concurre a la audiencia por causa injustificada.</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d) Se haga saber al presunto infractor el derecho que tiene para exponer su defensa por sí mismo; o bien, para asistirse de un abogado durante la sustanciación del procedimiento, de un abogado, así como para ofrecer las pruebas que a su derecho convenga.</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e) En el procedimiento ante la Comisión de Honor y Justicia no se admite la representación, por lo que el presunto responsable debe comparecer en forma personal e insustituible, a declarar sobre las imputaciones que se le hagan respecto a hechos propios, relacionados con actos u omisiones que podrían constituir infracciones a sus deberes.</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f) La comparecencia podrá ser por escrito, la cual en todo caso, tendrá que ser ratificada durante la audiencia por el presunto infractor.</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lastRenderedPageBreak/>
        <w:t>En el escrito de comparecencia el probable infractor ofrecerá y acompañará sus pruebas, relacionándolas con los puntos controvertidos, siendo admisibles toda clase de pruebas, con excepción de la confesional mediante absolución de posiciones, o aquéllas que sean contrarias a la moral o al derecho.</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Los testigos, que no podrán exceder de dos por cada hecho, deberán ser presentados por el oferente, debidamente identificados mediante documento oficial con fotografía reciente. La prueba testimonial se declarará desierta si los testigos no comparecen a la audiencia.</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El oferente de la prueba deberá exhibir el interrogatorio correspondiente, debidamente firmado, y copia del mismo para cada una de las demás partes, a fin de que estén en aptitud de formular repreguntas, las cuales, en su caso, deberán hacer en el momento en que se desahogue la prueba, sin que puedan exceder de dos por cada directa.</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El oferente no podrá formular a los testigos más preguntas de las contenidas en el interrogatorio respectivo; el presidente por sí o a solicitud de los integrantes de la Comisión de Honor y Justicia, podrá requerir a los declarantes para que amplíen su contestación, o formularles de manera directa las preguntas que estime pertinentes en relación con los hechos de su testimonio.</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g) Las autoridades tienen obligación de expedir, a costa del probable infractor, las copias de los documentos que les soliciten a fin de que puedan rendir sus pruebas; si no lo hicieran, el día de la audiencia la Comisión de Honor y Justicia a solicitud del probable infractor, y previa justificación de que hizo la solicitud correspondiente cuando menos tres días hábiles antes de la celebración de la audiencia, acordará que por medio de su presidente se requiera a la autoridad la expedición de las copias, apercibiendo de la aplicación de los medios de apremio en caso de incumplimiento;</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III. Se considerará como reservada o confidencial, la información que pueda comprometer la seguridad pública; poner en riesgo la vida, la seguridad o la salud de cualquier persona; causar un serio perjuicio a las actividades de verificación del cumplimiento de las leyes, prevención o persecución de delitos; la impartición de justicia; la recaudación de contribuciones; y aquélla que sea considerada como tal por la ley.</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La resolución que clasifique la información como confidencial deberá estar debidamente fundada; y tal carácter no podrá ser impedimento para que dicha información sea puesta a disposición de las autoridades jurisdiccionales competentes;</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IV. La notificación al probable infractor se realizará en forma personal en el domicilio oficial de la adscripción del presunto infractor, en el último que hubiera aportado, o en el lugar en el que se encuentre físicamente.</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El probable infractor, en el primer escrito que presente ante la Comisión de Honor y Justicia, está obligado a señalar domicilio para oír y recibir notificaciones en la ciudad en la que resida la Comisión de Honor y Justicia, apercibiéndolo de que en caso de no hacerlo, las subsecuentes notificaciones se realizarán por medio de estrados en lugar visible al público, dentro de las instalaciones que ocupe la propia Comisión.</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La audiencia podrá diferirse por causas de fuerza mayor, plenamente acreditada en autos, en cuyo caso deberá notificarse personalmente a las partes la resolución fundada y motivada que así lo determine, así como la nueva fecha y hora fijadas para la celebración de la audiencia; el diferimiento podrá ser acordado por el presidente o por el pleno de la Comisión de Honor y Justicia;</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V. El día y hora señalados para la celebración de la audiencia a la que se refieren las fracciones II y</w:t>
      </w:r>
      <w:r w:rsidR="00D00750" w:rsidRPr="005520F4">
        <w:rPr>
          <w:rFonts w:ascii="Arial Narrow" w:hAnsi="Arial Narrow" w:cs="Arial"/>
        </w:rPr>
        <w:t xml:space="preserve"> </w:t>
      </w:r>
      <w:r w:rsidRPr="005520F4">
        <w:rPr>
          <w:rFonts w:ascii="Arial Narrow" w:hAnsi="Arial Narrow" w:cs="Arial"/>
        </w:rPr>
        <w:t>IV del presente artículo, se procederá conforme a lo siguiente:</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a) El presidente solicitará al Secretario tome lista de asistentes, para verificar el quórum para sesionar.</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 xml:space="preserve">Una vez verificado el quórum, el presidente declarará formalmente abierta la sesión y, enseguida, el secretario dará cuenta de la asistencia o no del presunto infractor. En caso de haber comparecido, tomará las generales del presunto infractor y de su defensor; protestando al primero conducirse con verdad, y advirtiéndole de los delitos que comete quien declara falsamente ante una Autoridad administrativa, y discerniéndole el cargo al </w:t>
      </w:r>
      <w:r w:rsidRPr="005520F4">
        <w:rPr>
          <w:rFonts w:ascii="Arial Narrow" w:hAnsi="Arial Narrow" w:cs="Arial"/>
        </w:rPr>
        <w:lastRenderedPageBreak/>
        <w:t>segundo. Acto seguido procederá a dar lectura a las constancias relativas a la imputación y datos de cargo, con la finalidad de hacer saber al presunto infractor los hechos que se le atribuyen.</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b) En caso de no haber comparecido el presunto infractor, verificándose su legal emplazamiento, de oficio se hará efectivo el apercibimiento a que se refieren las fracciones II y IV del presente artículo, y seguirá el procedimiento en rebeldía.</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c) A continuación se concederá el uso de la palabra al presunto infractor, para que por sí o por medio de su abogado, expongan lo que a su derecho convenga, y ofrezcan las pruebas que estimen pertinentes, o bien ratifique el contenido de su escrito de comparecencia.</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d) Concluida la exposición del probable infractor, la Comisión de Honor y Justicia resolverá cuáles pruebas son admitidas, o desechadas por no tener relación con los hechos, ser inconducentes o contrarias a derecho; haciendo constar su determinación en el acuerdo respectivo, que firmarán los asistentes para efectos de notificación.</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e) Los miembros de la instancia están facultados para cuestionar a los comparecientes; solicitar informes u otros elementos de prueba, por conducto del secretario, previa autorización del presidente, con la finalidad de allegarse de datos necesarios para el esclarecimiento del asunto.</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f) Los integrantes de la Comisión de Honor y Justicia, por conducto del secretario y previa autorización del presidente, podrán formular preguntas al presunto infractor, solicitar informes u otros elementos de prueba que estimen pertinentes, con la finalidad de allegarse los datos necesarios para el conocimiento del asunto.</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g) Contra la determinación de la Comisión de Honor y Justicia, por la que se resuelva lo relativo a las pruebas, no procede medio de defensa alguno, y en todo caso, se podrá combatir dentro de los medios de defensa que procedan contra la resolución definitiva del procedimiento;</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VI. Si las pruebas ofrecidas admitidas requieren preparación, el presidente establecerá un término probatorio de quince días para su desahogo. En caso contrario, se declarará agotada la instrucción y dará curso al procedimiento;</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VII. En la misma audiencia y una vez desahogadas las pruebas, se concederá al probable infractor el derecho de defenderse por sí o por conducto de su abogado defensor; concluida ésta se dará por terminada la audiencia, declarándose cerrada la instrucción.</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La Comisión de Honor y Justicia dentro de los diez días hábiles siguientes deberá emitir la resolución, la cual se notificará personalmente al interesado, por conducto del personal que la Comisión designe expresamente en la propia resolución.</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Al presunto responsable declarado en rebeldía, se le notificará por estrados, surtiendo desde ese momento sus efectos.</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En el caso de que exista imposibilidad material debidamente fundada y motivada, para practicar personalmente la notificación de la resolución definitiva, se emitirá acuerdo por el presidente de la comisión, en el que ordene la notificación de ese acuerdo y de la resolución definitiva por medio de estrados.</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La resolución definitiva que dicte la Comisión de Honor y Justicia deberá estar debidamente fundada y motivada; contener una relación sucinta de los hechos; así como una valoración de todas y cada una de las pruebas aportadas, y</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VIII. La valoración de las pruebas se hará de acuerdo con las siguientes reglas:</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t>a) Harán prueba plena la confesión expresa del probable responsable y los actos contenidos en documentos públicos, si en éstos últimos se contienen declaraciones de verdad o manifestaciones de hechos de particulares; los documentos sólo probarán plenamente que ante la autoridad que los expidió se hicieron tales declaraciones o manifestaciones, pero no acreditarán la verdad de lo declarado o manifestado.</w:t>
      </w:r>
    </w:p>
    <w:p w:rsidR="00F25A2A" w:rsidRPr="005520F4" w:rsidRDefault="00F25A2A" w:rsidP="00D00750">
      <w:pPr>
        <w:spacing w:before="240" w:line="240" w:lineRule="auto"/>
        <w:ind w:left="993"/>
        <w:jc w:val="both"/>
        <w:rPr>
          <w:rFonts w:ascii="Arial Narrow" w:hAnsi="Arial Narrow" w:cs="Arial"/>
        </w:rPr>
      </w:pPr>
      <w:r w:rsidRPr="005520F4">
        <w:rPr>
          <w:rFonts w:ascii="Arial Narrow" w:hAnsi="Arial Narrow" w:cs="Arial"/>
        </w:rPr>
        <w:lastRenderedPageBreak/>
        <w:t>b) El valor de la pericial y testimonial, así como el de las demás pruebas, quedará a la prudente y razonada apreciación de la Comisión de Honor y Justicia.”</w:t>
      </w:r>
    </w:p>
    <w:p w:rsidR="00F25A2A" w:rsidRPr="005520F4" w:rsidRDefault="00F25A2A" w:rsidP="00D00750">
      <w:pPr>
        <w:spacing w:before="240" w:after="240" w:line="360" w:lineRule="auto"/>
        <w:ind w:right="51" w:firstLine="709"/>
        <w:jc w:val="both"/>
        <w:rPr>
          <w:rFonts w:ascii="Arial" w:hAnsi="Arial" w:cs="Arial"/>
          <w:sz w:val="28"/>
          <w:szCs w:val="28"/>
          <w:lang w:val="es-ES"/>
        </w:rPr>
      </w:pPr>
      <w:r w:rsidRPr="005520F4">
        <w:rPr>
          <w:rFonts w:ascii="Arial" w:hAnsi="Arial" w:cs="Arial"/>
          <w:sz w:val="28"/>
          <w:szCs w:val="28"/>
          <w:lang w:val="es-ES"/>
        </w:rPr>
        <w:t xml:space="preserve">De la lectura de los citados preceptos, </w:t>
      </w:r>
      <w:r w:rsidR="00D00750" w:rsidRPr="005520F4">
        <w:rPr>
          <w:rFonts w:ascii="Arial" w:hAnsi="Arial" w:cs="Arial"/>
          <w:sz w:val="28"/>
          <w:szCs w:val="28"/>
          <w:lang w:val="es-ES"/>
        </w:rPr>
        <w:t xml:space="preserve">entre otras cosas, </w:t>
      </w:r>
      <w:r w:rsidRPr="005520F4">
        <w:rPr>
          <w:rFonts w:ascii="Arial" w:hAnsi="Arial" w:cs="Arial"/>
          <w:sz w:val="28"/>
          <w:szCs w:val="28"/>
          <w:lang w:val="es-ES"/>
        </w:rPr>
        <w:t>se desprende:</w:t>
      </w:r>
    </w:p>
    <w:p w:rsidR="00F25A2A" w:rsidRPr="00550B58" w:rsidRDefault="00F25A2A" w:rsidP="00F25A2A">
      <w:pPr>
        <w:numPr>
          <w:ilvl w:val="0"/>
          <w:numId w:val="6"/>
        </w:numPr>
        <w:spacing w:before="240" w:after="240" w:line="360" w:lineRule="auto"/>
        <w:jc w:val="both"/>
        <w:rPr>
          <w:rFonts w:ascii="Arial" w:hAnsi="Arial" w:cs="Arial"/>
          <w:sz w:val="28"/>
        </w:rPr>
      </w:pPr>
      <w:r w:rsidRPr="00550B58">
        <w:rPr>
          <w:rFonts w:ascii="Arial" w:hAnsi="Arial" w:cs="Arial"/>
          <w:sz w:val="28"/>
        </w:rPr>
        <w:t xml:space="preserve">Que la remoción o destitución del cargo es una sanción que compete únicamente a </w:t>
      </w:r>
      <w:smartTag w:uri="urn:schemas-microsoft-com:office:smarttags" w:element="PersonName">
        <w:smartTagPr>
          <w:attr w:name="ProductID" w:val="la Comisi￳n"/>
        </w:smartTagPr>
        <w:r w:rsidRPr="00550B58">
          <w:rPr>
            <w:rFonts w:ascii="Arial" w:hAnsi="Arial" w:cs="Arial"/>
            <w:sz w:val="28"/>
          </w:rPr>
          <w:t>la Comisión</w:t>
        </w:r>
      </w:smartTag>
      <w:r w:rsidRPr="00550B58">
        <w:rPr>
          <w:rFonts w:ascii="Arial" w:hAnsi="Arial" w:cs="Arial"/>
          <w:sz w:val="28"/>
        </w:rPr>
        <w:t xml:space="preserve"> de Honor y Justicia;</w:t>
      </w:r>
    </w:p>
    <w:p w:rsidR="00F25A2A" w:rsidRPr="00550B58" w:rsidRDefault="00F25A2A" w:rsidP="00F25A2A">
      <w:pPr>
        <w:numPr>
          <w:ilvl w:val="0"/>
          <w:numId w:val="6"/>
        </w:numPr>
        <w:spacing w:before="240" w:after="240" w:line="360" w:lineRule="auto"/>
        <w:jc w:val="both"/>
        <w:rPr>
          <w:rFonts w:ascii="Arial" w:hAnsi="Arial" w:cs="Arial"/>
          <w:sz w:val="28"/>
        </w:rPr>
      </w:pPr>
      <w:r w:rsidRPr="00550B58">
        <w:rPr>
          <w:rFonts w:ascii="Arial" w:hAnsi="Arial" w:cs="Arial"/>
          <w:sz w:val="28"/>
        </w:rPr>
        <w:t xml:space="preserve">Que </w:t>
      </w:r>
      <w:smartTag w:uri="urn:schemas-microsoft-com:office:smarttags" w:element="PersonName">
        <w:smartTagPr>
          <w:attr w:name="ProductID" w:val="la Comisi￳n"/>
        </w:smartTagPr>
        <w:r w:rsidRPr="00550B58">
          <w:rPr>
            <w:rFonts w:ascii="Arial" w:hAnsi="Arial" w:cs="Arial"/>
            <w:sz w:val="28"/>
          </w:rPr>
          <w:t>la Comisión</w:t>
        </w:r>
      </w:smartTag>
      <w:r w:rsidRPr="00550B58">
        <w:rPr>
          <w:rFonts w:ascii="Arial" w:hAnsi="Arial" w:cs="Arial"/>
          <w:sz w:val="28"/>
        </w:rPr>
        <w:t xml:space="preserve"> de Honor y Justicia es un órgano colegiado disciplinario de carácter permanente en los cuerpos de seguridad pública, encargado de conocer y resolver sobre infracciones o faltas a los deberes previstos en </w:t>
      </w:r>
      <w:smartTag w:uri="urn:schemas-microsoft-com:office:smarttags" w:element="PersonName">
        <w:smartTagPr>
          <w:attr w:name="ProductID" w:val="la Ley"/>
        </w:smartTagPr>
        <w:r w:rsidRPr="00550B58">
          <w:rPr>
            <w:rFonts w:ascii="Arial" w:hAnsi="Arial" w:cs="Arial"/>
            <w:sz w:val="28"/>
          </w:rPr>
          <w:t>la Ley</w:t>
        </w:r>
      </w:smartTag>
      <w:r w:rsidRPr="00550B58">
        <w:rPr>
          <w:rFonts w:ascii="Arial" w:hAnsi="Arial" w:cs="Arial"/>
          <w:sz w:val="28"/>
        </w:rPr>
        <w:t>, los reglamentos y/o cualquiera otros ordenamientos jurídicos de la materia, cometidas por los integrantes de los cuerpos de seguridad, así como de imponer las sanciones correspondientes;</w:t>
      </w:r>
      <w:r w:rsidR="00D00750" w:rsidRPr="00550B58">
        <w:rPr>
          <w:rFonts w:ascii="Arial" w:hAnsi="Arial" w:cs="Arial"/>
          <w:sz w:val="28"/>
        </w:rPr>
        <w:t xml:space="preserve"> y</w:t>
      </w:r>
    </w:p>
    <w:p w:rsidR="00F25A2A" w:rsidRPr="00550B58" w:rsidRDefault="00F25A2A" w:rsidP="00F25A2A">
      <w:pPr>
        <w:numPr>
          <w:ilvl w:val="0"/>
          <w:numId w:val="6"/>
        </w:numPr>
        <w:spacing w:before="240" w:after="240" w:line="360" w:lineRule="auto"/>
        <w:jc w:val="both"/>
        <w:rPr>
          <w:rFonts w:ascii="Arial" w:hAnsi="Arial" w:cs="Arial"/>
          <w:sz w:val="28"/>
        </w:rPr>
      </w:pPr>
      <w:r w:rsidRPr="00550B58">
        <w:rPr>
          <w:rFonts w:ascii="Arial" w:hAnsi="Arial" w:cs="Arial"/>
          <w:sz w:val="28"/>
        </w:rPr>
        <w:t xml:space="preserve">Que la imposición de sanciones por </w:t>
      </w:r>
      <w:smartTag w:uri="urn:schemas-microsoft-com:office:smarttags" w:element="PersonName">
        <w:smartTagPr>
          <w:attr w:name="ProductID" w:val="la Comisi￳n"/>
        </w:smartTagPr>
        <w:r w:rsidRPr="00550B58">
          <w:rPr>
            <w:rFonts w:ascii="Arial" w:hAnsi="Arial" w:cs="Arial"/>
            <w:sz w:val="28"/>
          </w:rPr>
          <w:t>la Comisión</w:t>
        </w:r>
      </w:smartTag>
      <w:r w:rsidRPr="00550B58">
        <w:rPr>
          <w:rFonts w:ascii="Arial" w:hAnsi="Arial" w:cs="Arial"/>
          <w:sz w:val="28"/>
        </w:rPr>
        <w:t xml:space="preserve"> de Honor y Justicia se sujeta al procedimiento seguido en forma de juicio establecido en el artículo 126 de </w:t>
      </w:r>
      <w:smartTag w:uri="urn:schemas-microsoft-com:office:smarttags" w:element="PersonName">
        <w:smartTagPr>
          <w:attr w:name="ProductID" w:val="la Ley"/>
        </w:smartTagPr>
        <w:r w:rsidRPr="00550B58">
          <w:rPr>
            <w:rFonts w:ascii="Arial" w:hAnsi="Arial" w:cs="Arial"/>
            <w:sz w:val="28"/>
          </w:rPr>
          <w:t>la Ley</w:t>
        </w:r>
      </w:smartTag>
      <w:r w:rsidR="00EA3FF6" w:rsidRPr="00550B58">
        <w:rPr>
          <w:rFonts w:ascii="Arial" w:hAnsi="Arial" w:cs="Arial"/>
          <w:sz w:val="28"/>
        </w:rPr>
        <w:t xml:space="preserve"> de Seguridad Pública.</w:t>
      </w:r>
    </w:p>
    <w:p w:rsidR="003A308E" w:rsidRPr="005520F4" w:rsidRDefault="003A308E" w:rsidP="00F34EDF">
      <w:pPr>
        <w:spacing w:before="240" w:after="240" w:line="360" w:lineRule="auto"/>
        <w:ind w:right="51" w:firstLine="709"/>
        <w:jc w:val="both"/>
        <w:rPr>
          <w:rFonts w:ascii="Arial" w:hAnsi="Arial" w:cs="Arial"/>
          <w:sz w:val="28"/>
          <w:szCs w:val="28"/>
          <w:lang w:val="es-ES"/>
        </w:rPr>
      </w:pPr>
      <w:r w:rsidRPr="005520F4">
        <w:rPr>
          <w:rFonts w:ascii="Arial" w:hAnsi="Arial" w:cs="Arial"/>
          <w:sz w:val="28"/>
          <w:szCs w:val="28"/>
          <w:lang w:val="es-ES"/>
        </w:rPr>
        <w:t>Enseguida, d</w:t>
      </w:r>
      <w:r w:rsidR="00F34EDF" w:rsidRPr="005520F4">
        <w:rPr>
          <w:rFonts w:ascii="Arial" w:hAnsi="Arial" w:cs="Arial"/>
          <w:sz w:val="28"/>
          <w:szCs w:val="28"/>
          <w:lang w:val="es-ES"/>
        </w:rPr>
        <w:t>e las contestaciones de demanda se desprende que las autoridades demandadas aducen la existencia del procedimiento administrativo</w:t>
      </w:r>
      <w:r w:rsidRPr="005520F4">
        <w:rPr>
          <w:rFonts w:ascii="Arial" w:hAnsi="Arial" w:cs="Arial"/>
          <w:sz w:val="28"/>
          <w:szCs w:val="28"/>
          <w:lang w:val="es-ES"/>
        </w:rPr>
        <w:t xml:space="preserve"> del que deriva la determinación de baja del hoy actor a su cargo de Oficial Operativo</w:t>
      </w:r>
      <w:r w:rsidR="00F34EDF" w:rsidRPr="005520F4">
        <w:rPr>
          <w:rFonts w:ascii="Arial" w:hAnsi="Arial" w:cs="Arial"/>
          <w:sz w:val="28"/>
          <w:szCs w:val="28"/>
          <w:lang w:val="es-ES"/>
        </w:rPr>
        <w:t xml:space="preserve">, y para acreditar su aseveración el Síndico Municipal del Ayuntamiento Cárdenas, San Luis Potosí, ofreció como </w:t>
      </w:r>
      <w:r w:rsidRPr="005520F4">
        <w:rPr>
          <w:rFonts w:ascii="Arial" w:hAnsi="Arial" w:cs="Arial"/>
          <w:sz w:val="28"/>
          <w:szCs w:val="28"/>
          <w:lang w:val="es-ES"/>
        </w:rPr>
        <w:t xml:space="preserve">prueba la </w:t>
      </w:r>
      <w:r w:rsidR="00F34EDF" w:rsidRPr="005520F4">
        <w:rPr>
          <w:rFonts w:ascii="Arial" w:hAnsi="Arial" w:cs="Arial"/>
          <w:sz w:val="28"/>
          <w:szCs w:val="28"/>
          <w:lang w:val="es-ES"/>
        </w:rPr>
        <w:t xml:space="preserve">documental pública segunda </w:t>
      </w:r>
      <w:r w:rsidRPr="005520F4">
        <w:rPr>
          <w:rFonts w:ascii="Arial" w:hAnsi="Arial" w:cs="Arial"/>
          <w:sz w:val="28"/>
          <w:szCs w:val="28"/>
          <w:lang w:val="es-ES"/>
        </w:rPr>
        <w:t xml:space="preserve">consistente en </w:t>
      </w:r>
      <w:r w:rsidR="00F34EDF" w:rsidRPr="005520F4">
        <w:rPr>
          <w:rFonts w:ascii="Arial" w:hAnsi="Arial" w:cs="Arial"/>
          <w:sz w:val="28"/>
          <w:szCs w:val="28"/>
          <w:lang w:val="es-ES"/>
        </w:rPr>
        <w:t xml:space="preserve">copia certificada de las actuaciones y actas levantadas dentro del procedimiento administrativo que se siguió en contra del actor de este juicio, </w:t>
      </w:r>
      <w:r w:rsidRPr="005520F4">
        <w:rPr>
          <w:rFonts w:ascii="Arial" w:hAnsi="Arial" w:cs="Arial"/>
          <w:sz w:val="28"/>
          <w:szCs w:val="28"/>
          <w:lang w:val="es-ES"/>
        </w:rPr>
        <w:t xml:space="preserve">por </w:t>
      </w:r>
      <w:r w:rsidR="00F34EDF" w:rsidRPr="005520F4">
        <w:rPr>
          <w:rFonts w:ascii="Arial" w:hAnsi="Arial" w:cs="Arial"/>
          <w:sz w:val="28"/>
          <w:szCs w:val="28"/>
          <w:lang w:val="es-ES"/>
        </w:rPr>
        <w:t xml:space="preserve">la </w:t>
      </w:r>
      <w:r w:rsidRPr="005520F4">
        <w:rPr>
          <w:rFonts w:ascii="Arial" w:hAnsi="Arial" w:cs="Arial"/>
          <w:sz w:val="28"/>
          <w:szCs w:val="28"/>
          <w:lang w:val="es-ES"/>
        </w:rPr>
        <w:t xml:space="preserve">Comisión </w:t>
      </w:r>
      <w:r w:rsidR="00F34EDF" w:rsidRPr="005520F4">
        <w:rPr>
          <w:rFonts w:ascii="Arial" w:hAnsi="Arial" w:cs="Arial"/>
          <w:sz w:val="28"/>
          <w:szCs w:val="28"/>
          <w:lang w:val="es-ES"/>
        </w:rPr>
        <w:t xml:space="preserve">de </w:t>
      </w:r>
      <w:r w:rsidRPr="005520F4">
        <w:rPr>
          <w:rFonts w:ascii="Arial" w:hAnsi="Arial" w:cs="Arial"/>
          <w:sz w:val="28"/>
          <w:szCs w:val="28"/>
          <w:lang w:val="es-ES"/>
        </w:rPr>
        <w:t xml:space="preserve">Honor </w:t>
      </w:r>
      <w:r w:rsidR="00F34EDF" w:rsidRPr="005520F4">
        <w:rPr>
          <w:rFonts w:ascii="Arial" w:hAnsi="Arial" w:cs="Arial"/>
          <w:sz w:val="28"/>
          <w:szCs w:val="28"/>
          <w:lang w:val="es-ES"/>
        </w:rPr>
        <w:t xml:space="preserve">y </w:t>
      </w:r>
      <w:r w:rsidRPr="005520F4">
        <w:rPr>
          <w:rFonts w:ascii="Arial" w:hAnsi="Arial" w:cs="Arial"/>
          <w:sz w:val="28"/>
          <w:szCs w:val="28"/>
          <w:lang w:val="es-ES"/>
        </w:rPr>
        <w:t>J</w:t>
      </w:r>
      <w:r w:rsidR="00F34EDF" w:rsidRPr="005520F4">
        <w:rPr>
          <w:rFonts w:ascii="Arial" w:hAnsi="Arial" w:cs="Arial"/>
          <w:sz w:val="28"/>
          <w:szCs w:val="28"/>
          <w:lang w:val="es-ES"/>
        </w:rPr>
        <w:t>usticia, sin embargo</w:t>
      </w:r>
      <w:r w:rsidRPr="005520F4">
        <w:rPr>
          <w:rFonts w:ascii="Arial" w:hAnsi="Arial" w:cs="Arial"/>
          <w:sz w:val="28"/>
          <w:szCs w:val="28"/>
          <w:lang w:val="es-ES"/>
        </w:rPr>
        <w:t>,</w:t>
      </w:r>
      <w:r w:rsidR="00F34EDF" w:rsidRPr="005520F4">
        <w:rPr>
          <w:rFonts w:ascii="Arial" w:hAnsi="Arial" w:cs="Arial"/>
          <w:sz w:val="28"/>
          <w:szCs w:val="28"/>
          <w:lang w:val="es-ES"/>
        </w:rPr>
        <w:t xml:space="preserve"> omitió exhibirlas anexas a su contestaci</w:t>
      </w:r>
      <w:r w:rsidR="00550B58">
        <w:rPr>
          <w:rFonts w:ascii="Arial" w:hAnsi="Arial" w:cs="Arial"/>
          <w:sz w:val="28"/>
          <w:szCs w:val="28"/>
          <w:lang w:val="es-ES"/>
        </w:rPr>
        <w:t xml:space="preserve">ón, ni siquiera cuando le fueron </w:t>
      </w:r>
      <w:r w:rsidR="00F34EDF" w:rsidRPr="005520F4">
        <w:rPr>
          <w:rFonts w:ascii="Arial" w:hAnsi="Arial" w:cs="Arial"/>
          <w:sz w:val="28"/>
          <w:szCs w:val="28"/>
          <w:lang w:val="es-ES"/>
        </w:rPr>
        <w:t xml:space="preserve">requeridas </w:t>
      </w:r>
      <w:r w:rsidR="00F34EDF" w:rsidRPr="005520F4">
        <w:rPr>
          <w:rFonts w:ascii="Arial" w:hAnsi="Arial" w:cs="Arial"/>
          <w:sz w:val="28"/>
          <w:szCs w:val="28"/>
          <w:lang w:val="es-ES"/>
        </w:rPr>
        <w:lastRenderedPageBreak/>
        <w:t xml:space="preserve">por </w:t>
      </w:r>
      <w:r w:rsidRPr="005520F4">
        <w:rPr>
          <w:rFonts w:ascii="Arial" w:hAnsi="Arial" w:cs="Arial"/>
          <w:sz w:val="28"/>
          <w:szCs w:val="28"/>
          <w:lang w:val="es-ES"/>
        </w:rPr>
        <w:t xml:space="preserve">esta Sala mediante </w:t>
      </w:r>
      <w:r w:rsidR="00F34EDF" w:rsidRPr="005520F4">
        <w:rPr>
          <w:rFonts w:ascii="Arial" w:hAnsi="Arial" w:cs="Arial"/>
          <w:sz w:val="28"/>
          <w:szCs w:val="28"/>
          <w:lang w:val="es-ES"/>
        </w:rPr>
        <w:t>acuerdo de ocho de septiembre de dos mil veinte</w:t>
      </w:r>
      <w:r w:rsidRPr="005520F4">
        <w:rPr>
          <w:rFonts w:ascii="Arial" w:hAnsi="Arial" w:cs="Arial"/>
          <w:sz w:val="28"/>
          <w:szCs w:val="28"/>
          <w:lang w:val="es-ES"/>
        </w:rPr>
        <w:t>.</w:t>
      </w:r>
    </w:p>
    <w:p w:rsidR="00EA3FF6" w:rsidRPr="005520F4" w:rsidRDefault="003A308E" w:rsidP="00550B58">
      <w:pPr>
        <w:spacing w:before="240" w:after="240" w:line="360" w:lineRule="auto"/>
        <w:ind w:right="51" w:firstLine="709"/>
        <w:jc w:val="both"/>
        <w:rPr>
          <w:rFonts w:ascii="Arial" w:hAnsi="Arial" w:cs="Arial"/>
          <w:sz w:val="28"/>
          <w:szCs w:val="28"/>
          <w:lang w:val="es-ES"/>
        </w:rPr>
      </w:pPr>
      <w:r w:rsidRPr="005520F4">
        <w:rPr>
          <w:rFonts w:ascii="Arial" w:hAnsi="Arial" w:cs="Arial"/>
          <w:sz w:val="28"/>
          <w:szCs w:val="28"/>
          <w:lang w:val="es-ES"/>
        </w:rPr>
        <w:t>P</w:t>
      </w:r>
      <w:r w:rsidR="00550B58">
        <w:rPr>
          <w:rFonts w:ascii="Arial" w:hAnsi="Arial" w:cs="Arial"/>
          <w:sz w:val="28"/>
          <w:szCs w:val="28"/>
          <w:lang w:val="es-ES"/>
        </w:rPr>
        <w:t>or lo</w:t>
      </w:r>
      <w:r w:rsidR="00F34EDF" w:rsidRPr="005520F4">
        <w:rPr>
          <w:rFonts w:ascii="Arial" w:hAnsi="Arial" w:cs="Arial"/>
          <w:sz w:val="28"/>
          <w:szCs w:val="28"/>
          <w:lang w:val="es-ES"/>
        </w:rPr>
        <w:t xml:space="preserve"> cual, se estima </w:t>
      </w:r>
      <w:r w:rsidR="00550B58">
        <w:rPr>
          <w:rFonts w:ascii="Arial" w:hAnsi="Arial" w:cs="Arial"/>
          <w:sz w:val="28"/>
          <w:szCs w:val="28"/>
          <w:lang w:val="es-ES"/>
        </w:rPr>
        <w:t xml:space="preserve">por un lado que las demandadas reconocen expresamente la existencia de la determinación de baja impugnada, lo cual permite reconocer a esta Juzgadora la existencia del acto controvertido, en términos de lo que dispone el artículo 72, fracción I, del Código Procesal Administrativo para el Estado, y, por otro </w:t>
      </w:r>
      <w:r w:rsidR="00F34EDF" w:rsidRPr="005520F4">
        <w:rPr>
          <w:rFonts w:ascii="Arial" w:hAnsi="Arial" w:cs="Arial"/>
          <w:sz w:val="28"/>
          <w:szCs w:val="28"/>
          <w:lang w:val="es-ES"/>
        </w:rPr>
        <w:t>que la carga de la prueba par</w:t>
      </w:r>
      <w:r w:rsidRPr="005520F4">
        <w:rPr>
          <w:rFonts w:ascii="Arial" w:hAnsi="Arial" w:cs="Arial"/>
          <w:sz w:val="28"/>
          <w:szCs w:val="28"/>
          <w:lang w:val="es-ES"/>
        </w:rPr>
        <w:t>a acreditar los hechos que adujeron las demandadas</w:t>
      </w:r>
      <w:r w:rsidR="00F34EDF" w:rsidRPr="005520F4">
        <w:rPr>
          <w:rFonts w:ascii="Arial" w:hAnsi="Arial" w:cs="Arial"/>
          <w:sz w:val="28"/>
          <w:szCs w:val="28"/>
          <w:lang w:val="es-ES"/>
        </w:rPr>
        <w:t xml:space="preserve"> correspondía a la</w:t>
      </w:r>
      <w:r w:rsidR="00B43C59" w:rsidRPr="005520F4">
        <w:rPr>
          <w:rFonts w:ascii="Arial" w:hAnsi="Arial" w:cs="Arial"/>
          <w:sz w:val="28"/>
          <w:szCs w:val="28"/>
          <w:lang w:val="es-ES"/>
        </w:rPr>
        <w:t>s</w:t>
      </w:r>
      <w:r w:rsidR="00F34EDF" w:rsidRPr="005520F4">
        <w:rPr>
          <w:rFonts w:ascii="Arial" w:hAnsi="Arial" w:cs="Arial"/>
          <w:sz w:val="28"/>
          <w:szCs w:val="28"/>
          <w:lang w:val="es-ES"/>
        </w:rPr>
        <w:t xml:space="preserve"> </w:t>
      </w:r>
      <w:r w:rsidR="00550B58">
        <w:rPr>
          <w:rFonts w:ascii="Arial" w:hAnsi="Arial" w:cs="Arial"/>
          <w:sz w:val="28"/>
          <w:szCs w:val="28"/>
          <w:lang w:val="es-ES"/>
        </w:rPr>
        <w:t xml:space="preserve">propias </w:t>
      </w:r>
      <w:r w:rsidR="00F34EDF" w:rsidRPr="005520F4">
        <w:rPr>
          <w:rFonts w:ascii="Arial" w:hAnsi="Arial" w:cs="Arial"/>
          <w:sz w:val="28"/>
          <w:szCs w:val="28"/>
          <w:lang w:val="es-ES"/>
        </w:rPr>
        <w:t>autoridad</w:t>
      </w:r>
      <w:r w:rsidR="00B43C59" w:rsidRPr="005520F4">
        <w:rPr>
          <w:rFonts w:ascii="Arial" w:hAnsi="Arial" w:cs="Arial"/>
          <w:sz w:val="28"/>
          <w:szCs w:val="28"/>
          <w:lang w:val="es-ES"/>
        </w:rPr>
        <w:t>es</w:t>
      </w:r>
      <w:r w:rsidR="00F34EDF" w:rsidRPr="005520F4">
        <w:rPr>
          <w:rFonts w:ascii="Arial" w:hAnsi="Arial" w:cs="Arial"/>
          <w:sz w:val="28"/>
          <w:szCs w:val="28"/>
          <w:lang w:val="es-ES"/>
        </w:rPr>
        <w:t xml:space="preserve"> demandada</w:t>
      </w:r>
      <w:r w:rsidR="00B43C59" w:rsidRPr="005520F4">
        <w:rPr>
          <w:rFonts w:ascii="Arial" w:hAnsi="Arial" w:cs="Arial"/>
          <w:sz w:val="28"/>
          <w:szCs w:val="28"/>
          <w:lang w:val="es-ES"/>
        </w:rPr>
        <w:t>s</w:t>
      </w:r>
      <w:r w:rsidR="00F34EDF" w:rsidRPr="005520F4">
        <w:rPr>
          <w:rFonts w:ascii="Arial" w:hAnsi="Arial" w:cs="Arial"/>
          <w:sz w:val="28"/>
          <w:szCs w:val="28"/>
          <w:lang w:val="es-ES"/>
        </w:rPr>
        <w:t xml:space="preserve">, ello en términos de lo dispuesto </w:t>
      </w:r>
      <w:r w:rsidRPr="005520F4">
        <w:rPr>
          <w:rFonts w:ascii="Arial" w:hAnsi="Arial" w:cs="Arial"/>
          <w:sz w:val="28"/>
          <w:szCs w:val="28"/>
          <w:lang w:val="es-ES"/>
        </w:rPr>
        <w:t xml:space="preserve">en el artículo 273 del Código de </w:t>
      </w:r>
      <w:r w:rsidR="00550B58" w:rsidRPr="005520F4">
        <w:rPr>
          <w:rFonts w:ascii="Arial" w:hAnsi="Arial" w:cs="Arial"/>
          <w:sz w:val="28"/>
          <w:szCs w:val="28"/>
          <w:lang w:val="es-ES"/>
        </w:rPr>
        <w:t>P</w:t>
      </w:r>
      <w:r w:rsidRPr="005520F4">
        <w:rPr>
          <w:rFonts w:ascii="Arial" w:hAnsi="Arial" w:cs="Arial"/>
          <w:sz w:val="28"/>
          <w:szCs w:val="28"/>
          <w:lang w:val="es-ES"/>
        </w:rPr>
        <w:t>rocedimientos Civiles para el Estado de San Luis Potosí, que establece que el actor debe probar los hechos constitutivos de su acción y el reo los de sus excepciones, en relación con lo que dispone el artículo 275 del mismo ordenamiento respecto a que la prueba en general ni los medios de prueba son renunciables, aplicables de manera supletoria al Código Procesal Administrativo para el Estado de San Luis Potosí, en términos de lo dispuesto en su artículo 217.</w:t>
      </w:r>
    </w:p>
    <w:p w:rsidR="00B43C59" w:rsidRPr="005520F4" w:rsidRDefault="00B43C59" w:rsidP="00F34EDF">
      <w:pPr>
        <w:spacing w:before="240" w:after="240" w:line="360" w:lineRule="auto"/>
        <w:ind w:right="51" w:firstLine="709"/>
        <w:jc w:val="both"/>
        <w:rPr>
          <w:rFonts w:ascii="Arial" w:hAnsi="Arial" w:cs="Arial"/>
          <w:sz w:val="28"/>
          <w:szCs w:val="28"/>
          <w:lang w:val="es-ES"/>
        </w:rPr>
      </w:pPr>
      <w:r w:rsidRPr="005520F4">
        <w:rPr>
          <w:rFonts w:ascii="Arial" w:hAnsi="Arial" w:cs="Arial"/>
          <w:sz w:val="28"/>
          <w:szCs w:val="28"/>
          <w:lang w:val="es-ES"/>
        </w:rPr>
        <w:t xml:space="preserve">Pues, en el caso no basta con establecer simples aseveraciones de hechos si </w:t>
      </w:r>
      <w:r w:rsidR="008E5804" w:rsidRPr="005520F4">
        <w:rPr>
          <w:rFonts w:ascii="Arial" w:hAnsi="Arial" w:cs="Arial"/>
          <w:sz w:val="28"/>
          <w:szCs w:val="28"/>
          <w:lang w:val="es-ES"/>
        </w:rPr>
        <w:t xml:space="preserve">las mismas </w:t>
      </w:r>
      <w:r w:rsidRPr="005520F4">
        <w:rPr>
          <w:rFonts w:ascii="Arial" w:hAnsi="Arial" w:cs="Arial"/>
          <w:sz w:val="28"/>
          <w:szCs w:val="28"/>
          <w:lang w:val="es-ES"/>
        </w:rPr>
        <w:t>no se acreditan con los medios idóneos de prueba</w:t>
      </w:r>
      <w:r w:rsidR="008E5804" w:rsidRPr="005520F4">
        <w:rPr>
          <w:rFonts w:ascii="Arial" w:hAnsi="Arial" w:cs="Arial"/>
          <w:sz w:val="28"/>
          <w:szCs w:val="28"/>
          <w:lang w:val="es-ES"/>
        </w:rPr>
        <w:t xml:space="preserve">, </w:t>
      </w:r>
      <w:r w:rsidR="00550B58">
        <w:rPr>
          <w:rFonts w:ascii="Arial" w:hAnsi="Arial" w:cs="Arial"/>
          <w:sz w:val="28"/>
          <w:szCs w:val="28"/>
          <w:lang w:val="es-ES"/>
        </w:rPr>
        <w:t xml:space="preserve">acreditación que </w:t>
      </w:r>
      <w:r w:rsidR="008E5804" w:rsidRPr="005520F4">
        <w:rPr>
          <w:rFonts w:ascii="Arial" w:hAnsi="Arial" w:cs="Arial"/>
          <w:sz w:val="28"/>
          <w:szCs w:val="28"/>
          <w:lang w:val="es-ES"/>
        </w:rPr>
        <w:t xml:space="preserve">debe realizarse </w:t>
      </w:r>
      <w:r w:rsidRPr="005520F4">
        <w:rPr>
          <w:rFonts w:ascii="Arial" w:hAnsi="Arial" w:cs="Arial"/>
          <w:sz w:val="28"/>
          <w:szCs w:val="28"/>
          <w:lang w:val="es-ES"/>
        </w:rPr>
        <w:t xml:space="preserve">por quien </w:t>
      </w:r>
      <w:r w:rsidR="00550B58">
        <w:rPr>
          <w:rFonts w:ascii="Arial" w:hAnsi="Arial" w:cs="Arial"/>
          <w:sz w:val="28"/>
          <w:szCs w:val="28"/>
          <w:lang w:val="es-ES"/>
        </w:rPr>
        <w:t xml:space="preserve">formula las </w:t>
      </w:r>
      <w:r w:rsidRPr="005520F4">
        <w:rPr>
          <w:rFonts w:ascii="Arial" w:hAnsi="Arial" w:cs="Arial"/>
          <w:sz w:val="28"/>
          <w:szCs w:val="28"/>
          <w:lang w:val="es-ES"/>
        </w:rPr>
        <w:t>afirmaciones, de ahí que</w:t>
      </w:r>
      <w:r w:rsidR="00550B58">
        <w:rPr>
          <w:rFonts w:ascii="Arial" w:hAnsi="Arial" w:cs="Arial"/>
          <w:sz w:val="28"/>
          <w:szCs w:val="28"/>
          <w:lang w:val="es-ES"/>
        </w:rPr>
        <w:t>,</w:t>
      </w:r>
      <w:r w:rsidRPr="005520F4">
        <w:rPr>
          <w:rFonts w:ascii="Arial" w:hAnsi="Arial" w:cs="Arial"/>
          <w:sz w:val="28"/>
          <w:szCs w:val="28"/>
          <w:lang w:val="es-ES"/>
        </w:rPr>
        <w:t xml:space="preserve"> no obstante que las demandadas afirmen al contestar los argumentos del actor que se envió citatorio para que compareciera al inicio del procedimiento administrativo</w:t>
      </w:r>
      <w:r w:rsidR="008E5804" w:rsidRPr="005520F4">
        <w:rPr>
          <w:rFonts w:ascii="Arial" w:hAnsi="Arial" w:cs="Arial"/>
          <w:sz w:val="28"/>
          <w:szCs w:val="28"/>
          <w:lang w:val="es-ES"/>
        </w:rPr>
        <w:t xml:space="preserve"> mismo que se negó a firmar de recibido, y luego que se determinó su cese</w:t>
      </w:r>
      <w:r w:rsidR="00550B58">
        <w:rPr>
          <w:rFonts w:ascii="Arial" w:hAnsi="Arial" w:cs="Arial"/>
          <w:sz w:val="28"/>
          <w:szCs w:val="28"/>
          <w:lang w:val="es-ES"/>
        </w:rPr>
        <w:t>,</w:t>
      </w:r>
      <w:r w:rsidR="008E5804" w:rsidRPr="005520F4">
        <w:rPr>
          <w:rFonts w:ascii="Arial" w:hAnsi="Arial" w:cs="Arial"/>
          <w:sz w:val="28"/>
          <w:szCs w:val="28"/>
          <w:lang w:val="es-ES"/>
        </w:rPr>
        <w:t xml:space="preserve"> también se le notificó de forma legal pero también se negó a recibir dicha notificación, pues ello debieron acreditarlo con las documentales respectivas para que, en su caso el actor al negar la existencia del procedimiento a que se refiere el artículo 126 de la Ley del Sistema antes citada, pudiere imponerse de ellas e hiciera valer los argumentos de ilegalidad correspondientes mediante ampliación a la demanda, y así analizarse por esta Juzgadora si las actuaciones de </w:t>
      </w:r>
      <w:r w:rsidR="008E5804" w:rsidRPr="005520F4">
        <w:rPr>
          <w:rFonts w:ascii="Arial" w:hAnsi="Arial" w:cs="Arial"/>
          <w:sz w:val="28"/>
          <w:szCs w:val="28"/>
          <w:lang w:val="es-ES"/>
        </w:rPr>
        <w:lastRenderedPageBreak/>
        <w:t xml:space="preserve">notificación al procedimiento fueron llevadas a cabo de manera legal, lo cual al no acontecer ni de manera presuntiva puede estimarse que fueron llevadas a cabo.  </w:t>
      </w:r>
    </w:p>
    <w:p w:rsidR="00F25A2A" w:rsidRPr="005520F4" w:rsidRDefault="00F25A2A" w:rsidP="00D00750">
      <w:pPr>
        <w:spacing w:before="240" w:after="240" w:line="360" w:lineRule="auto"/>
        <w:ind w:right="51" w:firstLine="709"/>
        <w:jc w:val="both"/>
        <w:rPr>
          <w:rFonts w:ascii="Arial" w:hAnsi="Arial" w:cs="Arial"/>
          <w:sz w:val="28"/>
          <w:szCs w:val="28"/>
          <w:lang w:val="es-ES"/>
        </w:rPr>
      </w:pPr>
      <w:r w:rsidRPr="005520F4">
        <w:rPr>
          <w:rFonts w:ascii="Arial" w:hAnsi="Arial" w:cs="Arial"/>
          <w:sz w:val="28"/>
          <w:szCs w:val="28"/>
          <w:lang w:val="es-ES"/>
        </w:rPr>
        <w:t xml:space="preserve">Luego, si </w:t>
      </w:r>
      <w:r w:rsidR="003A308E" w:rsidRPr="005520F4">
        <w:rPr>
          <w:rFonts w:ascii="Arial" w:hAnsi="Arial" w:cs="Arial"/>
          <w:sz w:val="28"/>
          <w:szCs w:val="28"/>
          <w:lang w:val="es-ES"/>
        </w:rPr>
        <w:t>en</w:t>
      </w:r>
      <w:r w:rsidRPr="005520F4">
        <w:rPr>
          <w:rFonts w:ascii="Arial" w:hAnsi="Arial" w:cs="Arial"/>
          <w:sz w:val="28"/>
          <w:szCs w:val="28"/>
          <w:lang w:val="es-ES"/>
        </w:rPr>
        <w:t xml:space="preserve"> el caso </w:t>
      </w:r>
      <w:r w:rsidR="003A308E" w:rsidRPr="005520F4">
        <w:rPr>
          <w:rFonts w:ascii="Arial" w:hAnsi="Arial" w:cs="Arial"/>
          <w:sz w:val="28"/>
          <w:szCs w:val="28"/>
          <w:lang w:val="es-ES"/>
        </w:rPr>
        <w:t xml:space="preserve">quedó </w:t>
      </w:r>
      <w:r w:rsidRPr="005520F4">
        <w:rPr>
          <w:rFonts w:ascii="Arial" w:hAnsi="Arial" w:cs="Arial"/>
          <w:sz w:val="28"/>
          <w:szCs w:val="28"/>
          <w:lang w:val="es-ES"/>
        </w:rPr>
        <w:t xml:space="preserve">demostrado que el Actor fue objeto de una remoción del cargo, misma que le fue comunicada verbalmente por el C. </w:t>
      </w:r>
      <w:r w:rsidR="003A308E" w:rsidRPr="005520F4">
        <w:rPr>
          <w:rFonts w:ascii="Arial" w:hAnsi="Arial" w:cs="Arial"/>
          <w:sz w:val="28"/>
          <w:szCs w:val="28"/>
          <w:lang w:val="es-ES"/>
        </w:rPr>
        <w:t>Jorge Flores Fernández</w:t>
      </w:r>
      <w:r w:rsidRPr="005520F4">
        <w:rPr>
          <w:rFonts w:ascii="Arial" w:hAnsi="Arial" w:cs="Arial"/>
          <w:sz w:val="28"/>
          <w:szCs w:val="28"/>
          <w:lang w:val="es-ES"/>
        </w:rPr>
        <w:t xml:space="preserve"> en su calidad de </w:t>
      </w:r>
      <w:r w:rsidR="003A308E" w:rsidRPr="005520F4">
        <w:rPr>
          <w:rFonts w:ascii="Arial" w:hAnsi="Arial" w:cs="Arial"/>
          <w:sz w:val="28"/>
          <w:szCs w:val="28"/>
          <w:lang w:val="es-ES"/>
        </w:rPr>
        <w:t>Síndico Municipal</w:t>
      </w:r>
      <w:r w:rsidRPr="005520F4">
        <w:rPr>
          <w:rFonts w:ascii="Arial" w:hAnsi="Arial" w:cs="Arial"/>
          <w:sz w:val="28"/>
          <w:szCs w:val="28"/>
          <w:lang w:val="es-ES"/>
        </w:rPr>
        <w:t xml:space="preserve"> de</w:t>
      </w:r>
      <w:r w:rsidR="003A308E" w:rsidRPr="005520F4">
        <w:rPr>
          <w:rFonts w:ascii="Arial" w:hAnsi="Arial" w:cs="Arial"/>
          <w:sz w:val="28"/>
          <w:szCs w:val="28"/>
          <w:lang w:val="es-ES"/>
        </w:rPr>
        <w:t>l Ayuntamiento de</w:t>
      </w:r>
      <w:r w:rsidRPr="005520F4">
        <w:rPr>
          <w:rFonts w:ascii="Arial" w:hAnsi="Arial" w:cs="Arial"/>
          <w:sz w:val="28"/>
          <w:szCs w:val="28"/>
          <w:lang w:val="es-ES"/>
        </w:rPr>
        <w:t xml:space="preserve"> </w:t>
      </w:r>
      <w:r w:rsidR="003A308E" w:rsidRPr="005520F4">
        <w:rPr>
          <w:rFonts w:ascii="Arial" w:hAnsi="Arial" w:cs="Arial"/>
          <w:sz w:val="28"/>
          <w:szCs w:val="28"/>
          <w:lang w:val="es-ES"/>
        </w:rPr>
        <w:t>Cárdenas, S.L.P</w:t>
      </w:r>
      <w:r w:rsidRPr="005520F4">
        <w:rPr>
          <w:rFonts w:ascii="Arial" w:hAnsi="Arial" w:cs="Arial"/>
          <w:sz w:val="28"/>
          <w:szCs w:val="28"/>
          <w:lang w:val="es-ES"/>
        </w:rPr>
        <w:t>.</w:t>
      </w:r>
      <w:r w:rsidR="003A308E" w:rsidRPr="005520F4">
        <w:rPr>
          <w:rFonts w:ascii="Arial" w:hAnsi="Arial" w:cs="Arial"/>
          <w:sz w:val="28"/>
          <w:szCs w:val="28"/>
          <w:lang w:val="es-ES"/>
        </w:rPr>
        <w:t xml:space="preserve">, conlleva a considerar </w:t>
      </w:r>
      <w:r w:rsidR="00550B58">
        <w:rPr>
          <w:rFonts w:ascii="Arial" w:hAnsi="Arial" w:cs="Arial"/>
          <w:sz w:val="28"/>
          <w:szCs w:val="28"/>
          <w:lang w:val="es-ES"/>
        </w:rPr>
        <w:t xml:space="preserve">a esta Juzgadora </w:t>
      </w:r>
      <w:r w:rsidR="003A308E" w:rsidRPr="005520F4">
        <w:rPr>
          <w:rFonts w:ascii="Arial" w:hAnsi="Arial" w:cs="Arial"/>
          <w:sz w:val="28"/>
          <w:szCs w:val="28"/>
          <w:lang w:val="es-ES"/>
        </w:rPr>
        <w:t xml:space="preserve">que se actualiza </w:t>
      </w:r>
      <w:r w:rsidR="00966A47" w:rsidRPr="005520F4">
        <w:rPr>
          <w:rFonts w:ascii="Arial" w:hAnsi="Arial" w:cs="Arial"/>
          <w:sz w:val="28"/>
          <w:szCs w:val="28"/>
          <w:lang w:val="es-ES"/>
        </w:rPr>
        <w:t>la causal de ilegalidad prevista en la fracción I</w:t>
      </w:r>
      <w:r w:rsidR="00550B58">
        <w:rPr>
          <w:rFonts w:ascii="Arial" w:hAnsi="Arial" w:cs="Arial"/>
          <w:sz w:val="28"/>
          <w:szCs w:val="28"/>
          <w:lang w:val="es-ES"/>
        </w:rPr>
        <w:t>,</w:t>
      </w:r>
      <w:r w:rsidR="00966A47" w:rsidRPr="005520F4">
        <w:rPr>
          <w:rFonts w:ascii="Arial" w:hAnsi="Arial" w:cs="Arial"/>
          <w:sz w:val="28"/>
          <w:szCs w:val="28"/>
          <w:lang w:val="es-ES"/>
        </w:rPr>
        <w:t xml:space="preserve"> del artículo 250</w:t>
      </w:r>
      <w:r w:rsidR="00550B58">
        <w:rPr>
          <w:rFonts w:ascii="Arial" w:hAnsi="Arial" w:cs="Arial"/>
          <w:sz w:val="28"/>
          <w:szCs w:val="28"/>
          <w:lang w:val="es-ES"/>
        </w:rPr>
        <w:t>,</w:t>
      </w:r>
      <w:r w:rsidR="00966A47" w:rsidRPr="005520F4">
        <w:rPr>
          <w:rFonts w:ascii="Arial" w:hAnsi="Arial" w:cs="Arial"/>
          <w:sz w:val="28"/>
          <w:szCs w:val="28"/>
          <w:lang w:val="es-ES"/>
        </w:rPr>
        <w:t xml:space="preserve"> del Código Procesal Administrativo para el Estado</w:t>
      </w:r>
      <w:r w:rsidR="00550B58">
        <w:rPr>
          <w:rFonts w:ascii="Arial" w:hAnsi="Arial" w:cs="Arial"/>
          <w:sz w:val="28"/>
          <w:szCs w:val="28"/>
          <w:lang w:val="es-ES"/>
        </w:rPr>
        <w:t>, la cual se invoca de oficio</w:t>
      </w:r>
      <w:r w:rsidR="00966A47" w:rsidRPr="005520F4">
        <w:rPr>
          <w:rFonts w:ascii="Arial" w:hAnsi="Arial" w:cs="Arial"/>
          <w:sz w:val="28"/>
          <w:szCs w:val="28"/>
          <w:lang w:val="es-ES"/>
        </w:rPr>
        <w:t xml:space="preserve"> en términos de lo dispuesto en penúltimo párrafo del mencionado precepto legal.</w:t>
      </w:r>
    </w:p>
    <w:p w:rsidR="00F25A2A" w:rsidRPr="005520F4" w:rsidRDefault="00966A47" w:rsidP="00966A47">
      <w:pPr>
        <w:spacing w:before="240" w:after="240" w:line="360" w:lineRule="auto"/>
        <w:ind w:right="51" w:firstLine="709"/>
        <w:jc w:val="both"/>
        <w:rPr>
          <w:rFonts w:ascii="Arial" w:hAnsi="Arial" w:cs="Arial"/>
          <w:sz w:val="28"/>
          <w:szCs w:val="28"/>
          <w:lang w:val="es-ES"/>
        </w:rPr>
      </w:pPr>
      <w:r w:rsidRPr="005520F4">
        <w:rPr>
          <w:rFonts w:ascii="Arial" w:hAnsi="Arial" w:cs="Arial"/>
          <w:sz w:val="28"/>
          <w:szCs w:val="28"/>
          <w:lang w:val="es-ES"/>
        </w:rPr>
        <w:t>Lo anterior</w:t>
      </w:r>
      <w:r w:rsidR="00F25A2A" w:rsidRPr="005520F4">
        <w:rPr>
          <w:rFonts w:ascii="Arial" w:hAnsi="Arial" w:cs="Arial"/>
          <w:sz w:val="28"/>
          <w:szCs w:val="28"/>
          <w:lang w:val="es-ES"/>
        </w:rPr>
        <w:t xml:space="preserve">, </w:t>
      </w:r>
      <w:r w:rsidRPr="005520F4">
        <w:rPr>
          <w:rFonts w:ascii="Arial" w:hAnsi="Arial" w:cs="Arial"/>
          <w:sz w:val="28"/>
          <w:szCs w:val="28"/>
          <w:lang w:val="es-ES"/>
        </w:rPr>
        <w:t xml:space="preserve">en virtud de que </w:t>
      </w:r>
      <w:r w:rsidR="00F25A2A" w:rsidRPr="005520F4">
        <w:rPr>
          <w:rFonts w:ascii="Arial" w:hAnsi="Arial" w:cs="Arial"/>
          <w:sz w:val="28"/>
          <w:szCs w:val="28"/>
          <w:lang w:val="es-ES"/>
        </w:rPr>
        <w:t xml:space="preserve">la remoción del cargo de que fue objeto el Actor es ilegal, ya que fue </w:t>
      </w:r>
      <w:r w:rsidRPr="005520F4">
        <w:rPr>
          <w:rFonts w:ascii="Arial" w:hAnsi="Arial" w:cs="Arial"/>
          <w:sz w:val="28"/>
          <w:szCs w:val="28"/>
          <w:lang w:val="es-ES"/>
        </w:rPr>
        <w:t xml:space="preserve">dictada u ordenada </w:t>
      </w:r>
      <w:r w:rsidR="00F25A2A" w:rsidRPr="005520F4">
        <w:rPr>
          <w:rFonts w:ascii="Arial" w:hAnsi="Arial" w:cs="Arial"/>
          <w:sz w:val="28"/>
          <w:szCs w:val="28"/>
          <w:lang w:val="es-ES"/>
        </w:rPr>
        <w:t xml:space="preserve">por una Autoridad incompetente, en concreto el </w:t>
      </w:r>
      <w:r w:rsidRPr="005520F4">
        <w:rPr>
          <w:rFonts w:ascii="Arial" w:hAnsi="Arial" w:cs="Arial"/>
          <w:sz w:val="28"/>
          <w:szCs w:val="28"/>
          <w:lang w:val="es-ES"/>
        </w:rPr>
        <w:t>Síndico Municipal del Ayuntamiento de Cárdenas, S.L.P.,</w:t>
      </w:r>
      <w:r w:rsidR="00F25A2A" w:rsidRPr="005520F4">
        <w:rPr>
          <w:rFonts w:ascii="Arial" w:hAnsi="Arial" w:cs="Arial"/>
          <w:sz w:val="28"/>
          <w:szCs w:val="28"/>
          <w:lang w:val="es-ES"/>
        </w:rPr>
        <w:t xml:space="preserve"> toda vez que </w:t>
      </w:r>
      <w:r w:rsidRPr="005520F4">
        <w:rPr>
          <w:rFonts w:ascii="Arial" w:hAnsi="Arial" w:cs="Arial"/>
          <w:sz w:val="28"/>
          <w:szCs w:val="28"/>
          <w:lang w:val="es-ES"/>
        </w:rPr>
        <w:t xml:space="preserve">en el caso particular la autoridad </w:t>
      </w:r>
      <w:r w:rsidR="00F25A2A" w:rsidRPr="005520F4">
        <w:rPr>
          <w:rFonts w:ascii="Arial" w:hAnsi="Arial" w:cs="Arial"/>
          <w:sz w:val="28"/>
          <w:szCs w:val="28"/>
          <w:lang w:val="es-ES"/>
        </w:rPr>
        <w:t xml:space="preserve">competente </w:t>
      </w:r>
      <w:r w:rsidRPr="005520F4">
        <w:rPr>
          <w:rFonts w:ascii="Arial" w:hAnsi="Arial" w:cs="Arial"/>
          <w:sz w:val="28"/>
          <w:szCs w:val="28"/>
          <w:lang w:val="es-ES"/>
        </w:rPr>
        <w:t xml:space="preserve">para llevar a cabo la remoción, baja o cese </w:t>
      </w:r>
      <w:r w:rsidR="00F25A2A" w:rsidRPr="005520F4">
        <w:rPr>
          <w:rFonts w:ascii="Arial" w:hAnsi="Arial" w:cs="Arial"/>
          <w:sz w:val="28"/>
          <w:szCs w:val="28"/>
          <w:lang w:val="es-ES"/>
        </w:rPr>
        <w:t xml:space="preserve">era la Comisión de Honor y Justicia de la Dirección de Seguridad Pública y </w:t>
      </w:r>
      <w:r w:rsidR="00550B58">
        <w:rPr>
          <w:rFonts w:ascii="Arial" w:hAnsi="Arial" w:cs="Arial"/>
          <w:sz w:val="28"/>
          <w:szCs w:val="28"/>
          <w:lang w:val="es-ES"/>
        </w:rPr>
        <w:t xml:space="preserve">Tránsito del referido Municipio, y en el caso no se encuentra acreditado con medio de prueba alguno que esta última autoridad hubiese determinado y notificado la baja impugnada, de ahí que además se considere injustificado dicho cese o baja, y que actualiza la hipótesis de ilegalidad </w:t>
      </w:r>
      <w:r w:rsidR="00550B58" w:rsidRPr="005520F4">
        <w:rPr>
          <w:rFonts w:ascii="Arial" w:hAnsi="Arial" w:cs="Arial"/>
          <w:sz w:val="28"/>
          <w:szCs w:val="28"/>
          <w:lang w:val="es-ES"/>
        </w:rPr>
        <w:t>prevista en la fracción I</w:t>
      </w:r>
      <w:r w:rsidR="00550B58">
        <w:rPr>
          <w:rFonts w:ascii="Arial" w:hAnsi="Arial" w:cs="Arial"/>
          <w:sz w:val="28"/>
          <w:szCs w:val="28"/>
          <w:lang w:val="es-ES"/>
        </w:rPr>
        <w:t>V,</w:t>
      </w:r>
      <w:r w:rsidR="00550B58" w:rsidRPr="005520F4">
        <w:rPr>
          <w:rFonts w:ascii="Arial" w:hAnsi="Arial" w:cs="Arial"/>
          <w:sz w:val="28"/>
          <w:szCs w:val="28"/>
          <w:lang w:val="es-ES"/>
        </w:rPr>
        <w:t xml:space="preserve"> del artículo 250</w:t>
      </w:r>
      <w:r w:rsidR="00550B58">
        <w:rPr>
          <w:rFonts w:ascii="Arial" w:hAnsi="Arial" w:cs="Arial"/>
          <w:sz w:val="28"/>
          <w:szCs w:val="28"/>
          <w:lang w:val="es-ES"/>
        </w:rPr>
        <w:t>,</w:t>
      </w:r>
      <w:r w:rsidR="00550B58" w:rsidRPr="005520F4">
        <w:rPr>
          <w:rFonts w:ascii="Arial" w:hAnsi="Arial" w:cs="Arial"/>
          <w:sz w:val="28"/>
          <w:szCs w:val="28"/>
          <w:lang w:val="es-ES"/>
        </w:rPr>
        <w:t xml:space="preserve"> del Código Procesal Administrativo para el Estado</w:t>
      </w:r>
      <w:r w:rsidR="00550B58">
        <w:rPr>
          <w:rFonts w:ascii="Arial" w:hAnsi="Arial" w:cs="Arial"/>
          <w:sz w:val="28"/>
          <w:szCs w:val="28"/>
          <w:lang w:val="es-ES"/>
        </w:rPr>
        <w:t>.</w:t>
      </w:r>
    </w:p>
    <w:p w:rsidR="008F7C5D" w:rsidRPr="005520F4" w:rsidRDefault="008F7C5D" w:rsidP="008F7C5D">
      <w:pPr>
        <w:spacing w:before="240" w:after="240" w:line="360" w:lineRule="auto"/>
        <w:ind w:right="51" w:firstLine="709"/>
        <w:jc w:val="both"/>
        <w:rPr>
          <w:rFonts w:ascii="Arial" w:hAnsi="Arial" w:cs="Arial"/>
          <w:sz w:val="28"/>
          <w:szCs w:val="28"/>
          <w:lang w:val="es-ES"/>
        </w:rPr>
      </w:pPr>
      <w:r w:rsidRPr="005520F4">
        <w:rPr>
          <w:rFonts w:ascii="Arial" w:hAnsi="Arial" w:cs="Arial"/>
          <w:sz w:val="28"/>
          <w:szCs w:val="28"/>
          <w:lang w:val="es-ES"/>
        </w:rPr>
        <w:t xml:space="preserve">En consecuencia, con fundamento en los artículos 251 y 252 del  Código Procesal Administrativo para el Estado de San Luis Potosí, se declara la ILEGALIDAD e INVALIDEZ del acto impugnado consistente </w:t>
      </w:r>
      <w:r w:rsidR="00486554" w:rsidRPr="005520F4">
        <w:rPr>
          <w:rFonts w:ascii="Arial" w:hAnsi="Arial" w:cs="Arial"/>
          <w:sz w:val="28"/>
          <w:szCs w:val="28"/>
          <w:lang w:val="es-ES"/>
        </w:rPr>
        <w:t xml:space="preserve">la baja </w:t>
      </w:r>
      <w:r w:rsidR="00493091" w:rsidRPr="005520F4">
        <w:rPr>
          <w:rFonts w:ascii="Arial" w:hAnsi="Arial" w:cs="Arial"/>
          <w:sz w:val="28"/>
          <w:szCs w:val="28"/>
          <w:lang w:val="es-ES"/>
        </w:rPr>
        <w:t xml:space="preserve">o cese </w:t>
      </w:r>
      <w:r w:rsidRPr="005520F4">
        <w:rPr>
          <w:rFonts w:ascii="Arial" w:hAnsi="Arial" w:cs="Arial"/>
          <w:sz w:val="28"/>
          <w:szCs w:val="28"/>
          <w:lang w:val="es-ES"/>
        </w:rPr>
        <w:t xml:space="preserve">de que fue objeto el </w:t>
      </w:r>
      <w:r w:rsidR="00486554" w:rsidRPr="005520F4">
        <w:rPr>
          <w:rFonts w:ascii="Arial" w:hAnsi="Arial" w:cs="Arial"/>
          <w:sz w:val="28"/>
          <w:szCs w:val="28"/>
          <w:lang w:val="es-ES"/>
        </w:rPr>
        <w:t>C.</w:t>
      </w:r>
      <w:r w:rsidRPr="005520F4">
        <w:rPr>
          <w:rFonts w:ascii="Arial" w:hAnsi="Arial" w:cs="Arial"/>
          <w:sz w:val="28"/>
          <w:szCs w:val="28"/>
          <w:lang w:val="es-ES"/>
        </w:rPr>
        <w:t xml:space="preserve"> </w:t>
      </w:r>
      <w:r w:rsidR="004F5BC4">
        <w:rPr>
          <w:rFonts w:ascii="Arial" w:hAnsi="Arial" w:cs="Arial"/>
          <w:color w:val="FF0000"/>
          <w:sz w:val="28"/>
          <w:szCs w:val="28"/>
        </w:rPr>
        <w:t>******* ******** ********</w:t>
      </w:r>
      <w:r w:rsidR="00486554" w:rsidRPr="005520F4">
        <w:rPr>
          <w:rFonts w:ascii="Arial" w:hAnsi="Arial" w:cs="Arial"/>
          <w:sz w:val="28"/>
          <w:szCs w:val="28"/>
          <w:lang w:val="es-ES"/>
        </w:rPr>
        <w:t xml:space="preserve">, </w:t>
      </w:r>
      <w:r w:rsidRPr="005520F4">
        <w:rPr>
          <w:rFonts w:ascii="Arial" w:hAnsi="Arial" w:cs="Arial"/>
          <w:sz w:val="28"/>
          <w:szCs w:val="28"/>
          <w:lang w:val="es-ES"/>
        </w:rPr>
        <w:t xml:space="preserve">por parte del </w:t>
      </w:r>
      <w:r w:rsidR="00486554" w:rsidRPr="005520F4">
        <w:rPr>
          <w:rFonts w:ascii="Arial" w:hAnsi="Arial" w:cs="Arial"/>
          <w:sz w:val="28"/>
          <w:szCs w:val="28"/>
          <w:lang w:val="es-ES"/>
        </w:rPr>
        <w:t>Síndico Municipal del Ayuntamiento de Cárdenas, S.L.P.,</w:t>
      </w:r>
      <w:r w:rsidRPr="005520F4">
        <w:rPr>
          <w:rFonts w:ascii="Arial" w:hAnsi="Arial" w:cs="Arial"/>
          <w:sz w:val="28"/>
          <w:szCs w:val="28"/>
          <w:lang w:val="es-ES"/>
        </w:rPr>
        <w:t xml:space="preserve"> respecto del cargo que ostentaba como integrante del cuerpo de seguridad pública </w:t>
      </w:r>
      <w:r w:rsidRPr="005520F4">
        <w:rPr>
          <w:rFonts w:ascii="Arial" w:hAnsi="Arial" w:cs="Arial"/>
          <w:sz w:val="28"/>
          <w:szCs w:val="28"/>
          <w:lang w:val="es-ES"/>
        </w:rPr>
        <w:lastRenderedPageBreak/>
        <w:t xml:space="preserve">denominado Dirección de Seguridad Pública y Tránsito Municipal del Municipio de </w:t>
      </w:r>
      <w:r w:rsidR="00486554" w:rsidRPr="005520F4">
        <w:rPr>
          <w:rFonts w:ascii="Arial" w:hAnsi="Arial" w:cs="Arial"/>
          <w:sz w:val="28"/>
          <w:szCs w:val="28"/>
          <w:lang w:val="es-ES"/>
        </w:rPr>
        <w:t xml:space="preserve">Cárdenas, </w:t>
      </w:r>
      <w:r w:rsidRPr="005520F4">
        <w:rPr>
          <w:rFonts w:ascii="Arial" w:hAnsi="Arial" w:cs="Arial"/>
          <w:sz w:val="28"/>
          <w:szCs w:val="28"/>
          <w:lang w:val="es-ES"/>
        </w:rPr>
        <w:t>S.L.P.; por lo que se decreta su NULIDAD y se le deja sin efecto legal alguno.</w:t>
      </w:r>
    </w:p>
    <w:p w:rsidR="00710D90" w:rsidRPr="005520F4" w:rsidRDefault="00493091" w:rsidP="00493091">
      <w:pPr>
        <w:spacing w:before="240" w:after="240" w:line="360" w:lineRule="auto"/>
        <w:ind w:right="51" w:firstLine="709"/>
        <w:jc w:val="both"/>
        <w:rPr>
          <w:rFonts w:ascii="Arial" w:hAnsi="Arial" w:cs="Arial"/>
          <w:sz w:val="28"/>
          <w:szCs w:val="28"/>
        </w:rPr>
      </w:pPr>
      <w:r w:rsidRPr="005520F4">
        <w:rPr>
          <w:rFonts w:ascii="Arial" w:hAnsi="Arial" w:cs="Arial"/>
          <w:sz w:val="28"/>
          <w:szCs w:val="28"/>
        </w:rPr>
        <w:t>Al respecto es de precisarse que, con la declaratoria de ilegalidad que antecede se atiende la pretensión del actor descrita en el literal A., del capítulo correspondiente de su demanda.</w:t>
      </w:r>
    </w:p>
    <w:p w:rsidR="00493091" w:rsidRPr="005520F4" w:rsidRDefault="00493091" w:rsidP="00493091">
      <w:pPr>
        <w:spacing w:before="240" w:after="240" w:line="360" w:lineRule="auto"/>
        <w:ind w:firstLine="708"/>
        <w:jc w:val="both"/>
        <w:rPr>
          <w:sz w:val="28"/>
          <w:szCs w:val="28"/>
        </w:rPr>
      </w:pPr>
      <w:r w:rsidRPr="005520F4">
        <w:rPr>
          <w:rFonts w:ascii="Arial" w:hAnsi="Arial" w:cs="Arial"/>
          <w:sz w:val="28"/>
          <w:szCs w:val="28"/>
        </w:rPr>
        <w:t>Ahora bien, por lo que respecta a la pretensión del actor planteada en el literal B., de su escrito de demanda que consiste en que se declare le sea restituido en el puesto de oficial operativo que venía desempeñando al servicio de la Dirección de Seguridad Pública y Tránsito Municipal del Municipio de Cárdenas, San Luis Potosí, debe precisarse que esta Sala se encuentra imposibilitada para realizar dicha declaratoria</w:t>
      </w:r>
      <w:r w:rsidR="00550B58">
        <w:rPr>
          <w:rFonts w:ascii="Arial" w:hAnsi="Arial" w:cs="Arial"/>
          <w:sz w:val="28"/>
          <w:szCs w:val="28"/>
        </w:rPr>
        <w:t>,</w:t>
      </w:r>
      <w:r w:rsidRPr="005520F4">
        <w:rPr>
          <w:rFonts w:ascii="Arial" w:hAnsi="Arial" w:cs="Arial"/>
          <w:sz w:val="28"/>
          <w:szCs w:val="28"/>
        </w:rPr>
        <w:t xml:space="preserve"> en virtud de que ello se encuentra expresamente prohibido en el Artículo 123, Apartado B, fracción XIII, de la Constitución Política de los Estados Unidos Mexicanos, de acuerdo con la Tesis de Jurisprudencia que se transcribe a continuación:</w:t>
      </w:r>
    </w:p>
    <w:p w:rsidR="00493091" w:rsidRPr="005520F4" w:rsidRDefault="00493091" w:rsidP="00493091">
      <w:pPr>
        <w:spacing w:before="240" w:line="240" w:lineRule="auto"/>
        <w:ind w:left="993"/>
        <w:jc w:val="both"/>
        <w:rPr>
          <w:rFonts w:ascii="Arial Narrow" w:hAnsi="Arial Narrow" w:cs="Arial"/>
        </w:rPr>
      </w:pPr>
      <w:r w:rsidRPr="005520F4">
        <w:rPr>
          <w:rFonts w:ascii="Arial Narrow" w:hAnsi="Arial Narrow" w:cs="Arial"/>
        </w:rPr>
        <w:t>“</w:t>
      </w:r>
      <w:r w:rsidRPr="005520F4">
        <w:rPr>
          <w:rFonts w:ascii="Arial Narrow" w:hAnsi="Arial Narrow" w:cs="Arial"/>
          <w:b/>
        </w:rPr>
        <w:t>SEGURIDAD PÚBLICA. LA PROHIBICIÓN DE REINSTALAR EN SU CARGO A LOS MIEMBROS DE LAS INSTITUCIONES POLICIALES, PREVISTA POR EL ARTÍCULO 123, APARTADO B, FRACCIÓN XIII, DE LA CONSTITUCIÓN GENERAL DE LA REPÚBLICA, REFORMADO MEDIANTE DECRETO PUBLICADO EN EL DIARIO OFICIAL DE LA FEDERACIÓN EL 18 DE JUNIO DE 2008, ES APLICABLE EN TODOS LOS CASOS, INDEPENDIENTEMENTE DE LA RAZÓN QUE MOTIVÓ EL CESE</w:t>
      </w:r>
      <w:r w:rsidRPr="005520F4">
        <w:rPr>
          <w:rFonts w:ascii="Arial Narrow" w:hAnsi="Arial Narrow" w:cs="Arial"/>
        </w:rPr>
        <w:t xml:space="preserve">.- Del citado precepto constitucional se advierte que los miembros de las instituciones policiales podrán ser separados de sus cargos si no cumplen con los requisitos de permanencia o si incurren en responsabilidad, con la expresa previsión de que si la autoridad resolviere que la separación, remoción, baja, cese o cualquier otra forma de terminación del servicio fue injustificada, el Estado sólo está obligado a pagar la indemnización y demás prestaciones a que tengan derecho, sin que en ningún caso proceda su reincorporación, cualquiera que sea el resultado del juicio o medio de defensa que se hubiere promovido. </w:t>
      </w:r>
      <w:r w:rsidRPr="005520F4">
        <w:rPr>
          <w:rFonts w:ascii="Arial Narrow" w:hAnsi="Arial Narrow" w:cs="Arial"/>
          <w:u w:val="single"/>
        </w:rPr>
        <w:t xml:space="preserve">De lo anterior se sigue que a partir de la aludida reforma </w:t>
      </w:r>
      <w:r w:rsidRPr="005520F4">
        <w:rPr>
          <w:rFonts w:ascii="Arial Narrow" w:hAnsi="Arial Narrow" w:cs="Arial"/>
          <w:b/>
          <w:u w:val="single"/>
        </w:rPr>
        <w:t>la prohibición de reincorporación es absoluta</w:t>
      </w:r>
      <w:r w:rsidRPr="005520F4">
        <w:rPr>
          <w:rFonts w:ascii="Arial Narrow" w:hAnsi="Arial Narrow" w:cs="Arial"/>
          <w:u w:val="single"/>
        </w:rPr>
        <w:t>, lo que se corrobora con el análisis del proceso relativo del que deriva que el Constituyente Permanente privilegió el interés general por el combate a la corrupción y la seguridad por encima de la afectación que pudiere sufrir el agraviado la que, en su caso, se compensaría con el pago de la indemnización respectiva, por lo que independientemente de la razón del cese tiene preferencia la decisión del Constituyente de impedir que los miembros de las corporaciones policiacas que hubiesen causado baja se reincorporen al servicio</w:t>
      </w:r>
      <w:r w:rsidRPr="005520F4">
        <w:rPr>
          <w:rFonts w:ascii="Arial Narrow" w:hAnsi="Arial Narrow" w:cs="Arial"/>
        </w:rPr>
        <w:t>.- Contradicción de tesis 21/2010.”</w:t>
      </w:r>
      <w:r w:rsidRPr="005520F4">
        <w:rPr>
          <w:rStyle w:val="Refdenotaalpie"/>
          <w:rFonts w:ascii="Arial Narrow" w:hAnsi="Arial Narrow" w:cs="Arial"/>
        </w:rPr>
        <w:footnoteReference w:id="1"/>
      </w:r>
    </w:p>
    <w:p w:rsidR="00493091" w:rsidRPr="005520F4" w:rsidRDefault="00493091" w:rsidP="00493091">
      <w:pPr>
        <w:spacing w:before="240" w:line="240" w:lineRule="auto"/>
        <w:ind w:left="993"/>
        <w:jc w:val="both"/>
        <w:rPr>
          <w:rFonts w:ascii="Arial Narrow" w:hAnsi="Arial Narrow" w:cs="Arial"/>
        </w:rPr>
      </w:pPr>
      <w:r w:rsidRPr="005520F4">
        <w:rPr>
          <w:rFonts w:ascii="Arial Narrow" w:hAnsi="Arial Narrow" w:cs="Arial"/>
        </w:rPr>
        <w:t>(Las negrillas y el subrayado son nuestros)</w:t>
      </w:r>
    </w:p>
    <w:p w:rsidR="00280F90" w:rsidRPr="005520F4" w:rsidRDefault="00493091" w:rsidP="00493091">
      <w:pPr>
        <w:spacing w:before="240" w:after="240" w:line="360" w:lineRule="auto"/>
        <w:ind w:right="51" w:firstLine="709"/>
        <w:jc w:val="both"/>
        <w:rPr>
          <w:rFonts w:ascii="Arial" w:hAnsi="Arial" w:cs="Arial"/>
          <w:sz w:val="28"/>
          <w:szCs w:val="28"/>
        </w:rPr>
      </w:pPr>
      <w:r w:rsidRPr="005520F4">
        <w:rPr>
          <w:rFonts w:ascii="Arial" w:hAnsi="Arial" w:cs="Arial"/>
          <w:sz w:val="28"/>
          <w:szCs w:val="28"/>
        </w:rPr>
        <w:lastRenderedPageBreak/>
        <w:t>De igual forma resultan ilustrativas las tesis aisladas cuyos datos de identificación, rubro y contenido son los siguientes</w:t>
      </w:r>
      <w:r w:rsidR="008E1B35">
        <w:rPr>
          <w:rFonts w:ascii="Arial" w:hAnsi="Arial" w:cs="Arial"/>
          <w:sz w:val="28"/>
          <w:szCs w:val="28"/>
        </w:rPr>
        <w:t>:</w:t>
      </w:r>
    </w:p>
    <w:p w:rsidR="00280F90" w:rsidRPr="005520F4" w:rsidRDefault="00280F90" w:rsidP="00280F90">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Registro digital: 2014390</w:t>
      </w:r>
    </w:p>
    <w:p w:rsidR="00280F90" w:rsidRPr="005520F4" w:rsidRDefault="00280F90" w:rsidP="00280F90">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Instancia: Tribunales Colegiados de Circuito</w:t>
      </w:r>
    </w:p>
    <w:p w:rsidR="00280F90" w:rsidRPr="005520F4" w:rsidRDefault="00280F90" w:rsidP="00280F90">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Décima Época</w:t>
      </w:r>
    </w:p>
    <w:p w:rsidR="00280F90" w:rsidRPr="005520F4" w:rsidRDefault="00280F90" w:rsidP="00280F90">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Materias(s): Común, Administrativa</w:t>
      </w:r>
    </w:p>
    <w:p w:rsidR="00280F90" w:rsidRPr="005520F4" w:rsidRDefault="00280F90" w:rsidP="00280F90">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Tesis: VI.1o.A.111 A (10a.)</w:t>
      </w:r>
    </w:p>
    <w:p w:rsidR="00280F90" w:rsidRPr="005520F4" w:rsidRDefault="00280F90" w:rsidP="00280F90">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Fuente: Gaceta del Semanario Judicial de la Federación. Libro 42, Mayo de 2017, Tomo III, página 2116</w:t>
      </w:r>
    </w:p>
    <w:p w:rsidR="00280F90" w:rsidRPr="005520F4" w:rsidRDefault="00280F90" w:rsidP="00280F90">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Tipo: Aislada</w:t>
      </w:r>
    </w:p>
    <w:p w:rsidR="00280F90" w:rsidRPr="005520F4" w:rsidRDefault="00280F90" w:rsidP="00280F90">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280F90" w:rsidRPr="005520F4" w:rsidRDefault="00493091" w:rsidP="00493091">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5520F4">
        <w:rPr>
          <w:rFonts w:ascii="Arial" w:eastAsia="Times New Roman" w:hAnsi="Arial" w:cs="Arial"/>
          <w:b/>
          <w:iCs/>
          <w:sz w:val="20"/>
          <w:szCs w:val="20"/>
          <w:lang w:val="es-ES" w:eastAsia="es-ES"/>
        </w:rPr>
        <w:t>“</w:t>
      </w:r>
      <w:r w:rsidR="00280F90" w:rsidRPr="005520F4">
        <w:rPr>
          <w:rFonts w:ascii="Arial" w:eastAsia="Times New Roman" w:hAnsi="Arial" w:cs="Arial"/>
          <w:b/>
          <w:iCs/>
          <w:sz w:val="20"/>
          <w:szCs w:val="20"/>
          <w:lang w:val="es-ES" w:eastAsia="es-ES"/>
        </w:rPr>
        <w:t>SEGURIDAD PÚBLICA. LA INCOMPETENCIA DE LA AUTORIDAD QUE DECRETA EL CESE DE MIEMBROS DE LOS CUERPOS POLICIALES, NO DA LUGAR A QUE AL AMPARO SE IMPRIMA EL EFECTO DE SU REINCORPORACIÓN AL SERVICIO (APLICACIÓN DE LA JURISPRUDENCIA 2a</w:t>
      </w:r>
      <w:proofErr w:type="gramStart"/>
      <w:r w:rsidR="00280F90" w:rsidRPr="005520F4">
        <w:rPr>
          <w:rFonts w:ascii="Arial" w:eastAsia="Times New Roman" w:hAnsi="Arial" w:cs="Arial"/>
          <w:b/>
          <w:iCs/>
          <w:sz w:val="20"/>
          <w:szCs w:val="20"/>
          <w:lang w:val="es-ES" w:eastAsia="es-ES"/>
        </w:rPr>
        <w:t>./</w:t>
      </w:r>
      <w:proofErr w:type="gramEnd"/>
      <w:r w:rsidR="00280F90" w:rsidRPr="005520F4">
        <w:rPr>
          <w:rFonts w:ascii="Arial" w:eastAsia="Times New Roman" w:hAnsi="Arial" w:cs="Arial"/>
          <w:b/>
          <w:iCs/>
          <w:sz w:val="20"/>
          <w:szCs w:val="20"/>
          <w:lang w:val="es-ES" w:eastAsia="es-ES"/>
        </w:rPr>
        <w:t>J. 103/2010)</w:t>
      </w:r>
      <w:r w:rsidR="00280F90" w:rsidRPr="005520F4">
        <w:rPr>
          <w:rFonts w:ascii="Arial" w:eastAsia="Times New Roman" w:hAnsi="Arial" w:cs="Arial"/>
          <w:iCs/>
          <w:sz w:val="20"/>
          <w:szCs w:val="20"/>
          <w:lang w:val="es-ES" w:eastAsia="es-ES"/>
        </w:rPr>
        <w:t>.</w:t>
      </w:r>
      <w:r w:rsidRPr="005520F4">
        <w:rPr>
          <w:rFonts w:ascii="Arial" w:eastAsia="Times New Roman" w:hAnsi="Arial" w:cs="Arial"/>
          <w:iCs/>
          <w:sz w:val="20"/>
          <w:szCs w:val="20"/>
          <w:lang w:val="es-ES" w:eastAsia="es-ES"/>
        </w:rPr>
        <w:t xml:space="preserve"> </w:t>
      </w:r>
      <w:r w:rsidR="00280F90" w:rsidRPr="005520F4">
        <w:rPr>
          <w:rFonts w:ascii="Arial" w:eastAsia="Times New Roman" w:hAnsi="Arial" w:cs="Arial"/>
          <w:iCs/>
          <w:sz w:val="20"/>
          <w:szCs w:val="20"/>
          <w:lang w:val="es-ES" w:eastAsia="es-ES"/>
        </w:rPr>
        <w:t>La Segunda Sala de la Suprema Corte de Justicia de la Nación, en la jurisprudencia mencionada, de rubro: "SEGURIDAD PÚBLICA. LA PROHIBICIÓN DE REINSTALAR EN SU CARGO A LOS MIEMBROS DE LAS INSTITUCIONES POLICIALES, PREVISTA POR EL ARTÍCULO 123, APARTADO B, FRACCIÓN XIII, DE LA CONSTITUCIÓN GENERAL DE LA REPÚBLICA, REFORMADO MEDIANTE DECRETO PUBLICADO EN EL DIARIO OFICIAL DE LA FEDERACIÓN EL 18 DE JUNIO DE 2008, ES APLICABLE EN TODOS LOS CASOS, INDEPENDIENTEMENTE DE LA RAZÓN QUE MOTIVÓ EL CESE.", sostuvo que a partir de la reforma al artículo 123, apartado B, fracción XIII, de la Constitución Política de los Estados Unidos Mexicanos, publicada en el Diario Oficial de la Federación el dieciocho de junio de dos mil ocho, la prohibición de reincorporación de los miembros de las instituciones policiales se tornó absoluta. En la ejecutoria relativa consideró que en diversos criterios que emitió antes de tal reforma, entre los cuales mencionó la tesis aislada 2a. CXCVII/2001, de rubro: "BAJA DE POLICÍA POR AUTORIDAD INCOMPETENTE. LA SENTENCIA QUE CONCEDA EL AMPARO, AUNQUE LA RESOLUCIÓN HUBIERA SIDO POSTERIOR A LA INICIACIÓN DE LA VIGENCIA DE LA REFORMA A LA FRACCIÓN XIII DEL ARTÍCULO 123 DE LA CONSTITUCIÓN POLÍTICA DE LOS ESTADOS UNIDOS MEXICANOS (NUEVE DE MARZO DE MIL NOVECIENTOS NOVENTA Y NUEVE), DEBE CUMPLIRSE A TRAVÉS DE LA REINSTALACIÓN Y EL PAGO DE LAS PRESTACIONES QUE DEJARON DE CUBRÍRSELE.", había contemplado la existencia de determinados supuestos en que era procedente la reinstalación o restitución. Aun cuando no se pronunció expresamente sobre la insubsistencia de tal criterio aislado -que este tribunal ha invocado en el pasado en la resolución de algunos asuntos atinentes a la hipótesis que aborda-, sí esclareció que fue emitido en un contexto que no consideraba dicho carácter absoluto de la restricción constitucional. Subrayó que con la mencionada reforma, la voluntad del Constituyente Permanente fue impedir que los miembros de las corporaciones policiacas fueran reinstalados en su cargo una vez dados de baja, con independencia de las razones en las que ésta se hubiese sustentado. Posteriormente, en la contradicción de tesis 51/2012, desechó la denuncia relativa, fundada en el argumento de que el problema jurídico a que se constreñía, consistente en determinar si la prohibición de reinstalar en su cargo a los miembros de las instituciones policiales, era o no aplicable en aquellos casos en que la remoción la decretara autoridad incompetente, debía zanjarse en los términos fijados al resolver la contradicción de tesis que dio origen a la invocada jurisprudencia 2a./J. 103/2010. Por tanto, este Tribunal Colegiado de Circuito prescinde en adelante de la aplicación del criterio aislado mencionado, y asume la postura de que, aun cuando se establezca la incompetencia de la autoridad que decretó el cese de los miembros de las instituciones policiales, no es jurídicamente admisible que al amparo se le imprima el efecto de su reincorporación al servicio, dado el carácter absoluto de la restricción constitucional, y en estricto acatamiento a los lineamientos fijados jurisprudencialmente.</w:t>
      </w:r>
      <w:r w:rsidRPr="005520F4">
        <w:rPr>
          <w:rFonts w:ascii="Arial" w:eastAsia="Times New Roman" w:hAnsi="Arial" w:cs="Arial"/>
          <w:iCs/>
          <w:sz w:val="20"/>
          <w:szCs w:val="20"/>
          <w:lang w:val="es-ES" w:eastAsia="es-ES"/>
        </w:rPr>
        <w:t>”</w:t>
      </w:r>
    </w:p>
    <w:p w:rsidR="00280F90" w:rsidRPr="005520F4" w:rsidRDefault="00280F90" w:rsidP="00280F90">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280F90" w:rsidRPr="005520F4" w:rsidRDefault="00280F90" w:rsidP="00280F90">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PRIMER TRIBUNAL COLEGIADO EN MATERIA ADMINISTRATIVA DEL SEXTO CIRCUITO.</w:t>
      </w:r>
    </w:p>
    <w:p w:rsidR="00280F90" w:rsidRPr="005520F4" w:rsidRDefault="00280F90" w:rsidP="00280F90">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280F90" w:rsidRPr="005520F4" w:rsidRDefault="00280F90" w:rsidP="00280F90">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Amparo en revisión 502/2016. 4 de mayo de 2017. Unanimidad de votos. Ponente: Diógenes Cruz Figueroa. Secretario: Salvador Alejandro Lobato Rodríguez.</w:t>
      </w:r>
    </w:p>
    <w:p w:rsidR="00280F90" w:rsidRPr="005520F4" w:rsidRDefault="00280F90" w:rsidP="00280F90">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280F90" w:rsidRPr="005520F4" w:rsidRDefault="00280F90" w:rsidP="00280F90">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Nota: La tesis de jurisprudencia 2a</w:t>
      </w:r>
      <w:proofErr w:type="gramStart"/>
      <w:r w:rsidRPr="005520F4">
        <w:rPr>
          <w:rFonts w:ascii="Arial" w:eastAsia="Times New Roman" w:hAnsi="Arial" w:cs="Arial"/>
          <w:iCs/>
          <w:sz w:val="20"/>
          <w:szCs w:val="20"/>
          <w:lang w:val="es-ES" w:eastAsia="es-ES"/>
        </w:rPr>
        <w:t>./</w:t>
      </w:r>
      <w:proofErr w:type="gramEnd"/>
      <w:r w:rsidRPr="005520F4">
        <w:rPr>
          <w:rFonts w:ascii="Arial" w:eastAsia="Times New Roman" w:hAnsi="Arial" w:cs="Arial"/>
          <w:iCs/>
          <w:sz w:val="20"/>
          <w:szCs w:val="20"/>
          <w:lang w:val="es-ES" w:eastAsia="es-ES"/>
        </w:rPr>
        <w:t xml:space="preserve">J. 103/2010 y la tesis aislada 2a. CXCVII/2001 citadas, aparecen publicadas en el Semanario Judicial de la Federación y su Gaceta, </w:t>
      </w:r>
      <w:r w:rsidRPr="005520F4">
        <w:rPr>
          <w:rFonts w:ascii="Arial" w:eastAsia="Times New Roman" w:hAnsi="Arial" w:cs="Arial"/>
          <w:iCs/>
          <w:sz w:val="20"/>
          <w:szCs w:val="20"/>
          <w:lang w:val="es-ES" w:eastAsia="es-ES"/>
        </w:rPr>
        <w:lastRenderedPageBreak/>
        <w:t>Novena Época, Tomos XXXII, julio de 2010, página 310 y XIV, octubre de 2001, página 430, respectivamente.</w:t>
      </w:r>
    </w:p>
    <w:p w:rsidR="00493091" w:rsidRPr="005520F4" w:rsidRDefault="00493091" w:rsidP="00280F90">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280F90" w:rsidRPr="005520F4" w:rsidRDefault="00280F90" w:rsidP="00280F90">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Esta tesis se publicó el viernes 26 de mayo de 2017 a las 10:31 horas en el Semanario Judicial de la Federación.</w:t>
      </w:r>
    </w:p>
    <w:p w:rsidR="006D6E86" w:rsidRPr="005520F4" w:rsidRDefault="006D6E86" w:rsidP="00493091">
      <w:pPr>
        <w:autoSpaceDE w:val="0"/>
        <w:autoSpaceDN w:val="0"/>
        <w:adjustRightInd w:val="0"/>
        <w:spacing w:after="0" w:line="240" w:lineRule="auto"/>
        <w:jc w:val="both"/>
        <w:rPr>
          <w:rFonts w:ascii="Arial" w:eastAsia="Times New Roman" w:hAnsi="Arial" w:cs="Arial"/>
          <w:iCs/>
          <w:sz w:val="20"/>
          <w:szCs w:val="20"/>
          <w:lang w:val="es-ES" w:eastAsia="es-ES"/>
        </w:rPr>
      </w:pPr>
    </w:p>
    <w:p w:rsidR="006D6E86" w:rsidRPr="005520F4" w:rsidRDefault="006D6E86" w:rsidP="006D6E86">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Registro digital: 162613</w:t>
      </w:r>
    </w:p>
    <w:p w:rsidR="006D6E86" w:rsidRPr="005520F4" w:rsidRDefault="006D6E86" w:rsidP="006D6E86">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Instancia: Tribunales Colegiados de Circuito</w:t>
      </w:r>
    </w:p>
    <w:p w:rsidR="006D6E86" w:rsidRPr="005520F4" w:rsidRDefault="006D6E86" w:rsidP="006D6E86">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Novena Época</w:t>
      </w:r>
    </w:p>
    <w:p w:rsidR="006D6E86" w:rsidRPr="005520F4" w:rsidRDefault="006D6E86" w:rsidP="006D6E86">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Materias(s): Común, Administrativa</w:t>
      </w:r>
    </w:p>
    <w:p w:rsidR="006D6E86" w:rsidRPr="005520F4" w:rsidRDefault="006D6E86" w:rsidP="006D6E86">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Tesis: IV.3o.A.134 A</w:t>
      </w:r>
    </w:p>
    <w:p w:rsidR="006D6E86" w:rsidRPr="005520F4" w:rsidRDefault="006D6E86" w:rsidP="006D6E86">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Fuente: Semanario Judicial de la Federación y su Gaceta. Tomo XXXIII, Marzo de 2011, página 2299</w:t>
      </w:r>
    </w:p>
    <w:p w:rsidR="006D6E86" w:rsidRPr="005520F4" w:rsidRDefault="006D6E86" w:rsidP="006D6E86">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Tipo: Aislada</w:t>
      </w:r>
    </w:p>
    <w:p w:rsidR="006D6E86" w:rsidRPr="005520F4" w:rsidRDefault="006D6E86" w:rsidP="006D6E86">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6D6E86" w:rsidRPr="005520F4" w:rsidRDefault="006D6E86" w:rsidP="006D6E86">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5520F4">
        <w:rPr>
          <w:rFonts w:ascii="Arial" w:eastAsia="Times New Roman" w:hAnsi="Arial" w:cs="Arial"/>
          <w:b/>
          <w:iCs/>
          <w:sz w:val="20"/>
          <w:szCs w:val="20"/>
          <w:lang w:val="es-ES" w:eastAsia="es-ES"/>
        </w:rPr>
        <w:t>“CUERPOS DE SEGURIDAD PÚBLICA. LA CONCESIÓN DEL AMPARO CONTRA LA SEPARACIÓN EN EL CARGO DE SUS MIEMBROS NO PUEDE SER PARA EL EFECTO DE QUE SEAN REINSTALADOS, AUN CUANDO EL ACTO RECLAMADO HAYA SIDO DICTADO POR AUTORIDAD INCOMPETENTE</w:t>
      </w:r>
      <w:r w:rsidRPr="005520F4">
        <w:rPr>
          <w:rFonts w:ascii="Arial" w:eastAsia="Times New Roman" w:hAnsi="Arial" w:cs="Arial"/>
          <w:iCs/>
          <w:sz w:val="20"/>
          <w:szCs w:val="20"/>
          <w:lang w:val="es-ES" w:eastAsia="es-ES"/>
        </w:rPr>
        <w:t>. Acorde con la jurisprudencia 2a./J. 103/2010 de la Segunda Sala de la Suprema Corte de Justicia de la Nación, publicada en el Semanario Judicial de la Federación y su Gaceta, Novena Época, Tomo XXXII, julio de 2010, página 310, de rubro: "SEGURIDAD PÚBLICA. LA PROHIBICIÓN DE REINSTALAR EN SU CARGO A LOS MIEMBROS DE LAS INSTITUCIONES POLICIALES, PREVISTA POR EL ARTÍCULO 123, APARTADO B, FRACCIÓN XIII, DE LA CONSTITUCIÓN GENERAL DE LA REPÚBLICA, REFORMADO MEDIANTE DECRETO PUBLICADO EN EL DIARIO OFICIAL DE LA FEDERACIÓN EL 18 DE JUNIO DE 2008, ES APLICABLE EN TODOS LOS CASOS, INDEPENDIENTEMENTE DE LA RAZÓN QUE MOTIVÓ EL CESE.", los miembros de las instituciones de seguridad pública podrán ser separados de sus cargos si no cumplen con los requisitos de permanencia o incurren en responsabilidad y, en caso de que la autoridad resolviere que la separación fue injustificada, el Estado sólo está obligado a pagar la indemnización y demás prestaciones a que tengan derecho, sin que en ningún caso proceda su reincorporación, cualquiera que sea el resultado del juicio o medio de defensa promovido. Así, en términos de los mencionados lineamientos, la prohibición de la reinstalación es absoluta. Por tanto, la concesión del amparo contra la separación en el cargo de los miembros de los cuerpos de seguridad pública no puede ser para el efecto de que sean reinstalados, aun cuando el acto reclamado haya sido dictado por autoridad incompetente, supuesto en el que la protección de la Justicia Federal será, en todo caso, para el efecto de que les sean pagadas la indemnización y demás prestaciones a que tengan derecho.”</w:t>
      </w:r>
    </w:p>
    <w:p w:rsidR="006D6E86" w:rsidRPr="005520F4" w:rsidRDefault="006D6E86" w:rsidP="006D6E86">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6D6E86" w:rsidRPr="005520F4" w:rsidRDefault="006D6E86" w:rsidP="006D6E86">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TERCER TRIBUNAL COLEGIADO EN MATERIA ADMINISTRATIVA DEL CUARTO CIRCUITO.</w:t>
      </w:r>
    </w:p>
    <w:p w:rsidR="006D6E86" w:rsidRPr="005520F4" w:rsidRDefault="006D6E86" w:rsidP="006D6E86">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6D6E86" w:rsidRPr="005520F4" w:rsidRDefault="006D6E86" w:rsidP="006D6E86">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 xml:space="preserve">Amparo en revisión 181/2010. Christian Morales Álvarez. 19 de agosto de 2010. Unanimidad de votos. Ponente: Jesús R. Sandoval Pinzón. Secretario: Pedro Gerardo Álvarez </w:t>
      </w:r>
      <w:proofErr w:type="spellStart"/>
      <w:r w:rsidRPr="005520F4">
        <w:rPr>
          <w:rFonts w:ascii="Arial" w:eastAsia="Times New Roman" w:hAnsi="Arial" w:cs="Arial"/>
          <w:iCs/>
          <w:sz w:val="20"/>
          <w:szCs w:val="20"/>
          <w:lang w:val="es-ES" w:eastAsia="es-ES"/>
        </w:rPr>
        <w:t>Álvarez</w:t>
      </w:r>
      <w:proofErr w:type="spellEnd"/>
      <w:r w:rsidRPr="005520F4">
        <w:rPr>
          <w:rFonts w:ascii="Arial" w:eastAsia="Times New Roman" w:hAnsi="Arial" w:cs="Arial"/>
          <w:iCs/>
          <w:sz w:val="20"/>
          <w:szCs w:val="20"/>
          <w:lang w:val="es-ES" w:eastAsia="es-ES"/>
        </w:rPr>
        <w:t xml:space="preserve"> del Castillo.</w:t>
      </w:r>
    </w:p>
    <w:p w:rsidR="006D6E86" w:rsidRPr="005520F4" w:rsidRDefault="006D6E86" w:rsidP="006D6E86">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6D6E86" w:rsidRPr="005520F4" w:rsidRDefault="006D6E86" w:rsidP="006D6E86">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 xml:space="preserve">Amparo directo 207/2010. Noé Hernández </w:t>
      </w:r>
      <w:proofErr w:type="spellStart"/>
      <w:r w:rsidRPr="005520F4">
        <w:rPr>
          <w:rFonts w:ascii="Arial" w:eastAsia="Times New Roman" w:hAnsi="Arial" w:cs="Arial"/>
          <w:iCs/>
          <w:sz w:val="20"/>
          <w:szCs w:val="20"/>
          <w:lang w:val="es-ES" w:eastAsia="es-ES"/>
        </w:rPr>
        <w:t>Reyhlander</w:t>
      </w:r>
      <w:proofErr w:type="spellEnd"/>
      <w:r w:rsidRPr="005520F4">
        <w:rPr>
          <w:rFonts w:ascii="Arial" w:eastAsia="Times New Roman" w:hAnsi="Arial" w:cs="Arial"/>
          <w:iCs/>
          <w:sz w:val="20"/>
          <w:szCs w:val="20"/>
          <w:lang w:val="es-ES" w:eastAsia="es-ES"/>
        </w:rPr>
        <w:t xml:space="preserve">. 26 de agosto de 2010. Unanimidad de votos. Ponente: Jesús R. Sandoval Pinzón. Secretario: Pedro Gerardo Álvarez </w:t>
      </w:r>
      <w:proofErr w:type="spellStart"/>
      <w:r w:rsidRPr="005520F4">
        <w:rPr>
          <w:rFonts w:ascii="Arial" w:eastAsia="Times New Roman" w:hAnsi="Arial" w:cs="Arial"/>
          <w:iCs/>
          <w:sz w:val="20"/>
          <w:szCs w:val="20"/>
          <w:lang w:val="es-ES" w:eastAsia="es-ES"/>
        </w:rPr>
        <w:t>Álvarez</w:t>
      </w:r>
      <w:proofErr w:type="spellEnd"/>
      <w:r w:rsidRPr="005520F4">
        <w:rPr>
          <w:rFonts w:ascii="Arial" w:eastAsia="Times New Roman" w:hAnsi="Arial" w:cs="Arial"/>
          <w:iCs/>
          <w:sz w:val="20"/>
          <w:szCs w:val="20"/>
          <w:lang w:val="es-ES" w:eastAsia="es-ES"/>
        </w:rPr>
        <w:t xml:space="preserve"> del Castillo.</w:t>
      </w:r>
    </w:p>
    <w:p w:rsidR="006D6E86" w:rsidRPr="005520F4" w:rsidRDefault="006D6E86" w:rsidP="006D6E86">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6D6E86" w:rsidRPr="005520F4" w:rsidRDefault="006D6E86" w:rsidP="00167447">
      <w:pPr>
        <w:autoSpaceDE w:val="0"/>
        <w:autoSpaceDN w:val="0"/>
        <w:adjustRightInd w:val="0"/>
        <w:spacing w:after="0" w:line="240" w:lineRule="auto"/>
        <w:ind w:left="720"/>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Nota: Por ejecutoria del 2 de mayo de 2012, la Segunda Sala declaró improcedente la contradicción de tesis 51/2012 derivada de la denuncia de la que fue objeto el criterio contenido en esta tesis, al estimarse que ya existe la jurisprudencia 2a./J. 102/2010 que resuelve el mismo problema jurídico.</w:t>
      </w:r>
    </w:p>
    <w:p w:rsidR="00167447" w:rsidRPr="005520F4" w:rsidRDefault="00167447" w:rsidP="00167447">
      <w:pPr>
        <w:autoSpaceDE w:val="0"/>
        <w:autoSpaceDN w:val="0"/>
        <w:adjustRightInd w:val="0"/>
        <w:spacing w:after="0" w:line="240" w:lineRule="auto"/>
        <w:ind w:left="720"/>
        <w:jc w:val="both"/>
        <w:rPr>
          <w:rFonts w:ascii="Arial" w:eastAsia="Times New Roman" w:hAnsi="Arial" w:cs="Arial"/>
          <w:iCs/>
          <w:sz w:val="20"/>
          <w:szCs w:val="20"/>
          <w:lang w:val="es-ES" w:eastAsia="es-ES"/>
        </w:rPr>
      </w:pPr>
    </w:p>
    <w:p w:rsidR="006D6E86" w:rsidRPr="005520F4" w:rsidRDefault="00167447" w:rsidP="00280F90">
      <w:pPr>
        <w:spacing w:after="0" w:line="360" w:lineRule="auto"/>
        <w:ind w:firstLine="709"/>
        <w:jc w:val="both"/>
        <w:rPr>
          <w:rFonts w:ascii="Arial" w:hAnsi="Arial" w:cs="Arial"/>
          <w:sz w:val="28"/>
          <w:szCs w:val="28"/>
        </w:rPr>
      </w:pPr>
      <w:r w:rsidRPr="005520F4">
        <w:rPr>
          <w:rFonts w:ascii="Arial" w:hAnsi="Arial" w:cs="Arial"/>
          <w:sz w:val="28"/>
          <w:szCs w:val="28"/>
        </w:rPr>
        <w:t xml:space="preserve">Ante esa circunstancia de imposibilidad, resulta improcedente la pretensión del actor indicada en el literal C., del capítulo de su demanda consistente en el pago de los salarios caídos </w:t>
      </w:r>
      <w:r w:rsidR="00560948" w:rsidRPr="005520F4">
        <w:rPr>
          <w:rFonts w:ascii="Arial" w:hAnsi="Arial" w:cs="Arial"/>
          <w:sz w:val="28"/>
          <w:szCs w:val="28"/>
        </w:rPr>
        <w:t>y dejados de percibir a partir del dieciséis de febrero de dos mil veinte, pues dicha pretensión únicamente resultaría procedente en caso de que se hubiese ordenado la reinstalación correspondiente, de ahí lo improcedente de la pretensi</w:t>
      </w:r>
      <w:r w:rsidR="00550B58">
        <w:rPr>
          <w:rFonts w:ascii="Arial" w:hAnsi="Arial" w:cs="Arial"/>
          <w:sz w:val="28"/>
          <w:szCs w:val="28"/>
        </w:rPr>
        <w:t xml:space="preserve">ón, sin que </w:t>
      </w:r>
      <w:r w:rsidR="00550B58">
        <w:rPr>
          <w:rFonts w:ascii="Arial" w:hAnsi="Arial" w:cs="Arial"/>
          <w:sz w:val="28"/>
          <w:szCs w:val="28"/>
        </w:rPr>
        <w:lastRenderedPageBreak/>
        <w:t xml:space="preserve">obste que en el caso no se hubiese cubierto cantidad alguna pro los servicios prestados por el actor previo a su </w:t>
      </w:r>
      <w:r w:rsidR="008E1B35">
        <w:rPr>
          <w:rFonts w:ascii="Arial" w:hAnsi="Arial" w:cs="Arial"/>
          <w:sz w:val="28"/>
          <w:szCs w:val="28"/>
        </w:rPr>
        <w:t>baja o cese, lo cual viene a ser atendido con posterioridad.</w:t>
      </w:r>
    </w:p>
    <w:p w:rsidR="00FB1828" w:rsidRPr="005520F4" w:rsidRDefault="00FB1828" w:rsidP="00075CA0">
      <w:pPr>
        <w:spacing w:after="0" w:line="360" w:lineRule="auto"/>
        <w:ind w:firstLine="709"/>
        <w:jc w:val="both"/>
        <w:rPr>
          <w:rFonts w:ascii="Arial" w:hAnsi="Arial" w:cs="Arial"/>
          <w:sz w:val="28"/>
          <w:szCs w:val="28"/>
        </w:rPr>
      </w:pPr>
      <w:r w:rsidRPr="005520F4">
        <w:rPr>
          <w:rFonts w:ascii="Arial" w:hAnsi="Arial" w:cs="Arial"/>
          <w:sz w:val="28"/>
          <w:szCs w:val="28"/>
        </w:rPr>
        <w:t xml:space="preserve">Finalmente, y en atención a las pretensiones del actor descritas en los literales D y E, a efecto de restituir al actor en el goce de los derechos que le fueron indebidamente violados, en términos de lo dispuesto por el artículo </w:t>
      </w:r>
      <w:r w:rsidR="00075CA0" w:rsidRPr="005520F4">
        <w:rPr>
          <w:rFonts w:ascii="Arial" w:hAnsi="Arial" w:cs="Arial"/>
          <w:sz w:val="28"/>
          <w:szCs w:val="28"/>
        </w:rPr>
        <w:t>252 del</w:t>
      </w:r>
      <w:r w:rsidRPr="005520F4">
        <w:rPr>
          <w:rFonts w:ascii="Arial" w:hAnsi="Arial" w:cs="Arial"/>
          <w:sz w:val="28"/>
          <w:szCs w:val="28"/>
        </w:rPr>
        <w:t xml:space="preserve"> </w:t>
      </w:r>
      <w:r w:rsidR="00075CA0" w:rsidRPr="005520F4">
        <w:rPr>
          <w:rFonts w:ascii="Arial" w:hAnsi="Arial" w:cs="Arial"/>
          <w:sz w:val="28"/>
          <w:szCs w:val="28"/>
        </w:rPr>
        <w:t>Código Procesal Administrativo para el Estado de San Luis Potosí</w:t>
      </w:r>
      <w:r w:rsidRPr="005520F4">
        <w:rPr>
          <w:rFonts w:ascii="Arial" w:hAnsi="Arial" w:cs="Arial"/>
          <w:sz w:val="28"/>
          <w:szCs w:val="28"/>
        </w:rPr>
        <w:t xml:space="preserve">, se ordena a las </w:t>
      </w:r>
      <w:r w:rsidR="00075CA0" w:rsidRPr="005520F4">
        <w:rPr>
          <w:rFonts w:ascii="Arial" w:hAnsi="Arial" w:cs="Arial"/>
          <w:sz w:val="28"/>
          <w:szCs w:val="28"/>
        </w:rPr>
        <w:t xml:space="preserve">autoridades demandadas </w:t>
      </w:r>
      <w:r w:rsidRPr="005520F4">
        <w:rPr>
          <w:rFonts w:ascii="Arial" w:hAnsi="Arial" w:cs="Arial"/>
          <w:sz w:val="28"/>
          <w:szCs w:val="28"/>
        </w:rPr>
        <w:t>que:</w:t>
      </w:r>
    </w:p>
    <w:p w:rsidR="00FB1828" w:rsidRPr="005520F4" w:rsidRDefault="00FB1828" w:rsidP="00FB1828">
      <w:pPr>
        <w:spacing w:before="120" w:after="120" w:line="360" w:lineRule="auto"/>
        <w:ind w:left="708"/>
        <w:jc w:val="both"/>
        <w:rPr>
          <w:rFonts w:ascii="Arial" w:hAnsi="Arial" w:cs="Arial"/>
          <w:sz w:val="28"/>
          <w:szCs w:val="28"/>
        </w:rPr>
      </w:pPr>
      <w:r w:rsidRPr="005520F4">
        <w:rPr>
          <w:rFonts w:ascii="Arial" w:hAnsi="Arial" w:cs="Arial"/>
          <w:b/>
          <w:sz w:val="28"/>
          <w:szCs w:val="28"/>
        </w:rPr>
        <w:t>1.-</w:t>
      </w:r>
      <w:r w:rsidRPr="005520F4">
        <w:rPr>
          <w:rFonts w:ascii="Arial" w:hAnsi="Arial" w:cs="Arial"/>
          <w:sz w:val="28"/>
          <w:szCs w:val="28"/>
        </w:rPr>
        <w:t xml:space="preserve"> Paguen al Actor la indemnización a que se refiere el artículo 123</w:t>
      </w:r>
      <w:r w:rsidR="00075CA0" w:rsidRPr="005520F4">
        <w:rPr>
          <w:rFonts w:ascii="Arial" w:hAnsi="Arial" w:cs="Arial"/>
          <w:sz w:val="28"/>
          <w:szCs w:val="28"/>
        </w:rPr>
        <w:t>,</w:t>
      </w:r>
      <w:r w:rsidRPr="005520F4">
        <w:rPr>
          <w:rFonts w:ascii="Arial" w:hAnsi="Arial" w:cs="Arial"/>
          <w:sz w:val="28"/>
          <w:szCs w:val="28"/>
        </w:rPr>
        <w:t xml:space="preserve"> apartado B</w:t>
      </w:r>
      <w:r w:rsidR="00075CA0" w:rsidRPr="005520F4">
        <w:rPr>
          <w:rFonts w:ascii="Arial" w:hAnsi="Arial" w:cs="Arial"/>
          <w:sz w:val="28"/>
          <w:szCs w:val="28"/>
        </w:rPr>
        <w:t>,</w:t>
      </w:r>
      <w:r w:rsidRPr="005520F4">
        <w:rPr>
          <w:rFonts w:ascii="Arial" w:hAnsi="Arial" w:cs="Arial"/>
          <w:sz w:val="28"/>
          <w:szCs w:val="28"/>
        </w:rPr>
        <w:t xml:space="preserve"> fracción XIII</w:t>
      </w:r>
      <w:r w:rsidR="00075CA0" w:rsidRPr="005520F4">
        <w:rPr>
          <w:rFonts w:ascii="Arial" w:hAnsi="Arial" w:cs="Arial"/>
          <w:sz w:val="28"/>
          <w:szCs w:val="28"/>
        </w:rPr>
        <w:t>,</w:t>
      </w:r>
      <w:r w:rsidRPr="005520F4">
        <w:rPr>
          <w:rFonts w:ascii="Arial" w:hAnsi="Arial" w:cs="Arial"/>
          <w:sz w:val="28"/>
          <w:szCs w:val="28"/>
        </w:rPr>
        <w:t xml:space="preserve"> segundo párrafo</w:t>
      </w:r>
      <w:r w:rsidR="00075CA0" w:rsidRPr="005520F4">
        <w:rPr>
          <w:rFonts w:ascii="Arial" w:hAnsi="Arial" w:cs="Arial"/>
          <w:sz w:val="28"/>
          <w:szCs w:val="28"/>
        </w:rPr>
        <w:t>,</w:t>
      </w:r>
      <w:r w:rsidRPr="005520F4">
        <w:rPr>
          <w:rFonts w:ascii="Arial" w:hAnsi="Arial" w:cs="Arial"/>
          <w:sz w:val="28"/>
          <w:szCs w:val="28"/>
        </w:rPr>
        <w:t xml:space="preserve"> de </w:t>
      </w:r>
      <w:smartTag w:uri="urn:schemas-microsoft-com:office:smarttags" w:element="PersonName">
        <w:smartTagPr>
          <w:attr w:name="ProductID" w:val="ミ㹼ヸ쀈ꗜヘۈઆ  ŗČ㺬ヸ佈ミ㹼ヸ쀈ꗜヘ죐੘튰  ŞČ㺬ヸ佈ミ㹼ヸ쀈ꗜヘ쥈੘  ƥČ㺬ヸ佈ミ㹼ヸ쀈ꗜヘ즘੘  ƬČ㺬ヸ佈ミ㹼ヸ쀈ꗜヘ扈Ѣru ƻĈ佴ミ쀈jỬఅẠఅƾĈỄఅ㾰ઇ扐Ѣes.dƁČ逐௷㹐௸ƇĈlaੳᯨੳ ƄČ㺬ヸ佈ミ㹼ヸ쀈ꗜヘ੊me ƓĈ佴ミ쀈੊禰Ѣ ƖČ㺬ヸ佈ミ㹼ヸ쀈ꗜヘ秸Ѣor ƝĈ秔Ѣ샐੊੊刀攀猀ǠĐde᠀ocǤĈ佴ミ쀈Í竜Ѣ穨Ѣ ǯČ㺬ヸ佈ミ㹼ヸ쀈ꗜヘ窰Ѣ渀琀 ǶĈ窌Ѣ筨Ѣ⠐Ѡ䘀㄀ǹĈsèЀǾĈ佴ミ쀈Ð箌Ѣ笘Ѣ ǁČ㺬ヸ佈ミ㹼ヸ쀈ꗜヘ筠Ѣ ǈĈ笼Ѣ簘Ѣ窸ѢǓĈle窾줼ǐĈ佴ミ쀈Ó簼Ѣ篈Ѣ ǛČ㺬ヸ佈ミ㹼ヸ쀈ꗜヘ簐ѢŸ ĢĈ篬Ѣ糈Ѣ筨ѢocumĥĈdioĪĈ佴ミ쀈×糬Ѣ籸Ѣ ĭČ㺬ヸ佈ミ㹼ヸ쀈ꗜヘ糀Ѣ ĴĈ粜Ѣ絸Ѣ簘ѢĿĈconļĈ佴ミ쀈Û綜Ѣ紨Ѣ ćČ㺬ヸ佈ミ㹼ヸ쀈ꗜヘ絰Ѣ ĎĈ経Ѣ縨Ѣ糈ѢđĈelĖĈ佴ミ쀈Þ繌Ѣ緘Ѣ ęČ㺬ヸ佈ミ㹼ヸ쀈ꗜヘ縠Ѣ ŠĈ緼Ѣ绨Ѣ絸Ѣ⪌㡭ᲽǍūĈRecursoosSilŮĈ佴ミ쀈æ缌Ѣ纘Ѣ űČ㺬ヸ佈ミ㹼ヸ쀈ꗜヘ绠Ѣia ŸĈ纼Ѣ羘Ѣ縨ѢcŃĈdeŀĈ佴ミ쀈é羼Ѣ罈Ѣ ŋČ㺬ヸ佈ミ㹼ヸ쀈ꗜヘ羐Ѣ ŒĈ罬Ѣ聘Ѣ绨ѢŕĈReclamaciónŘĈ佴ミ쀈ô聼Ѣ耈Ѣ ƣČ㺬ヸ佈ミ㹼ヸ쀈ꗜヘ聐Ѣ ƪĈ耬Ѣ脈Ѣ羘Ѣ.DOCƭĈ;ƲĈ佴ミ쀈ö脬Ѣ肸Ѣ ƵČ㺬ヸ佈ミ㹼ヸ쀈ꗜヘ脀Ѣ ƼĈ胜Ѣ膸Ѣ聘ѢƇĈSinƄĈ佴ミ쀈ú臜Ѣ腨Ѣ ƏČ㺬ヸ佈ミ㹼ヸ쀈ꗜヘ膰Ѣ ƖĈ膌Ѣ艸Ѣ脈ѢƙĈembargoƜĈ佴ミ쀈Ă芜Ѣ舨Ѣ ǧČ㺬ヸ佈ミ㹼ヸ쀈ꗜヘ艰Ѣ ǮĈ艌Ѣ茨Ѣ膸ѢǱĈenǶĈ佴ミ쀈ą荌Ѣ苘Ѣ ǹČ㺬ヸ佈ミ㹼ヸ쀈ꗜヘ茠Ѣ ǀĈ苼Ѣ菘Ѣ艸ѢǋĈ&#10;razónǈĈ佴ミ쀈ċ菼Ѣ莈Ѣ ǓČ㺬ヸ佈ミ㹼ヸ쀈ꗜヘ菐Ѣ ǚĈ莬Ѣ蒈Ѣ茨ѢǝĈdeĢĈ佴ミ쀈Ď蒬Ѣ萸Ѣ ĥČ㺬ヸ佈ミ㹼ヸ쀈ꗜヘ蒀Ѣ ĬĈ葜Ѣ蔸Ѣ菘ѢķĈqueĴĈ佴ミ쀈Ē蕜Ѣ蓨Ѣ ĿČ㺬ヸ佈ミ㹼ヸ쀈ꗜヘ蔰Ѣ ĆĈ蔌Ѣ藨Ѣ蒈ѢĉĈlaĎĈ佴ミ쀈ĕ蘌Ѣ薘Ѣ đČ㺬ヸ佈ミ㹼ヸ쀈ꗜヘ藠Ѣ ĘĈ薼Ѣ蚨Ѣ蔸ѢţĈcontestaciónŦĈ佴ミ쀈Ģ蛌Ѣ虘Ѣ ũČ㺬ヸ佈ミ㹼ヸ쀈ꗜヘ蚠Ѣ ŰĈ虼Ѣ蝘Ѣ藨ѢŻĈdelŸĈ佴ミ쀈Ħ蝼Ѣ蜈Ѣ ŃČ㺬ヸ佈ミ㹼ヸ쀈ꗜヘ蝐Ѣ ŊĈ蜬Ѣ蠘Ѣ蚨ѢumenōĈRecursos\AustŐĈ佴ミ쀈Į蠼Ѣ蟈Ѣ śČ㺬ヸ佈ミ㹼ヸ쀈ꗜヘ蠐Ѣ6- ƢĈ蟬Ѣ裈Ѣ蝘ѢraleƥĈde VsƪĈ佴ミ쀈ı裬Ѣ衸Ѣ ƭČ㺬ヸ佈ミ㹼ヸ쀈ꗜヘ裀Ѣ ƴĈ袜Ѣ襀Ѣ蠘ѢƿĈReclamaciónƂĈ佴ミ쀈Ľ詬Ѣ訠ѢƅĈ詄Ѣ諸Ѣ裈ѢƈČ줠靈Ѣ ƎČ㺬ヸ佈ミ㹼ヸ쀈ꗜヘ覸Ѣor ƕĈ覔Ѣ祈઀壐ઇ009 ƘĈcualquierColeǣĈde ǠČ㺬ヸ佈ミ㹼ヸ쀈ꗜヘ褸Ѣ췆Ǌ ǯĈfueǬĈ佴ミ쀈Ł謜Ѣ誨Ѣ ǷČ㺬ヸ佈ミ㹼ヸ쀈ꗜヘ諰Ѣ椀猀 ǾĈ諌Ѣ许Ѣ襀Ѣ䆾甀猀ǁĈextemporánea剔ǄĈ佴ミ쀈ō诜Ѣ譨Ѣ ǏČ㺬ヸ佈ミ㹼ヸ쀈ꗜヘ记Ѣ渀琀 ǖĈ讌Ѣ豨Ѣ諸Ѣ　̀ЀǙĈ,猀漀氀甀ǞĈ佴ミ쀈ŏ貌Ѣ谘Ѣ ġČ㺬ヸ佈ミ㹼ヸ쀈ꗜヘ豠Ѣ猀 ĨĈ谼Ѣ贘Ѣ许Ѣ畣敭瑮獯ĳĈy摥敩瑮獥İĈ佴ミ쀈ő贼Ѣ賈Ѣ ĻČ㺬ヸ佈ミ㹼ヸ쀈ꗜヘ贐Ѣ䰅 ĂĈ賬Ѣ跈Ѣ豨ѢąĈsoloĊĈ佴ミ쀈Ŗ跬Ѣ赸Ѣ čČ㺬ヸ佈ミ㹼ヸ쀈ꗜヘ跀Ѣ ĔĈ趜Ѣ蹸Ѣ贘ѢğĈseĜĈ佴ミ쀈ř躜Ѣ踨Ѣ ŧČ㺬ヸ佈ミ㹼ヸ쀈ꗜヘ蹰Ѣ ŮĈ蹌Ѣ輸Ѣ跈ѢűĈagregóŴĈ佴ミ쀈Š轜Ѣ軨Ѣ ſČ㺬ヸ佈ミ㹼ヸ쀈ꗜヘ輰Ѣ ņĈ輌Ѣ迨Ѣ蹸ѢŉĈaŎĈ佴ミ쀈Ţ逌Ѣ辘Ѣ őČ㺬ヸ佈ミ㹼ヸ쀈ꗜヘ迠Ѣ ŘĈ込Ѣ邘Ѣ輸ѢƣĈlosƠĈ佴ミ쀈Ŧ邼Ѣ遈Ѣ ƫČ㺬ヸ佈ミ㹼ヸ쀈ꗜヘ邐Ѣ ƲĈ遬Ѣ酈Ѣ迨ѢƵĈ&#10;autosƺĈ佴ミ쀈Ŭ酬Ѣ郸Ѣ ƽČ㺬ヸ佈ミ㹼ヸ쀈ꗜヘ酀Ѣ ƄĈ鄜Ѣ釸Ѣ邘ѢƏĈparaƌĈ佴ミ쀈ű鈜Ѣ醨Ѣ ƗČ㺬ヸ佈ミ㹼ヸ쀈ꗜヘ釰Ѣ ƞĈ里Ѣ銨Ѣ酈ѢǡĈqueǦĈ佴ミ쀈ŵ鋌Ѣ鉘Ѣ ǩČ㺬ヸ佈ミ㹼ヸ쀈ꗜヘ銠Ѣ ǰĈ鉼Ѣ鍘Ѣ釸ѢǻĈobreǸĈ佴ミ쀈ź鍼Ѣ錈Ѣ ǃČ㺬ヸ佈ミ㹼ヸ쀈ꗜヘ鍐Ѣ ǊĈ錬Ѣ鐈Ѣ銨ѢǍĈcomoǒĈ佴ミ쀈ſ&#10;鐬Ѣ鎸Ѣ ǕČ㺬ヸ佈ミ㹼ヸ쀈ꗜヘ鐀Ѣ ǜĈ鏜Ѣ铈Ѣ鍘ѢħĈconstanciaĪĈ佴ミ쀈Ɖ铬Ѣ鑸Ѣ ĭČ㺬ヸ佈ミ㹼ヸ쀈ꗜヘ铀Ѣ ĴĈ钜Ѣ镸Ѣ鐈ѢĿĈ.ļĈ佴ミ쀈Ɗ閜Ѣ锨Ѣ ćČ㺬ヸ佈ミ㹼ヸ쀈ꗜヘ镰Ѣ ĎĈ镌Ѣ靠Ѣ铈ѢđĈ&#10;ĖĈloioěĈ.ĘĈelĝĈ,y1ŢĈlastancia.ťĈComo ListaŨĈsustancialųĈ똈鶠੔ŷĈ佴ミ쀈՜Ѡ鞰ѢźĈ㳄ヸ㧘Ѡ㰔ヸ买ミ⪠ఋ洀ఋᏈѕ圸łĈ꿠ઈ䙨અņĈ,ŋČਰї䓐ѠŉĈ韔Ѣ顰Ѣ镸ѢŌĈqueőĈC鷈 ŖČ㺬ヸ佈ミ㹼ヸ쀈ꗜヘ靘Ѣ ŝĈ佴ミ쀈閴Ѣ頠Ѣ ƠČ㺬ヸ佈ミ㹼ヸ쀈ꗜヘ顨Ѣ ƯĈ顄Ѣ餈Ѣ靠ѢƲĈ佴ミ쀈&#10;除Ѣ颸Ѣ ƵČ㺬ヸ佈ミ㹼ヸ쀈ꗜヘ餀Ѣ ƼĈ飜Ѣ馠Ѣ顰ѢƇĈ佴ミ쀈闼Ѣ饐Ѣ ƊČ㺬ヸ佈ミ㹼ヸ쀈ꗜヘ馘Ѣ ƑĈ饴Ѣ騸Ѣ餈ѢƔĈ佴ミ쀈阔Ѣ駨Ѣ ƟČ㺬ヸ佈ミ㹼ヸ쀈ꗜヘ騰Ѣ ǦĈ騌Ѣ髐Ѣ馠ѢumenǩĈ佴ミ쀈&#10;髴Ѣ骀Ѣ ǬČ㺬ヸ佈ミ㹼ヸ쀈ꗜヘ髈Ѣt\ ǻĈ骤Ѣ鮐Ѣ騸ѢProyǾĈRecurrenteǁĈ佴ミ쀈!鮴Ѣ魀Ѣ ǄČ㺬ヸ佈ミ㹼ヸ쀈ꗜヘ鮈Ѣ ǓĈ魤Ѣ鱐Ѣ髐ѢǖĈplanteaǙĈ佴ミ쀈(霴Ѣ鰀Ѣ ǜČ㺬ヸ佈ミ㹼ヸ쀈ꗜヘ鱈Ѣ īĈ鰤Ѣ鳨Ѣ鮐ѢĮĈ佴ミ쀈*鞄Ѣ鲘Ѣ ıČ㺬ヸ佈ミ㹼ヸ쀈ꗜヘ鳠Ѣ ĸĈ鲼Ѣ鶀Ѣ鱐ѢăĈ佴ミ쀈.闤Ѣ鴰Ѣ ĆČ㺬ヸ佈ミ㹼ヸ쀈ꗜヘ鵸Ѣ čĈ鵔Ѣ鸘Ѣ鳨ѢĐĈ佴ミ쀈1鞜Ѣ鷈Ѣ ěČ㺬ヸ佈ミ㹼ヸ쀈ꗜヘ鸐Ѣ ŢĈ鷬Ѣ麰Ѣ鶀ѢťĈ佴ミ쀈2黔Ѣ鹠Ѣ ŨČ㺬ヸ佈ミ㹼ヸ쀈ꗜヘ麨Ѣ ŷĈ麄Ѣ齠Ѣ鸘ѢźĈ.ſĈ佴ミ쀈4龄Ѣ鼐Ѣ łČ㺬ヸ佈ミ㹼ヸ쀈ꗜヘ齘Ѣ ŉĈ鼴Ѣ鿘Ѣ麰ѢŌĈCarlosŗĈ佴ミ쀈;应Ѡ幈ѠŚĈ幬Ѡ弰Ѡ齠ѢŝĈ俤ѢꃀѢ佐ѢƠĈMunicipalƫĈ佴ミ쀈mꃤѢꁰѢ ƮČ㺬ヸ佈ミ㹼ヸ쀈ꗜヘꂸѢ ƵĈꂔѢꅰѢꀀѢƸĈdeƽĈ佴ミ쀈pꆔѢꄠѢ ƀČ㺬ヸ佈ミ㹼ヸ쀈ꗜヘꅨѢ ƏĈꅄѢꈠѢꃀѢƒĈSanƗĈ佴ミ쀈tꉄѢꇐѢ ƚČ㺬ヸ佈ミ㹼ヸ쀈ꗜヘꈘѢ ǡĈꇴѢꋐѢꅰѢǤĈLuisǩĈ佴ミ쀈yꋴѢꊀѢ ǬČ㺬ヸ佈ミ㹼ヸ쀈ꗜヘꋈѢ ǻĈꊤѢꎐѢꈠѢǾĈPotosíǁĈ佴ミ쀈ꎴѢꍀѢ ǄČ㺬ヸ佈ミ㹼ヸ쀈ꗜヘꎈѢ ǓĈꍤѢꑀѢꋐѢǖĈ,ǛĈ佴ミ쀈 ꑤѢꏰѢ ǞČ㺬ヸ佈ミ㹼ヸ쀈ꗜヘꐸѢ ĥĈꐔѢꔀѢꎐѢĨĈestableceĳĈ佴ミ쀈ꔤѢ꒰Ѣ ĶČ㺬ヸ佈ミ㹼ヸ쀈ꗜヘꓸѢ ĽĈꓔѢꖰѢꑀѢĀĈ,ąĈ佴ミ쀈ꗔѢꕠѢ ĈČ㺬ヸ佈ミ㹼ヸ쀈ꗜヘꖨѢ ėĈꖄѢꙠѢꔀѢĚĈqueğĈ佴ミ쀈ꚄѢꘐѢ ŢČ㺬ヸ佈ミ㹼ヸ쀈ꗜヘꙘѢ ũĈ꘴Ѣ꜐ѢꖰѢŬĈelűĈ佴ミ쀈&#10;ꜴѢꛀѢ ŴČ㺬ヸ佈ミ㹼ヸ쀈ꗜヘ꜈Ѣ ŃĈꛤѢꟐѢꙠѢņĈPresidenteŉĈ佴ミ쀈ꟴѢꞀѢ ŌČ㺬ヸ佈ミ㹼ヸ쀈ꗜヘꟈѢ śĈꞤѢꢀѢ꜐ѢŞĈdeƣĈ佴ミ쀈¡ꢤѢ꠰Ѣ ƦČ㺬ヸ佈ミ㹼ヸ쀈ꗜヘ꡸Ѣ ƭĈꡔѢꤰѢꟐѢưĈlaƵĈ佴ミ쀈¤꥔Ѣ꣠Ѣ ƸČ㺬ヸ佈ミ㹼ヸ쀈ꗜヘꤨѢ ƇĈ꤄Ѣ꧰ѢꢀѢƊĈComisiónƍĈ佴ミ쀈­ꨔѢꦠѢ ƐČ㺬ヸ佈ミ㹼ヸ쀈ꗜヘꧨѢ ƟĈ꧄ѢꪠѢꤰѢǢĈdeǧĈ佴ミ쀈°꫄Ѣ꩐Ѣ ǪČ㺬ヸ佈ミ㹼ヸ쀈ꗜヘꪘѢ ǱĈꩴѢꭐѢ꧰ѢǴĈ&#10;HonorǹĈ佴ミ쀈¶ꭴѢ꬀Ѣ ǼČ㺬ヸ佈ミ㹼ヸ쀈ꗜヘꭈѢ ǋĈꬤѢ가ѢꪠѢǎĈyǓĈ佴ミ쀈¸갤ѢꮰѢ ǖČ㺬ヸ佈ミ㹼ヸ쀈ꗜヘ꯸Ѣ ǝĈꯔѢ곀ѢꭐѢĠĈJusticiaīĈ佴ミ쀈Á곤Ѣ거Ѣ ĮČ㺬ヸ佈ミ㹼ヸ쀈ꗜヘ겸Ѣ ĵĈ겔Ѣ군Ѣ가ѢĸĈseráĽĈ佴ミ쀈Æ궔Ѣ괠Ѣ ĀČ㺬ヸ佈ミ㹼ヸ쀈ꗜヘ굨Ѣ ďĈ굄Ѣ긠Ѣ곀ѢĒĈelėĈ佴ミ쀈É깄Ѣ귐Ѣ ĚČ㺬ヸ佈ミ㹼ヸ쀈ꗜヘ긘Ѣ šĈ귴Ѣ껠Ѣ군ѢŤĈDirectorůĈ佴ミ쀈Ò꼄Ѣ꺐Ѣ ŲČ㺬ヸ佈ミ㹼ヸ쀈ꗜヘ께Ѣ ŹĈ꺴Ѣ꾐Ѣ긠ѢżĈdeŁĈ佴ミ쀈Õ꾴Ѣ꽀Ѣ ńČ㺬ヸ佈ミ㹼ヸ쀈ꗜヘ꾈Ѣ œĈ꽤Ѣ끘Ѣ껠ѢŖĈEstadořĐ佴ミ쀈Ü끼Ѣ뀈Ѣ ƣČ㺬ヸ佈ミ㹼ヸ쀈ꗜヘ끐Ѣ ƪĈ뀬Ѣ너Ѣ꾐ѢƭĈ&#10;MayorƲĈ佴ミ쀈á넬Ѣ낸Ѣ ƵČ㺬ヸ佈ミ㹼ヸ쀈ꗜヘ넀Ѣ ƼĈ냜Ѣ놸Ѣ끘ѢƇĈ;ƄĈ佴ミ쀈ã뇜Ѣ녨Ѣ ƏČ㺬ヸ佈ミ㹼ヸ쀈ꗜヘ놰Ѣ ƖĈ놌Ѣ뉨Ѣ너ѢƙĈtalƞĈ佴ミ쀈ç늌Ѣ눘Ѣ ǡČ㺬ヸ佈ミ㹼ヸ쀈ꗜヘ뉠Ѣ ǨĈ눼Ѣ댘Ѣ놸ѢǳĈyǰĈ佴ミ쀈é댼Ѣ니Ѣ ǻČ㺬ヸ佈ミ㹼ヸ쀈ꗜヘ댐Ѣ ǂĈ달Ѣ돈Ѣ뉨ѢǅĈcomoǊĈ佴ミ쀈î돬Ѣ델Ѣ ǍČ㺬ヸ佈ミ㹼ヸ쀈ꗜヘ돀Ѣ ǔĈ뎜Ѣ둸Ѣ댘ѢǟĈdeǜĈ佴ミ쀈ñ뒜Ѣ됨Ѣ ħČ㺬ヸ佈ミ㹼ヸ쀈ꗜヘ둰Ѣ ĮĈ둌Ѣ딨Ѣ돈ѢıĈsuĶĈ佴ミ쀈ô 때Ѣ듘Ѣ ĹČ㺬ヸ佈ミ㹼ヸ쀈ꗜヘ딠Ѣ ĀĈ듼Ѣ뗨Ѣ둸ѢċĈcontenidoĎĈ佴ミ쀈š똌Ѣ떘Ѣ đČ㺬ヸ佈ミ㹼ヸ쀈ꗜヘ뗠Ѣ ĘĈ떼Ѣ뚨Ѣ딨ѢţĈ&#10;ŠĈPoreťĈsu1ŪĈ,tenidoŭĈelen ListŰĈ띤Ѣ럘Ѣ뗨ѢIDŻĈ&#10;parteisiónžĈ佴ミ쀈똤Ѣ띀ѢŁĈ佴ミ쀈똼Ѣ랈Ѣ ńČ㺬ヸ佈ミ㹼ヸ쀈ꗜヘ뚠Ѣ  œČ㺬ヸ佈ミ㹼ヸ쀈ꗜヘ럐Ѣ ŚĈ랬Ѣ롰Ѣ뚨ѢŝĈ佴ミ쀈뛌Ѣ렠Ѣ ƠČ㺬ヸ佈ミ㹼ヸ쀈ꗜヘ롨Ѣ ƯĈ롄Ѣ뤈Ѣ럘ѢƲĈ佴ミ쀈&#10;뙔Ѣ뢸Ѣ ƵČ㺬ヸ佈ミ㹼ヸ쀈ꗜヘ뤀Ѣ ƼĈ룜Ѣ릠Ѣ롰ѢƇĈ佴ミ쀈䎤Ѣ륐Ѣ ƊČ㺬ヸ佈ミ㹼ヸ쀈ꗜヘ릘Ѣ ƑĈ르Ѣ머Ѣ뤈ѢƔĈ佴ミ쀈멜Ѣ맨Ѣ ƟČ㺬ヸ佈ミ㹼ヸ쀈ꗜヘ먰Ѣ ǦĈ먌Ѣ뫸Ѣ릠ѢǩĈartículoǬĈ佴ミ쀈묜Ѣ모Ѣ ǷČ㺬ヸ佈ミ㹼ヸ쀈ꗜヘ뫰Ѣ ǾĈ뫌Ѣ뮨Ѣ머ѢǁĈ141ǆĈ佴ミ쀈믌Ѣ뭘Ѣ ǉČ㺬ヸ佈ミ㹼ヸ쀈ꗜヘ뮠Ѣ ǐĈ뭼Ѣ뱘Ѣ뫸ѢǛĈdelǘĈ佴ミ쀈#&#10;뱼Ѣ밈Ѣ ģČ㺬ヸ佈ミ㹼ヸ쀈ꗜヘ뱐Ѣ ĪĈ밬Ѣ봘Ѣ뮨ѢĭĈReglamentoİĈ佴ミ쀈.봼Ѣ볈Ѣ ĻČ㺬ヸ佈ミ㹼ヸ쀈ꗜヘ봐Ѣ ĂĈ볬Ѣ뷘Ѣ뱘ѢąĈInternoĈĈ佴ミ쀈6뷼Ѣ불Ѣ ēČ㺬ヸ佈ミ㹼ヸ쀈ꗜヘ뷐Ѣ ĚĈ붬Ѣ뺈Ѣ봘ѢĝĈdeŢĈ佴ミ쀈9뺬Ѣ븸Ѣ ťČ㺬ヸ佈ミ㹼ヸ쀈ꗜヘ뺀Ѣ ŬĈ빜Ѣ뼸Ѣ뷘ѢŷĈlaŴĈ佴ミ쀈&lt; 뽜Ѣ뻨Ѣ ſČ㺬ヸ佈ミ㹼ヸ쀈ꗜヘ뼰Ѣ ņĈ뼌Ѣ뿸Ѣ뺈ѢŉĈDirecciónŌĈ佴ミ쀈F쀜Ѣ뾨Ѣ ŗČ㺬ヸ佈ミ㹼ヸ쀈ꗜヘ뿰Ѣ ŞĈ뿌Ѣ삸Ѣ뼸ѢơĈGeneralƤĈ佴ミ쀈N샜Ѣ쁨Ѣ ƯČ㺬ヸ佈ミ㹼ヸ쀈ꗜヘ산Ѣ ƶĈ삌Ѣ셨Ѣ뿸ѢƹĈdeƾĈ佴ミ쀈Q 소Ѣ섘Ѣ ƁČ㺬ヸ佈ミ㹼ヸ쀈ꗜヘ셠Ѣ ƈĈ센Ѣ숨Ѣ삸ѢƓĈSeguridadƖĈ佴ミ쀈[쉌Ѣ쇘Ѣ ƙČ㺬ヸ佈ミ㹼ヸ쀈ꗜヘ술Ѣ ǠĈ쇼Ѣ싨Ѣ셨ѢǫĈPúblicaǮĈ佴ミ쀈c 쌌Ѣ슘Ѣ ǱČ㺬ヸ佈ミ㹼ヸ쀈ꗜヘ신Ѣ ǸĈ슼Ѣ쎨Ѣ숨ѢǃĈMunicipalǆĈ佴ミ쀈m쏌Ѣ썘Ѣ ǉČ㺬ヸ佈ミ㹼ヸ쀈ꗜヘ쎠Ѣ ǐĈ썼Ѣ쑘Ѣ싨ѢǛĈdeǘĈ佴ミ쀈p쑼Ѣ쐈Ѣ ģČ㺬ヸ佈ミ㹼ヸ쀈ꗜヘ쑐Ѣ ĪĈ쐬Ѣ씈Ѣ쎨ѢĭĈSanĲĈ佴ミ쀈t씬Ѣ쒸Ѣ ĵČ㺬ヸ佈ミ㹼ヸ쀈ꗜヘ씀Ѣ ļĈ쓜Ѣ언Ѣ쑘ѢćĈLuisĄĈ佴ミ쀈y엜Ѣ앨Ѣ ďČ㺬ヸ佈ミ㹼ヸ쀈ꗜヘ얰Ѣ ĖĈ얌Ѣ외Ѣ씈ѢęĈPotosíĜĈ佴ミ쀈욜Ѣ온Ѣ ŧČ㺬ヸ佈ミ㹼ヸ쀈ꗜヘ왰Ѣ ŮĈ왌Ѣ율Ѣ언ѢűĈ,ŶĈ佴ミ쀈 음Ѣ웘Ѣ ŹČ㺬ヸ佈ミ㹼ヸ쀈ꗜヘ유Ѣ ŀĈ웼Ѣ쟨Ѣ외ѢŋĈestableceŎĈ佴ミ쀈젌Ѣ잘Ѣ őČ㺬ヸ佈ミ㹼ヸ쀈ꗜヘ쟠Ѣ ŘĈ잼Ѣ좘Ѣ율ѢƣĈ,ƠĈ佴ミ쀈좼Ѣ졈Ѣ ƫČ㺬ヸ佈ミ㹼ヸ쀈ꗜヘ좐Ѣ ƲĈ졬Ѣ쥈Ѣ쟨ѢƵĈqueƺĈ佴ミ쀈쥬Ѣ죸Ѣ ƽČ㺬ヸ佈ミ㹼ヸ쀈ꗜヘ쥀Ѣ ƄĈ줜Ѣ째Ѣ좘ѢƏĈelƌĈ佴ミ쀈&#10;쨜Ѣ즨Ѣ ƗČ㺬ヸ佈ミ㹼ヸ쀈ꗜヘ짰Ѣ ƞĈ짌Ѣ쪸Ѣ쥈ѢǡĈPresidenteǤĈ佴ミ쀈쫜Ѣ쩨Ѣ ǯČ㺬ヸ佈ミ㹼ヸ쀈ꗜヘ쪰Ѣ ǶĈ쪌Ѣ쭨Ѣ째ѢǹĈdeǾĈ佴ミ쀈¡쮌Ѣ쬘Ѣ ǁČ㺬ヸ佈ミ㹼ヸ쀈ꗜヘ쭠Ѣ ǈĈ쬼Ѣ찘Ѣ쪸ѢǓĈlaǐĈ佴ミ쀈¤찼Ѣ쯈Ѣ ǛČ㺬ヸ佈ミ㹼ヸ쀈ꗜヘ찐Ѣ ĢĈ쯬Ѣ쳘Ѣ쭨ѢĥĈComisiónĨĈ佴ミ쀈­쳼Ѣ첈Ѣ ĳČ㺬ヸ佈ミ㹼ヸ쀈ꗜヘ쳐Ѣ ĺĈ첬Ѣ춈Ѣ찘ѢĽĈdeĂĈ佴ミ쀈°춬Ѣ촸Ѣ ąČ㺬ヸ佈ミ㹼ヸ쀈ꗜヘ춀Ѣ ČĈ최Ѣ츸Ѣ쳘ѢėĈ&#10;HonorĔĈ佴ミ쀈¶친Ѣ취Ѣ ğČ㺬ヸ佈ミ㹼ヸ쀈ꗜヘ츰Ѣ ŦĈ츌Ѣ컨Ѣ춈ѢũĈyŮĈ佴ミ쀈¸켌Ѣ캘Ѣ űČ㺬ヸ佈ミ㹼ヸ쀈ꗜヘ컠Ѣ ŸĈ캼Ѣ쾨Ѣ츸ѢŃĈJusticiaņĈ佴ミ쀈Á쿌Ѣ콘Ѣ ŉČ㺬ヸ佈ミ㹼ヸ쀈ꗜヘ쾠Ѣ ŐĈ콼Ѣ큘Ѣ컨ѢśĈseráŘĈ佴ミ쀈Æ큼Ѣ퀈Ѣ ƣČ㺬ヸ佈ミ㹼ヸ쀈ꗜヘ큐Ѣ ƪĈ퀬Ѣ턈Ѣ쾨ѢƭĈelƲĈ佴ミ쀈É턬Ѣ킸Ѣ ƵČ㺬ヸ佈ミ㹼ヸ쀈ꗜヘ턀Ѣ ƼĈ태Ѣ퇈Ѣ큘ѢƇĈDirectorƊĈ佴ミ쀈Ò퇬Ѣ텸Ѣ ƍČ㺬ヸ佈ミ㹼ヸ쀈ꗜヘ퇀Ѣ ƔĈ톜Ѣ퉸Ѣ턈ѢƟĈdeƜĈ佴ミ쀈Õ튜Ѣ툨Ѣ ǧČ㺬ヸ佈ミ㹼ヸ쀈ꗜヘ퉰Ѣ ǮĈ퉌Ѣ팸Ѣ퇈ѢǱĈEstadoǴĈ佴ミ쀈Ü퍜Ѣ틨Ѣ ǿČ㺬ヸ佈ミ㹼ヸ쀈ꗜヘ팰Ѣ ǆĈ파Ѣ폨Ѣ퉸ѢǉĈ&#10;MayorǎĈ佴ミ쀈á퐌Ѣ페Ѣ ǑČ㺬ヸ佈ミ㹼ヸ쀈ꗜヘ폠Ѣ ǘĈ펼Ѣ풘Ѣ팸ѢģĈ;ĠĈ佴ミ쀈ã풼Ѣ푈Ѣ īČ㺬ヸ佈ミ㹼ヸ쀈ꗜヘ풐Ѣ ĲĈ푬Ѣ핈Ѣ폨ѢĵĈtalĺĈ佴ミ쀈ç핬Ѣ퓸Ѣ ĽČ㺬ヸ佈ミ㹼ヸ쀈ꗜヘ핀Ѣ ĄĈ픜Ѣ헸Ѣ풘ѢďĈyČĈ佴ミ쀈é혜Ѣ햨Ѣ ėČ㺬ヸ佈ミ㹼ヸ쀈ꗜヘ헰Ѣ ĞĈ헌Ѣ효Ѣ핈ѢšĈcomoŦĈ佴ミ쀈î훌Ѣ환Ѣ ũČ㺬ヸ佈ミ㹼ヸ쀈ꗜヘ횠Ѣ ŰĈ홼Ѣ흘Ѣ헸ѢŻĈdeŸĈ佴ミ쀈ñ흼Ѣ휈Ѣ ŃČ㺬ヸ佈ミ㹼ヸ쀈ꗜヘ흐Ѣ ŊĈ휬ѢѢ효ѢōĈsuŒĈ佴ミ쀈ô ѢힸѢ ŕČ㺬ヸ佈ミ㹼ヸ쀈ꗜヘѢ ŜĈퟜѢѢ흘ѢƧĈcontenidoƪĈ佴ミ쀈þѢѢ ƭČ㺬ヸ佈ミ㹼ヸ쀈ꗜヘѢ ƴĈѢѢѢƿĈenƼĈ佴ミ쀈šѢѢ ƇČ㺬ヸ佈ミ㹼ヸ쀈ꗜヘѢ ƎĈѢѢѢƑĈ&#10;ƖĈPoreƛĈsu1ƘĈ,enidoǣĈelen ListǦĈѢѢѢIDǩĈ&#10;parteisiónǬĈ佴ミ쀈ѢѢǷĈ佴ミ쀈ѢѢ ǺČ㺬ヸ佈ミ㹼ヸ쀈ꗜヘѢ  ǁČ㺬ヸ佈ミ㹼ヸ쀈ꗜヘѢ ǈĈѢѢѢǓĈ佴ミ쀈ѢѢ ǖČ㺬ヸ佈ミ㹼ヸ쀈ꗜヘѢ ǝĈѢѢѢĠĈ佴ミ쀈&#10;ѢѢ īČ㺬ヸ佈ミ㹼ヸ쀈ꗜヘѢ ĲĈѢѢѢĵĈ佴ミ쀈뙼ѢѢ ĸČ㺬ヸ佈ミ㹼ヸ쀈ꗜヘѢ ćĈѢѢѢĊĈ佴ミ쀈ѢѢ čČ㺬ヸ佈ミ㹼ヸ쀈ꗜヘѢ ĔĈѢѢѢğĈartículoŢĈ佴ミ쀈ѢѢ ťČ㺬ヸ佈ミ㹼ヸ쀈ꗜヘѢ ŬĈѢѢѢŷĈ141ŴĈ佴ミ쀈ѢѢ ſČ㺬ヸ佈ミ㹼ヸ쀈ꗜヘѢ ņĈѢѢѢŉĈdelŎĈ佴ミ쀈#&#10;ѢѢ őČ㺬ヸ佈ミ㹼ヸ쀈ꗜヘѢ ŘĈѢѢѢƣĈReglamentoƦĈ佴ミ쀈.ѢѢ ƩČ㺬ヸ佈ミ㹼ヸ쀈ꗜヘѢ ưĈѢѢѢƻĈInternoƾĈ佴ミ쀈6ѢѢ ƁČ㺬ヸ佈ミ㹼ヸ쀈ꗜヘѢ ƈĈѢѢѢƓĈdeƐĈ佴ミ쀈9ѢѢ ƛČ㺬ヸ佈ミ㹼ヸ쀈ꗜヘѢ ǢĈѢѢѢǥĈlaǪĈ佴ミ쀈&lt; ѢѢ ǭČ㺬ヸ佈ミ㹼ヸ쀈ꗜヘѢ ǴĈѢѢѢǿĈDirecciónǂĈ佴ミ쀈FѢѢ ǅČ㺬ヸ佈ミ㹼ヸ쀈ꗜヘѢ ǌĈѢѢѢǗĈGeneralǚĈ佴ミ쀈NѢѢ ǝČ㺬ヸ佈ミ㹼ヸ쀈ꗜヘѢ ĤĈѢѢѢįĈdeĬĈ佴ミ쀈Q ѢѢ ķČ㺬ヸ佈ミ㹼ヸ쀈ꗜヘѢ ľĈѢѢѢāĈSeguridadĄĈ佴ミ쀈[ѢѢ ďČ㺬ヸ佈ミ㹼ヸ쀈ꗜヘѢ ĖĈѢѢѢęĈPúblicaĜĈ佴ミ쀈c ѢѢ ŧČ㺬ヸ佈ミ㹼ヸ쀈ꗜヘѢ ŮĈѢѢѢűĈMunicipalŴĈ佴ミ쀈mѢѢ ſČ㺬ヸ佈ミ㹼ヸ쀈ꗜヘѢ ņĈѢѢѢŉĈdeŎĈ佴ミ쀈pѢѢ őČ㺬ヸ佈ミ㹼ヸ쀈ꗜヘѢ ŘĈѢѢѢƣĈSanƠĈ佴ミ쀈tѢѢ ƫČ㺬ヸ佈ミ㹼ヸ쀈ꗜヘѢ ƲĈѢѢѢƵĈLuisƺĈ佴ミ쀈yѢѢ ƽČ㺬ヸ佈ミ㹼ヸ쀈ꗜヘѢ ƄĈѢѢѢƏĈPotosíƒĈ佴ミ쀈ѢѢ ƕČ㺬ヸ佈ミ㹼ヸ쀈ꗜヘѢ ƜĈѢѢѢǧĈ,ǤĈ佴ミ쀈 ѢѢ ǯČ㺬ヸ佈ミ㹼ヸ쀈ꗜヘѢ ǶĈѢѢѢǹĈestableceǼĈ佴ミ쀈ѢѢ ǇČ㺬ヸ佈ミ㹼ヸ쀈ꗜヘѢ ǎĈѢѢѢǑĈ,ǖĈ佴ミ쀈ѢѢ ǙČ㺬ヸ佈ミ㹼ヸ쀈ꗜヘѢ ĠĈѢѢѢīĈqueĨĈ佴ミ쀈ѢѢ ĳČ㺬ヸ佈ミ㹼ヸ쀈ꗜヘѢ ĺĈѢѢѢĽĈelĂĈ佴ミ쀈&#10;ѢѢ ąČ㺬ヸ佈ミ㹼ヸ쀈ꗜヘѢ ČĈѢѢѢėĈPresidenteĚĈ佴ミ쀈ѢѢ ĝČ㺬ヸ佈ミ㹼ヸ쀈ꗜヘѢ ŤĈѢѢѢůĈdeŬĈ佴ミ쀈¡ѢѢ ŷČ㺬ヸ佈ミ㹼ヸ쀈ꗜヘѢ žĈѢѢѢŁĈlaņĈ佴ミ쀈¤ѢѢ ŉČ㺬ヸ佈ミ㹼ヸ쀈ꗜヘѢ ŐĈѢѢѢśĈComisiónŞĈ佴ミ쀈­ѢѢ ơČ㺬ヸ佈ミ㹼ヸ쀈ꗜヘѢ ƨĈѢѢѢƳĈdeưĈ佴ミ쀈°ѢѢ ƻČ㺬ヸ佈ミ㹼ヸ쀈ꗜヘѢ ƂĈѢѢѢƅĈ&#10;HonorƊĈ佴ミ쀈¶ѢѢ ƍČ㺬ヸ佈ミ㹼ヸ쀈ꗜヘѢ ƔĈѢѢѢƟĈyƜĈ佴ミ쀈¸ѢѢ ǧČ㺬ヸ佈ミ㹼ヸ쀈ꗜヘѢ ǮĈѢѢѢǱĈJusticiaǴĈ佴ミ쀈ÁѢѢ ǿČ㺬ヸ佈ミ㹼ヸ쀈ꗜヘѢ ǆĈѢѢѢǉĈseráǎĈ佴ミ쀈ÆѢѢ ǑČ㺬ヸ佈ミ㹼ヸ쀈ꗜヘѢ ǘĈѢѢѢģĈelĠĈ佴ミ쀈ÉѢѢ īČ㺬ヸ佈ミ㹼ヸ쀈ꗜヘѢ ĲĈѢѢѢĵĈDirectorĸĈ佴ミ쀈ÒѢѢ ăČ㺬ヸ佈ミ㹼ヸ쀈ꗜヘѢ ĊĈѢѢѢčĈdeĒĈ佴ミ쀈ÕѢѢ ĕČ㺬ヸ佈ミ㹼ヸ쀈ꗜヘѢ ĜĈѢѢѢŧĈEstadoŪĈ佴ミ쀈ÜѢѢ ŭČ㺬ヸ佈ミ㹼ヸ쀈ꗜヘѢ ŴĈѢѢѢſĈ&#10;MayorżĈ佴ミ쀈áѢѢ ŇČ㺬ヸ佈ミ㹼ヸ쀈ꗜヘѢ ŎĈѢѢѢőĈ;ŖĈ佴ミ쀈ãѢѢ řČ㺬ヸ佈ミ㹼ヸ쀈ꗜヘѢ ƠĈѢѢѢƫĈtalƨĈ佴ミ쀈çѢѢ ƳČ㺬ヸ佈ミ㹼ヸ쀈ꗜヘѢ ƺĈѢ麗ѢѢƽĈyƂĈ佴ミ쀈é怜Ѣ露Ѣ ƅČ㺬ヸ佈ミ㹼ヸ쀈ꗜヘ呂Ѣ ƌĈ樂Ѣ器ѢѢƗĈcomoƔĈ佴ミ쀈î臭Ѣ裡Ѣ ƟČ㺬ヸ佈ミ㹼ヸ쀈ꗜヘ侮Ѣ ǦĈ兀Ѣ﫨Ѣ麗ѢǩĈdeǮĈ佴ミ쀈ñ﬌Ѣ滛Ѣ ǱČ㺬ヸ佈ミ㹼ヸ쀈ꗜヘ﫠Ѣ ǸĈ謁ѢﮘѢ器ѢǃĈsuǀĈ佴ミ쀈ô ﮼ѢרּѢ ǋČ㺬ヸ佈ミ㹼ヸ쀈ꗜヘﮐѢ ǒĈﭬѢﱘѢ﫨ѢǕĈcontenidoǘĈ佴ミ쀈þﱼѢﰈѢ ģČ㺬ヸ佈ミ㹼ヸ쀈ꗜヘﱐѢ ĪĈﰬѢﴈѢﮘѢĭĈenĲĈ佴ミ쀈āﴬѢﲸѢ ĵČ㺬ヸ佈ミ㹼ヸ쀈ꗜヘﴀѢ ļĈﳜѢﶸѢﱘѢćĈloĄĈ佴ミ쀈š﷜ѢﵨѢ ďČ㺬ヸ佈ミ㹼ヸ쀈ꗜヘﶰѢ ĖĈﶌѢﹸѢﴈѢęĈ&#10;ĞĈ,&#10;ţĈPorŠĈelen ListūĈsutenidonŮĈ､Ѣ￘ѢﶸѢIDűĈ&#10;parteisiónŴĈ佴ミ쀈︌Ѣ｀ѢſĈ佴ミ쀈﹌ѢﾈѢłĈ141ŇĈdel ńČ㺬ヸ佈ミ㹼ヸ쀈ꗜヘﹰѢ  œČ㺬ヸ佈ミ㹼ヸ쀈ꗜヘ￐Ѣ ŚĈﾬѢÀȎﹸѢᅝČӘ௷⿰੗ĀȀ￮￮кѣȀ@ѣ҃֨к￨ҁ䀁ŬȌ"/>
        </w:smartTagPr>
        <w:r w:rsidRPr="005520F4">
          <w:rPr>
            <w:rFonts w:ascii="Arial" w:hAnsi="Arial" w:cs="Arial"/>
            <w:sz w:val="28"/>
            <w:szCs w:val="28"/>
          </w:rPr>
          <w:t>la Constitución Política</w:t>
        </w:r>
      </w:smartTag>
      <w:r w:rsidRPr="005520F4">
        <w:rPr>
          <w:rFonts w:ascii="Arial" w:hAnsi="Arial" w:cs="Arial"/>
          <w:sz w:val="28"/>
          <w:szCs w:val="28"/>
        </w:rPr>
        <w:t xml:space="preserve"> de los Estados Unidos Mexicanos; misma que ésta definida en tres meses del último salario percibido y veinte días por cada año laborado, de acuerdo a lo que dispone el artículo 54 de </w:t>
      </w:r>
      <w:smartTag w:uri="urn:schemas-microsoft-com:office:smarttags" w:element="PersonName">
        <w:smartTagPr>
          <w:attr w:name="ProductID" w:val="la Ley"/>
        </w:smartTagPr>
        <w:r w:rsidRPr="005520F4">
          <w:rPr>
            <w:rFonts w:ascii="Arial" w:hAnsi="Arial" w:cs="Arial"/>
            <w:sz w:val="28"/>
            <w:szCs w:val="28"/>
          </w:rPr>
          <w:t>la Ley</w:t>
        </w:r>
      </w:smartTag>
      <w:r w:rsidRPr="005520F4">
        <w:rPr>
          <w:rFonts w:ascii="Arial" w:hAnsi="Arial" w:cs="Arial"/>
          <w:sz w:val="28"/>
          <w:szCs w:val="28"/>
        </w:rPr>
        <w:t xml:space="preserve"> del Sistema de Seguridad Pública del Estado, y la Tesis Aislada que se transcribe a continuación:</w:t>
      </w:r>
    </w:p>
    <w:p w:rsidR="00FB1828" w:rsidRPr="005520F4" w:rsidRDefault="00FB1828" w:rsidP="00FB1828">
      <w:pPr>
        <w:autoSpaceDE w:val="0"/>
        <w:autoSpaceDN w:val="0"/>
        <w:adjustRightInd w:val="0"/>
        <w:spacing w:before="240" w:after="240"/>
        <w:ind w:left="1418"/>
        <w:jc w:val="both"/>
        <w:rPr>
          <w:color w:val="000000"/>
        </w:rPr>
      </w:pPr>
      <w:r w:rsidRPr="005520F4">
        <w:rPr>
          <w:rFonts w:ascii="Arial" w:eastAsia="Times New Roman" w:hAnsi="Arial" w:cs="Arial"/>
          <w:iCs/>
          <w:sz w:val="20"/>
          <w:szCs w:val="20"/>
          <w:lang w:val="es-ES" w:eastAsia="es-ES"/>
        </w:rPr>
        <w:t>“</w:t>
      </w:r>
      <w:r w:rsidRPr="005520F4">
        <w:rPr>
          <w:rFonts w:ascii="Arial" w:eastAsia="Times New Roman" w:hAnsi="Arial" w:cs="Arial"/>
          <w:b/>
          <w:iCs/>
          <w:sz w:val="20"/>
          <w:szCs w:val="20"/>
          <w:lang w:val="es-ES" w:eastAsia="es-ES"/>
        </w:rPr>
        <w:t>SEGURIDAD PÚBLICA. LA INDEMNIZACIÓN PREVISTA EN EL ARTÍCULO 123, APARTADO B, FRACCIÓN XIII, SEGUNDO PÁRRAFO, DE LA CONSTITUCIÓN POLÍTICA DE LOS ESTADOS UNIDOS MEXICANOS, COMPRENDE EL PAGO DE 3 MESES DE SUELDO Y DE 20 DÍAS POR CADA AÑO LABORADO [ABANDONO DE LAS TESIS DE JURISPRUDENCIA 2a</w:t>
      </w:r>
      <w:proofErr w:type="gramStart"/>
      <w:r w:rsidRPr="005520F4">
        <w:rPr>
          <w:rFonts w:ascii="Arial" w:eastAsia="Times New Roman" w:hAnsi="Arial" w:cs="Arial"/>
          <w:b/>
          <w:iCs/>
          <w:sz w:val="20"/>
          <w:szCs w:val="20"/>
          <w:lang w:val="es-ES" w:eastAsia="es-ES"/>
        </w:rPr>
        <w:t>./</w:t>
      </w:r>
      <w:proofErr w:type="gramEnd"/>
      <w:r w:rsidRPr="005520F4">
        <w:rPr>
          <w:rFonts w:ascii="Arial" w:eastAsia="Times New Roman" w:hAnsi="Arial" w:cs="Arial"/>
          <w:b/>
          <w:iCs/>
          <w:sz w:val="20"/>
          <w:szCs w:val="20"/>
          <w:lang w:val="es-ES" w:eastAsia="es-ES"/>
        </w:rPr>
        <w:t>J. 119/2011 Y AISLADAS 2a. LXIX/2011, 2a. LXX/2011 Y 2a. XLVI/2013 (10a.) (*)].-</w:t>
      </w:r>
      <w:r w:rsidRPr="005520F4">
        <w:rPr>
          <w:rFonts w:ascii="Arial" w:eastAsia="Times New Roman" w:hAnsi="Arial" w:cs="Arial"/>
          <w:iCs/>
          <w:sz w:val="20"/>
          <w:szCs w:val="20"/>
          <w:lang w:val="es-ES" w:eastAsia="es-ES"/>
        </w:rPr>
        <w:t xml:space="preserve"> En una nueva reflexión, la Segunda Sala de la Suprema Corte de Justicia de la Nación abandona las tesis indicadas, al estimar que conforme al artículo 123, apartado B, fracción XIII, segundo párrafo, de la Constitución Política de los Estados Unidos Mexicanos, el Constituyente otorgó a favor de los servidores públicos enunciados en el referido dispositivo (agentes del Ministerio Público, peritos y miembros de las instituciones policiales de la Federación, el Distrito Federal, los Estados y los Municipios) el derecho al pago de una indemnización en el caso de que, a través de una resolución emitida por autoridad jurisdiccional competente, </w:t>
      </w:r>
      <w:r w:rsidRPr="005520F4">
        <w:rPr>
          <w:rFonts w:ascii="Arial" w:eastAsia="Times New Roman" w:hAnsi="Arial" w:cs="Arial"/>
          <w:b/>
          <w:iCs/>
          <w:sz w:val="20"/>
          <w:szCs w:val="20"/>
          <w:lang w:val="es-ES" w:eastAsia="es-ES"/>
        </w:rPr>
        <w:t>se resuelva que su separación o cualquier vía de terminación del servicio de la que fue objeto resulta injustificada; ello, para no dejarlos en estado de indefensión al existir una prohibición absoluta de reincorporarlos en el servicio</w:t>
      </w:r>
      <w:r w:rsidRPr="005520F4">
        <w:rPr>
          <w:rFonts w:ascii="Arial" w:eastAsia="Times New Roman" w:hAnsi="Arial" w:cs="Arial"/>
          <w:iCs/>
          <w:sz w:val="20"/>
          <w:szCs w:val="20"/>
          <w:lang w:val="es-ES" w:eastAsia="es-ES"/>
        </w:rPr>
        <w:t xml:space="preserve">. Además, de la propia normatividad constitucional se advierte la obligación del legislador secundario de fijar, dentro de las leyes especiales que se emitan a nivel federal, estatal, municipal o en el Distrito Federal, los montos o mecanismos de delimitación de aquellos que, por concepto de indemnización, corresponden a los servidores públicos ante una terminación injustificada del servicio. Ahora bien, el derecho indemnizatorio debe fijarse en términos íntegros de lo dispuesto por la Constitución Federal, pues el espíritu del Legislador Constituyente al incluir el apartado B dentro del artículo 123 constitucional, fue reconocer a los servidores públicos garantías mínimas dentro del cargo o puesto que desempeñaban, sin importar, en su caso, la naturaleza jurídica de la relación que mediaba entre el Estado -en cualquiera </w:t>
      </w:r>
      <w:r w:rsidRPr="005520F4">
        <w:rPr>
          <w:rFonts w:ascii="Arial" w:eastAsia="Times New Roman" w:hAnsi="Arial" w:cs="Arial"/>
          <w:iCs/>
          <w:sz w:val="20"/>
          <w:szCs w:val="20"/>
          <w:lang w:val="es-ES" w:eastAsia="es-ES"/>
        </w:rPr>
        <w:lastRenderedPageBreak/>
        <w:t>de sus niveles- y el servidor; por tanto, si dentro de la aludida fracción XIII se establece el derecho de recibir una indemnización en caso de que la separación, remoción, baja, cese o cualquier otra forma de terminación del servicio fuere injustificada y, por su parte, en las leyes especiales no se prevén los mecanismos suficientes para fijar el monto de tal concepto, es inconcuso que deberá recurrirse a lo dispuesto, como sistema normativo integral, no sólo al apartado B, sino también al diverso apartado A, ambos del citado precepto constitucional; en esa tesitura, a fin de determinar el monto indemnizatorio a que tienen derecho los agentes del Ministerio Público, peritos y miembros de las instituciones policiales debe recurrirse a la fracción XXII del apartado A, que consigna la misma razón jurídica que configura y da contenido a la diversa fracción XIII del apartado B, a saber, el resarcimiento de los daños y perjuicios ocasionados por el patrón particular o el Estado ante la separación injustificada y sea la ley o, en su caso, la propia Constitución, la que establezca la imposibilidad jurídica de reinstalación. Bajo esas consideraciones, es menester precisar que la hipótesis normativa del artículo 123, apartado A, fracción XXII, que señala que "la ley determinará los casos en que el patrono podrá ser eximido de la obligación de cumplir el contrato, mediante el pago de una indemnización", deja la delimitación del monto que por concepto de indemnización deberá cubrirse al trabajador a la ley reglamentaria, constituyéndose en el parámetro mínimo que el patrón pagará por el despido injustificado y, más aún, cuando se le libera de la obligación de reinstalar al trabajador al puesto que venía desempeñando; por tanto, si la ley reglamentaria del multicitado apartado A, esto es, la Ley Federal del Trabajo, respeta como mínimo constitucional garantizado para efectos de la indemnización, el contenido en la fracción XXII del apartado A en su generalidad, empero, prevé el pago adicional de ciertas prestaciones bajo las circunstancias especiales de que es la propia norma quien releva al patrón de la obligación de reinstalación -cumplimiento forzoso del contrato- aun cuando el despido sea injustificado, se concluye que, a efecto de determinar el monto que corresponde a los servidores públicos sujetos al régimen constitucional de excepción contenido en el artículo 123, apartado B, fracción XIII, segundo párrafo, de la Carta Magna, resulta aplicable, como mínimo, el monto establecido en el diverso apartado A, fracción XXII, y los parámetros a los que el propio Constituyente refirió al permitir fuese la normatividad secundaria la que los delimitara. En consecuencia, la indemnización engloba el pago de 3 meses de salario y 20 días por cada año de servicio, sin que se excluya la posibilidad de que dentro de algún ordenamiento legal o administrativo a nivel federal, estatal, municipal o del Distrito Federal existan normas que prevean expresamente un monto por indemnización en estos casos, que como mínimo sea el anteriormente señalado, pues en tales casos será innecesario acudir a la Constitución, sino que la autoridad aplicará directamente lo dispuesto en esos ordenamientos.- Segunda Sala.”</w:t>
      </w:r>
      <w:r w:rsidRPr="005520F4">
        <w:rPr>
          <w:rStyle w:val="Refdenotaalpie"/>
          <w:color w:val="000000"/>
        </w:rPr>
        <w:footnoteReference w:id="2"/>
      </w:r>
    </w:p>
    <w:p w:rsidR="00F77941" w:rsidRPr="005520F4" w:rsidRDefault="00EA5F54" w:rsidP="005D190A">
      <w:pPr>
        <w:spacing w:after="0" w:line="360" w:lineRule="auto"/>
        <w:ind w:firstLine="709"/>
        <w:jc w:val="both"/>
        <w:rPr>
          <w:rFonts w:ascii="Arial" w:hAnsi="Arial" w:cs="Arial"/>
          <w:sz w:val="28"/>
          <w:szCs w:val="28"/>
        </w:rPr>
      </w:pPr>
      <w:r w:rsidRPr="005520F4">
        <w:rPr>
          <w:rFonts w:ascii="Arial" w:hAnsi="Arial" w:cs="Arial"/>
          <w:sz w:val="28"/>
          <w:szCs w:val="28"/>
        </w:rPr>
        <w:t xml:space="preserve">No escapa a esta Juzgadora que, </w:t>
      </w:r>
      <w:r w:rsidR="00FB1828" w:rsidRPr="005520F4">
        <w:rPr>
          <w:rFonts w:ascii="Arial" w:hAnsi="Arial" w:cs="Arial"/>
          <w:sz w:val="28"/>
          <w:szCs w:val="28"/>
        </w:rPr>
        <w:t xml:space="preserve">si bien es cierto </w:t>
      </w:r>
      <w:r w:rsidR="005D190A" w:rsidRPr="005520F4">
        <w:rPr>
          <w:rFonts w:ascii="Arial" w:hAnsi="Arial" w:cs="Arial"/>
          <w:sz w:val="28"/>
          <w:szCs w:val="28"/>
        </w:rPr>
        <w:t xml:space="preserve">que </w:t>
      </w:r>
      <w:r w:rsidR="00FB1828" w:rsidRPr="005520F4">
        <w:rPr>
          <w:rFonts w:ascii="Arial" w:hAnsi="Arial" w:cs="Arial"/>
          <w:sz w:val="28"/>
          <w:szCs w:val="28"/>
        </w:rPr>
        <w:t>el estudio expuesto con antelación se ilustra por una Tesis Aislada, que</w:t>
      </w:r>
      <w:r w:rsidRPr="005520F4">
        <w:rPr>
          <w:rFonts w:ascii="Arial" w:hAnsi="Arial" w:cs="Arial"/>
          <w:sz w:val="28"/>
          <w:szCs w:val="28"/>
        </w:rPr>
        <w:t xml:space="preserve"> no constituye</w:t>
      </w:r>
      <w:r w:rsidR="00FB1828" w:rsidRPr="005520F4">
        <w:rPr>
          <w:rFonts w:ascii="Arial" w:hAnsi="Arial" w:cs="Arial"/>
          <w:sz w:val="28"/>
          <w:szCs w:val="28"/>
        </w:rPr>
        <w:t xml:space="preserve"> Jurisprudencia, y por tanto no resulta </w:t>
      </w:r>
      <w:r w:rsidRPr="005520F4">
        <w:rPr>
          <w:rFonts w:ascii="Arial" w:hAnsi="Arial" w:cs="Arial"/>
          <w:sz w:val="28"/>
          <w:szCs w:val="28"/>
        </w:rPr>
        <w:t>de o</w:t>
      </w:r>
      <w:r w:rsidR="00F77941" w:rsidRPr="005520F4">
        <w:rPr>
          <w:rFonts w:ascii="Arial" w:hAnsi="Arial" w:cs="Arial"/>
          <w:sz w:val="28"/>
          <w:szCs w:val="28"/>
        </w:rPr>
        <w:t xml:space="preserve">bservancia </w:t>
      </w:r>
      <w:r w:rsidR="00FB1828" w:rsidRPr="005520F4">
        <w:rPr>
          <w:rFonts w:ascii="Arial" w:hAnsi="Arial" w:cs="Arial"/>
          <w:sz w:val="28"/>
          <w:szCs w:val="28"/>
        </w:rPr>
        <w:t xml:space="preserve">obligatoria </w:t>
      </w:r>
      <w:r w:rsidRPr="005520F4">
        <w:rPr>
          <w:rFonts w:ascii="Arial" w:hAnsi="Arial" w:cs="Arial"/>
          <w:sz w:val="28"/>
          <w:szCs w:val="28"/>
        </w:rPr>
        <w:t>par</w:t>
      </w:r>
      <w:r w:rsidR="00F77941" w:rsidRPr="005520F4">
        <w:rPr>
          <w:rFonts w:ascii="Arial" w:hAnsi="Arial" w:cs="Arial"/>
          <w:sz w:val="28"/>
          <w:szCs w:val="28"/>
        </w:rPr>
        <w:t>a este Tribunal en términos de lo que</w:t>
      </w:r>
      <w:r w:rsidR="00FB1828" w:rsidRPr="005520F4">
        <w:rPr>
          <w:rFonts w:ascii="Arial" w:hAnsi="Arial" w:cs="Arial"/>
          <w:sz w:val="28"/>
          <w:szCs w:val="28"/>
        </w:rPr>
        <w:t xml:space="preserve"> </w:t>
      </w:r>
      <w:r w:rsidR="00F77941" w:rsidRPr="005520F4">
        <w:rPr>
          <w:rFonts w:ascii="Arial" w:hAnsi="Arial" w:cs="Arial"/>
          <w:sz w:val="28"/>
          <w:szCs w:val="28"/>
        </w:rPr>
        <w:t xml:space="preserve">disponen los </w:t>
      </w:r>
      <w:r w:rsidR="00FB1828" w:rsidRPr="005520F4">
        <w:rPr>
          <w:rFonts w:ascii="Arial" w:hAnsi="Arial" w:cs="Arial"/>
          <w:sz w:val="28"/>
          <w:szCs w:val="28"/>
        </w:rPr>
        <w:t xml:space="preserve">artículos 216 y 217 de </w:t>
      </w:r>
      <w:smartTag w:uri="urn:schemas-microsoft-com:office:smarttags" w:element="PersonName">
        <w:smartTagPr>
          <w:attr w:name="ProductID" w:val="la Ley"/>
        </w:smartTagPr>
        <w:r w:rsidR="00FB1828" w:rsidRPr="005520F4">
          <w:rPr>
            <w:rFonts w:ascii="Arial" w:hAnsi="Arial" w:cs="Arial"/>
            <w:sz w:val="28"/>
            <w:szCs w:val="28"/>
          </w:rPr>
          <w:t>la Ley</w:t>
        </w:r>
      </w:smartTag>
      <w:r w:rsidR="00FB1828" w:rsidRPr="005520F4">
        <w:rPr>
          <w:rFonts w:ascii="Arial" w:hAnsi="Arial" w:cs="Arial"/>
          <w:sz w:val="28"/>
          <w:szCs w:val="28"/>
        </w:rPr>
        <w:t xml:space="preserve"> de Amparo </w:t>
      </w:r>
      <w:r w:rsidR="00F77941" w:rsidRPr="005520F4">
        <w:rPr>
          <w:rFonts w:ascii="Arial" w:hAnsi="Arial" w:cs="Arial"/>
          <w:sz w:val="28"/>
          <w:szCs w:val="28"/>
        </w:rPr>
        <w:t>vigente; no menos cierto es</w:t>
      </w:r>
      <w:r w:rsidR="00FB1828" w:rsidRPr="005520F4">
        <w:rPr>
          <w:rFonts w:ascii="Arial" w:hAnsi="Arial" w:cs="Arial"/>
          <w:sz w:val="28"/>
          <w:szCs w:val="28"/>
        </w:rPr>
        <w:t xml:space="preserve"> que</w:t>
      </w:r>
      <w:r w:rsidR="00F77941" w:rsidRPr="005520F4">
        <w:rPr>
          <w:rFonts w:ascii="Arial" w:hAnsi="Arial" w:cs="Arial"/>
          <w:sz w:val="28"/>
          <w:szCs w:val="28"/>
        </w:rPr>
        <w:t>,</w:t>
      </w:r>
      <w:r w:rsidR="00FB1828" w:rsidRPr="005520F4">
        <w:rPr>
          <w:rFonts w:ascii="Arial" w:hAnsi="Arial" w:cs="Arial"/>
          <w:sz w:val="28"/>
          <w:szCs w:val="28"/>
        </w:rPr>
        <w:t xml:space="preserve"> la propia Jurisprudencia ha reconocido a los Tribunales de menor jerarquía a los que emiten el criterio, la </w:t>
      </w:r>
      <w:r w:rsidR="00FB1828" w:rsidRPr="005520F4">
        <w:rPr>
          <w:rFonts w:ascii="Arial" w:hAnsi="Arial" w:cs="Arial"/>
          <w:sz w:val="28"/>
          <w:szCs w:val="28"/>
        </w:rPr>
        <w:lastRenderedPageBreak/>
        <w:t xml:space="preserve">posibilidad de que puedan tomar en consideración los criterios contenidos en Tesis Aisladas para ajustar el fallo que emitan, hacer el estudio de la cuestión planteada, y acatarlos si es aplicable al caso de que se trata. </w:t>
      </w:r>
    </w:p>
    <w:p w:rsidR="00FB1828" w:rsidRPr="005520F4" w:rsidRDefault="00FB1828" w:rsidP="005D190A">
      <w:pPr>
        <w:spacing w:after="0" w:line="360" w:lineRule="auto"/>
        <w:ind w:firstLine="709"/>
        <w:jc w:val="both"/>
        <w:rPr>
          <w:rFonts w:ascii="Arial" w:hAnsi="Arial" w:cs="Arial"/>
          <w:sz w:val="28"/>
          <w:szCs w:val="28"/>
        </w:rPr>
      </w:pPr>
      <w:r w:rsidRPr="005520F4">
        <w:rPr>
          <w:rFonts w:ascii="Arial" w:hAnsi="Arial" w:cs="Arial"/>
          <w:sz w:val="28"/>
          <w:szCs w:val="28"/>
        </w:rPr>
        <w:t xml:space="preserve">Por tanto, como </w:t>
      </w:r>
      <w:r w:rsidR="00F77941" w:rsidRPr="005520F4">
        <w:rPr>
          <w:rFonts w:ascii="Arial" w:hAnsi="Arial" w:cs="Arial"/>
          <w:sz w:val="28"/>
          <w:szCs w:val="28"/>
        </w:rPr>
        <w:t xml:space="preserve">en </w:t>
      </w:r>
      <w:r w:rsidRPr="005520F4">
        <w:rPr>
          <w:rFonts w:ascii="Arial" w:hAnsi="Arial" w:cs="Arial"/>
          <w:sz w:val="28"/>
          <w:szCs w:val="28"/>
        </w:rPr>
        <w:t xml:space="preserve">el caso, de acuerdo con las citadas normas que jerarquizan la obligatoriedad de </w:t>
      </w:r>
      <w:smartTag w:uri="urn:schemas-microsoft-com:office:smarttags" w:element="PersonName">
        <w:smartTagPr>
          <w:attr w:name="ProductID" w:val="la Jurisprudencia"/>
        </w:smartTagPr>
        <w:r w:rsidRPr="005520F4">
          <w:rPr>
            <w:rFonts w:ascii="Arial" w:hAnsi="Arial" w:cs="Arial"/>
            <w:sz w:val="28"/>
            <w:szCs w:val="28"/>
          </w:rPr>
          <w:t>la Jurisprudencia</w:t>
        </w:r>
      </w:smartTag>
      <w:r w:rsidRPr="005520F4">
        <w:rPr>
          <w:rFonts w:ascii="Arial" w:hAnsi="Arial" w:cs="Arial"/>
          <w:sz w:val="28"/>
          <w:szCs w:val="28"/>
        </w:rPr>
        <w:t xml:space="preserve">, </w:t>
      </w:r>
      <w:r w:rsidR="00F77941" w:rsidRPr="005520F4">
        <w:rPr>
          <w:rFonts w:ascii="Arial" w:hAnsi="Arial" w:cs="Arial"/>
          <w:sz w:val="28"/>
          <w:szCs w:val="28"/>
        </w:rPr>
        <w:t xml:space="preserve">este </w:t>
      </w:r>
      <w:r w:rsidRPr="005520F4">
        <w:rPr>
          <w:rFonts w:ascii="Arial" w:hAnsi="Arial" w:cs="Arial"/>
          <w:sz w:val="28"/>
          <w:szCs w:val="28"/>
        </w:rPr>
        <w:t xml:space="preserve">Tribunal Administrativo es un tribunal de menor jerarquía respecto de la Suprema Corte de Justicia de la Nación y de los Tribunales Colegiados de Circuito, luego entonces es dable a ésta Sala tomar en consideración el criterio contenido en las transcritas Tesis Aisladas para ajustar su fallo, hacer el estudio de la cuestión planteada, y acatarlos si es aplicable al caso de que se trata, según se desprende de </w:t>
      </w:r>
      <w:smartTag w:uri="urn:schemas-microsoft-com:office:smarttags" w:element="PersonName">
        <w:smartTagPr>
          <w:attr w:name="ProductID" w:val="la Jurisprudencia"/>
        </w:smartTagPr>
        <w:r w:rsidRPr="005520F4">
          <w:rPr>
            <w:rFonts w:ascii="Arial" w:hAnsi="Arial" w:cs="Arial"/>
            <w:sz w:val="28"/>
            <w:szCs w:val="28"/>
          </w:rPr>
          <w:t>la Jurisprudencia</w:t>
        </w:r>
      </w:smartTag>
      <w:r w:rsidRPr="005520F4">
        <w:rPr>
          <w:rFonts w:ascii="Arial" w:hAnsi="Arial" w:cs="Arial"/>
          <w:sz w:val="28"/>
          <w:szCs w:val="28"/>
        </w:rPr>
        <w:t xml:space="preserve"> que enseguida se transcribe:</w:t>
      </w:r>
    </w:p>
    <w:p w:rsidR="00FB1828" w:rsidRPr="005520F4" w:rsidRDefault="00FB1828" w:rsidP="00FB1828">
      <w:pPr>
        <w:spacing w:before="120" w:after="120"/>
        <w:ind w:left="1418"/>
        <w:jc w:val="both"/>
      </w:pPr>
      <w:r w:rsidRPr="005520F4">
        <w:rPr>
          <w:rFonts w:ascii="Arial" w:eastAsia="Times New Roman" w:hAnsi="Arial" w:cs="Arial"/>
          <w:iCs/>
          <w:sz w:val="20"/>
          <w:szCs w:val="20"/>
          <w:lang w:val="es-ES" w:eastAsia="es-ES"/>
        </w:rPr>
        <w:t>“</w:t>
      </w:r>
      <w:r w:rsidRPr="005520F4">
        <w:rPr>
          <w:rFonts w:ascii="Arial" w:eastAsia="Times New Roman" w:hAnsi="Arial" w:cs="Arial"/>
          <w:b/>
          <w:iCs/>
          <w:sz w:val="20"/>
          <w:szCs w:val="20"/>
          <w:lang w:val="es-ES" w:eastAsia="es-ES"/>
        </w:rPr>
        <w:t>TESIS AISLADAS, VALIDEZ DE LAS, CUANDO SON INVOCADAS POR TRIBUNALES DE INFERIOR JERARQUÍA DE AQUELLOS QUE LAS EMITEN PARA JUSTIFICAR SU FALLO</w:t>
      </w:r>
      <w:r w:rsidRPr="005520F4">
        <w:rPr>
          <w:rFonts w:ascii="Arial" w:eastAsia="Times New Roman" w:hAnsi="Arial" w:cs="Arial"/>
          <w:iCs/>
          <w:sz w:val="20"/>
          <w:szCs w:val="20"/>
          <w:lang w:val="es-ES" w:eastAsia="es-ES"/>
        </w:rPr>
        <w:t xml:space="preserve">.- El hecho de que en una resolución se invoque una tesis que no constituye jurisprudencia en los términos del artículo 192 de </w:t>
      </w:r>
      <w:smartTag w:uri="urn:schemas-microsoft-com:office:smarttags" w:element="PersonName">
        <w:smartTagPr>
          <w:attr w:name="ProductID" w:val="la Ley"/>
        </w:smartTagPr>
        <w:r w:rsidRPr="005520F4">
          <w:rPr>
            <w:rFonts w:ascii="Arial" w:eastAsia="Times New Roman" w:hAnsi="Arial" w:cs="Arial"/>
            <w:iCs/>
            <w:sz w:val="20"/>
            <w:szCs w:val="20"/>
            <w:lang w:val="es-ES" w:eastAsia="es-ES"/>
          </w:rPr>
          <w:t>la Ley</w:t>
        </w:r>
      </w:smartTag>
      <w:r w:rsidRPr="005520F4">
        <w:rPr>
          <w:rFonts w:ascii="Arial" w:eastAsia="Times New Roman" w:hAnsi="Arial" w:cs="Arial"/>
          <w:iCs/>
          <w:sz w:val="20"/>
          <w:szCs w:val="20"/>
          <w:lang w:val="es-ES" w:eastAsia="es-ES"/>
        </w:rPr>
        <w:t xml:space="preserve"> de Amparo y por lo mismo no sea obligatoria, ello no impide que los tribunales de inferior categoría de aquellos que sustentan el criterio, puedan tomarlo en consideración para ajustar su fallo, al hacer el estudio jurídico de la cuestión planteada y acatarlo si es aplicable al caso de que se trate.- SEXTO TRIBUNAL COLEGIADO EN MATERIA CIVIL DEL PRIMER CIRCUITO</w:t>
      </w:r>
      <w:r w:rsidRPr="005520F4">
        <w:t>.”</w:t>
      </w:r>
      <w:r w:rsidRPr="005520F4">
        <w:rPr>
          <w:rStyle w:val="Refdenotaalpie"/>
        </w:rPr>
        <w:footnoteReference w:id="3"/>
      </w:r>
    </w:p>
    <w:p w:rsidR="00FB1828" w:rsidRPr="005520F4" w:rsidRDefault="00FB1828" w:rsidP="00FB1828">
      <w:pPr>
        <w:spacing w:before="120" w:after="120" w:line="360" w:lineRule="auto"/>
        <w:ind w:left="708"/>
        <w:jc w:val="both"/>
        <w:rPr>
          <w:rFonts w:ascii="Arial" w:hAnsi="Arial" w:cs="Arial"/>
          <w:sz w:val="28"/>
          <w:szCs w:val="28"/>
        </w:rPr>
      </w:pPr>
      <w:r w:rsidRPr="005520F4">
        <w:rPr>
          <w:rFonts w:ascii="Arial" w:hAnsi="Arial" w:cs="Arial"/>
          <w:b/>
          <w:sz w:val="28"/>
          <w:szCs w:val="28"/>
        </w:rPr>
        <w:t>2.-</w:t>
      </w:r>
      <w:r w:rsidRPr="005520F4">
        <w:rPr>
          <w:rFonts w:ascii="Arial" w:hAnsi="Arial" w:cs="Arial"/>
          <w:sz w:val="28"/>
          <w:szCs w:val="28"/>
        </w:rPr>
        <w:t xml:space="preserve"> Paguen al Actor las demás prestaciones a que tiene derecho, de acuerdo a lo que dispone el artículo 123</w:t>
      </w:r>
      <w:r w:rsidR="00F77941" w:rsidRPr="005520F4">
        <w:rPr>
          <w:rFonts w:ascii="Arial" w:hAnsi="Arial" w:cs="Arial"/>
          <w:sz w:val="28"/>
          <w:szCs w:val="28"/>
        </w:rPr>
        <w:t>,</w:t>
      </w:r>
      <w:r w:rsidRPr="005520F4">
        <w:rPr>
          <w:rFonts w:ascii="Arial" w:hAnsi="Arial" w:cs="Arial"/>
          <w:sz w:val="28"/>
          <w:szCs w:val="28"/>
        </w:rPr>
        <w:t xml:space="preserve"> apartado B</w:t>
      </w:r>
      <w:r w:rsidR="00F77941" w:rsidRPr="005520F4">
        <w:rPr>
          <w:rFonts w:ascii="Arial" w:hAnsi="Arial" w:cs="Arial"/>
          <w:sz w:val="28"/>
          <w:szCs w:val="28"/>
        </w:rPr>
        <w:t>,</w:t>
      </w:r>
      <w:r w:rsidRPr="005520F4">
        <w:rPr>
          <w:rFonts w:ascii="Arial" w:hAnsi="Arial" w:cs="Arial"/>
          <w:sz w:val="28"/>
          <w:szCs w:val="28"/>
        </w:rPr>
        <w:t xml:space="preserve"> fracción XIII</w:t>
      </w:r>
      <w:r w:rsidR="00F77941" w:rsidRPr="005520F4">
        <w:rPr>
          <w:rFonts w:ascii="Arial" w:hAnsi="Arial" w:cs="Arial"/>
          <w:sz w:val="28"/>
          <w:szCs w:val="28"/>
        </w:rPr>
        <w:t>,</w:t>
      </w:r>
      <w:r w:rsidRPr="005520F4">
        <w:rPr>
          <w:rFonts w:ascii="Arial" w:hAnsi="Arial" w:cs="Arial"/>
          <w:sz w:val="28"/>
          <w:szCs w:val="28"/>
        </w:rPr>
        <w:t xml:space="preserve"> segundo párrafo de la Constitución Política de los Estados Unidos Mexicanos, y el artículo 54 de la Ley del Sistema de Seguridad Pública del Estado; y hasta la fecha en que se efectúe el pago de dichas prestaciones.</w:t>
      </w:r>
    </w:p>
    <w:p w:rsidR="00FB1828" w:rsidRPr="005520F4" w:rsidRDefault="00FB1828" w:rsidP="00FB1828">
      <w:pPr>
        <w:spacing w:before="120" w:after="120" w:line="360" w:lineRule="auto"/>
        <w:ind w:left="708"/>
        <w:jc w:val="both"/>
        <w:rPr>
          <w:color w:val="000000"/>
          <w:sz w:val="28"/>
          <w:szCs w:val="28"/>
        </w:rPr>
      </w:pPr>
      <w:r w:rsidRPr="005520F4">
        <w:rPr>
          <w:rFonts w:ascii="Arial" w:hAnsi="Arial" w:cs="Arial"/>
          <w:color w:val="000000"/>
          <w:sz w:val="28"/>
          <w:szCs w:val="28"/>
        </w:rPr>
        <w:t xml:space="preserve">En el entendido de que el concepto de demás prestaciones a que tenga derecho, incluye todo aquello que legalmente le corresponda y que derive de la relación administrativa que tenía el actor con la demandada, al momento de la afectación de sus derechos, así como aquellos que tengan </w:t>
      </w:r>
      <w:r w:rsidRPr="005520F4">
        <w:rPr>
          <w:rFonts w:ascii="Arial" w:hAnsi="Arial" w:cs="Arial"/>
          <w:color w:val="000000"/>
          <w:sz w:val="28"/>
          <w:szCs w:val="28"/>
        </w:rPr>
        <w:lastRenderedPageBreak/>
        <w:t xml:space="preserve">su origen en un derecho subjetivo tutelado por la normatividad aplicable y que se le hayan generado por el simple transcurso del tiempo, integrados con la remuneración diaria ordinaria, beneficios, recompensas, estipendios, asignaciones, gratificaciones, premios, retribuciones, subvenciones, dietas, compensaciones o cualquier otro concepto que percibía por la prestación de sus servicios, entre otras prestaciones presupuestadas </w:t>
      </w:r>
      <w:r w:rsidR="00F77941" w:rsidRPr="005520F4">
        <w:rPr>
          <w:rFonts w:ascii="Arial" w:hAnsi="Arial" w:cs="Arial"/>
          <w:color w:val="000000"/>
          <w:sz w:val="28"/>
          <w:szCs w:val="28"/>
        </w:rPr>
        <w:t>para su nivel y categoría en la</w:t>
      </w:r>
      <w:r w:rsidRPr="005520F4">
        <w:rPr>
          <w:rFonts w:ascii="Arial" w:hAnsi="Arial" w:cs="Arial"/>
          <w:color w:val="000000"/>
          <w:sz w:val="28"/>
          <w:szCs w:val="28"/>
        </w:rPr>
        <w:t xml:space="preserve"> corporación</w:t>
      </w:r>
      <w:r w:rsidR="00F77941" w:rsidRPr="005520F4">
        <w:rPr>
          <w:rFonts w:ascii="Arial" w:hAnsi="Arial" w:cs="Arial"/>
          <w:color w:val="000000"/>
          <w:sz w:val="28"/>
          <w:szCs w:val="28"/>
        </w:rPr>
        <w:t xml:space="preserve"> a la que pertenecía</w:t>
      </w:r>
      <w:r w:rsidRPr="005520F4">
        <w:rPr>
          <w:rFonts w:ascii="Arial" w:hAnsi="Arial" w:cs="Arial"/>
          <w:color w:val="000000"/>
          <w:sz w:val="28"/>
          <w:szCs w:val="28"/>
        </w:rPr>
        <w:t>, donde quedan comprendidas las partes proporcionales de aguinaldo, vacaciones y prima vacacional, es decir, todo aquello que legalmente le corresponda y que derive de la relación administrativa que tenía el actor con la demandada, al momento de la afectación de sus derechos</w:t>
      </w:r>
      <w:r w:rsidRPr="005520F4">
        <w:rPr>
          <w:color w:val="000000"/>
          <w:sz w:val="28"/>
          <w:szCs w:val="28"/>
        </w:rPr>
        <w:t>.</w:t>
      </w:r>
    </w:p>
    <w:p w:rsidR="00FB1828" w:rsidRPr="005520F4" w:rsidRDefault="00FB1828" w:rsidP="00F77941">
      <w:pPr>
        <w:spacing w:after="0" w:line="360" w:lineRule="auto"/>
        <w:ind w:firstLine="709"/>
        <w:jc w:val="both"/>
        <w:rPr>
          <w:rFonts w:ascii="Arial" w:hAnsi="Arial" w:cs="Arial"/>
          <w:sz w:val="28"/>
          <w:szCs w:val="28"/>
        </w:rPr>
      </w:pPr>
      <w:r w:rsidRPr="005520F4">
        <w:rPr>
          <w:rFonts w:ascii="Arial" w:hAnsi="Arial" w:cs="Arial"/>
          <w:sz w:val="28"/>
          <w:szCs w:val="28"/>
        </w:rPr>
        <w:t>El criterio de la Sala, se sustenta en la interpretación del enunciado normativo “y demás prestaciones a que tenga derecho”, que se encuentra contenida en el artículo 123</w:t>
      </w:r>
      <w:r w:rsidR="00F77941" w:rsidRPr="005520F4">
        <w:rPr>
          <w:rFonts w:ascii="Arial" w:hAnsi="Arial" w:cs="Arial"/>
          <w:sz w:val="28"/>
          <w:szCs w:val="28"/>
        </w:rPr>
        <w:t>,</w:t>
      </w:r>
      <w:r w:rsidRPr="005520F4">
        <w:rPr>
          <w:rFonts w:ascii="Arial" w:hAnsi="Arial" w:cs="Arial"/>
          <w:sz w:val="28"/>
          <w:szCs w:val="28"/>
        </w:rPr>
        <w:t xml:space="preserve"> apartado B</w:t>
      </w:r>
      <w:r w:rsidR="00F77941" w:rsidRPr="005520F4">
        <w:rPr>
          <w:rFonts w:ascii="Arial" w:hAnsi="Arial" w:cs="Arial"/>
          <w:sz w:val="28"/>
          <w:szCs w:val="28"/>
        </w:rPr>
        <w:t>,</w:t>
      </w:r>
      <w:r w:rsidRPr="005520F4">
        <w:rPr>
          <w:rFonts w:ascii="Arial" w:hAnsi="Arial" w:cs="Arial"/>
          <w:sz w:val="28"/>
          <w:szCs w:val="28"/>
        </w:rPr>
        <w:t xml:space="preserve"> fracción XIII</w:t>
      </w:r>
      <w:r w:rsidR="00F77941" w:rsidRPr="005520F4">
        <w:rPr>
          <w:rFonts w:ascii="Arial" w:hAnsi="Arial" w:cs="Arial"/>
          <w:sz w:val="28"/>
          <w:szCs w:val="28"/>
        </w:rPr>
        <w:t>,</w:t>
      </w:r>
      <w:r w:rsidRPr="005520F4">
        <w:rPr>
          <w:rFonts w:ascii="Arial" w:hAnsi="Arial" w:cs="Arial"/>
          <w:sz w:val="28"/>
          <w:szCs w:val="28"/>
        </w:rPr>
        <w:t xml:space="preserve"> segundo párrafo de la Constitución Política de los Estados Unidos Mexicanos, que realizó la Segunda Sala de la Suprema Corte de Justicia de la Nación, en la Tesis de Jurisprudencia que a continuación se transcribe:</w:t>
      </w:r>
    </w:p>
    <w:p w:rsidR="006D6E86" w:rsidRPr="005520F4" w:rsidRDefault="00FB1828" w:rsidP="00B4722E">
      <w:pPr>
        <w:spacing w:before="120" w:after="120"/>
        <w:ind w:left="1418"/>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w:t>
      </w:r>
      <w:r w:rsidRPr="005520F4">
        <w:rPr>
          <w:rFonts w:ascii="Arial" w:eastAsia="Times New Roman" w:hAnsi="Arial" w:cs="Arial"/>
          <w:b/>
          <w:iCs/>
          <w:sz w:val="20"/>
          <w:szCs w:val="20"/>
          <w:lang w:val="es-ES" w:eastAsia="es-ES"/>
        </w:rPr>
        <w:t>SEGURIDAD PÚBLICA. INTERPRETACIÓN DEL ENUNCIADO "Y DEMÁS PRESTACIONES A QUE TENGA DERECHO", CONTENIDO EN EL ARTÍCULO 123, APARTADO B, FRACCIÓN XIII, SEGUNDO PÁRRAFO, DE LA CONSTITUCIÓN POLÍTICA DE LOS ESTADOS UNIDOS MEXICANOS, VIGENTE A PARTIR DE LA REFORMA PUBLICADA EN EL DIARIO OFICIAL DE LA FEDERACIÓN EL 18 DE JUNIO DE 2008</w:t>
      </w:r>
      <w:r w:rsidRPr="005520F4">
        <w:rPr>
          <w:rFonts w:ascii="Arial" w:eastAsia="Times New Roman" w:hAnsi="Arial" w:cs="Arial"/>
          <w:iCs/>
          <w:sz w:val="20"/>
          <w:szCs w:val="20"/>
          <w:lang w:val="es-ES" w:eastAsia="es-ES"/>
        </w:rPr>
        <w:t xml:space="preserve">.- El citado precepto prevé que si la autoridad jurisdiccional resuelve que es injustificada la separación, remoción, baja, cese o cualquier otra forma de terminación del servicio de los miembros de instituciones policiales de la Federación, el Distrito Federal, los Estados y los Municipios, el Estado sólo estará obligado a pagar la indemnización y demás prestaciones a que tenga derecho, sin que en ningún caso proceda su reincorporación al servicio. Ahora bien, en el proceso legislativo correspondiente no se precisaron las razones para incorporar el enunciado "y demás prestaciones a que tenga derecho"; por lo cual, para desentrañar su sentido jurídico, debe considerarse que tiene como antecedente un imperativo categórico: la imposibilidad absoluta de reincorporar a un elemento de los cuerpos de seguridad pública, aun cuando la autoridad jurisdiccional haya resuelto que es injustificada su separación; </w:t>
      </w:r>
      <w:r w:rsidRPr="005520F4">
        <w:rPr>
          <w:rFonts w:ascii="Arial" w:eastAsia="Times New Roman" w:hAnsi="Arial" w:cs="Arial"/>
          <w:iCs/>
          <w:sz w:val="20"/>
          <w:szCs w:val="20"/>
          <w:u w:val="single"/>
          <w:lang w:val="es-ES" w:eastAsia="es-ES"/>
        </w:rPr>
        <w:t>por tanto, la actualización de ese supuesto implica, como consecuencia lógica y jurídica, la obligación de resarcir al servidor público mediante el pago de una "indemnización" y "demás prestaciones a que tenga derecho</w:t>
      </w:r>
      <w:r w:rsidRPr="005520F4">
        <w:rPr>
          <w:rFonts w:ascii="Arial" w:eastAsia="Times New Roman" w:hAnsi="Arial" w:cs="Arial"/>
          <w:iCs/>
          <w:sz w:val="20"/>
          <w:szCs w:val="20"/>
          <w:lang w:val="es-ES" w:eastAsia="es-ES"/>
        </w:rPr>
        <w:t xml:space="preserve">". Así las cosas, como esa fue la intención del Constituyente Permanente, </w:t>
      </w:r>
      <w:r w:rsidRPr="005520F4">
        <w:rPr>
          <w:rFonts w:ascii="Arial" w:eastAsia="Times New Roman" w:hAnsi="Arial" w:cs="Arial"/>
          <w:b/>
          <w:iCs/>
          <w:sz w:val="20"/>
          <w:szCs w:val="20"/>
          <w:u w:val="single"/>
          <w:lang w:val="es-ES" w:eastAsia="es-ES"/>
        </w:rPr>
        <w:t xml:space="preserve">el enunciado </w:t>
      </w:r>
      <w:r w:rsidRPr="005520F4">
        <w:rPr>
          <w:rFonts w:ascii="Arial" w:eastAsia="Times New Roman" w:hAnsi="Arial" w:cs="Arial"/>
          <w:b/>
          <w:iCs/>
          <w:sz w:val="20"/>
          <w:szCs w:val="20"/>
          <w:u w:val="single"/>
          <w:lang w:val="es-ES" w:eastAsia="es-ES"/>
        </w:rPr>
        <w:lastRenderedPageBreak/>
        <w:t>normativo "y demás prestaciones a que tenga derecho" forma parte de la obligación resarcitoria del Estado y debe interpretarse como el deber de pagar la remuneración diaria ordinaria, así como los beneficios, recompensas, estipendios, asignaciones, gratificaciones, premios, retribuciones, subvenciones, haberes, dietas, compensaciones o cualquier otro concepto que percibía el servidor público por la prestación de sus servicios, desde que se concretó su separación, remoción, baja, cese o cualquier otra forma de terminación del servicio y hasta que se realice el pago correspondiente</w:t>
      </w:r>
      <w:r w:rsidRPr="005520F4">
        <w:rPr>
          <w:rFonts w:ascii="Arial" w:eastAsia="Times New Roman" w:hAnsi="Arial" w:cs="Arial"/>
          <w:iCs/>
          <w:sz w:val="20"/>
          <w:szCs w:val="20"/>
          <w:lang w:val="es-ES" w:eastAsia="es-ES"/>
        </w:rPr>
        <w:t>. Lo anterior es así, porque si bien es cierto que la reforma constitucional privilegió el interés general de la seguridad pública sobre el interés particular, debido a que a la sociedad le interesa contar con instituciones policiales honestas, profesionales, competentes, eficientes y eficaces, también lo es que la prosecución de ese fin constitucional no debe estar secundada por violación a los derechos de las personas, ni ha de llevarse al extremo de permitir que las entidades policiales cometan actos ilegales en perjuicio de los derechos de los servidores públicos, sin la correspondiente responsabilidad administrativa del Estado.- Segunda Sala”</w:t>
      </w:r>
    </w:p>
    <w:p w:rsidR="00B4722E" w:rsidRPr="005520F4" w:rsidRDefault="00B4722E" w:rsidP="00316869">
      <w:pPr>
        <w:spacing w:after="0" w:line="360" w:lineRule="auto"/>
        <w:ind w:firstLine="709"/>
        <w:jc w:val="both"/>
        <w:rPr>
          <w:rFonts w:ascii="Arial" w:eastAsia="Times New Roman" w:hAnsi="Arial" w:cs="Arial"/>
          <w:sz w:val="28"/>
          <w:szCs w:val="28"/>
          <w:lang w:eastAsia="es-ES"/>
        </w:rPr>
      </w:pPr>
    </w:p>
    <w:p w:rsidR="00B4722E" w:rsidRPr="005520F4" w:rsidRDefault="00B4722E" w:rsidP="00B4722E">
      <w:pPr>
        <w:spacing w:before="240" w:after="240" w:line="360" w:lineRule="auto"/>
        <w:ind w:left="708" w:firstLine="12"/>
        <w:jc w:val="both"/>
        <w:rPr>
          <w:sz w:val="28"/>
          <w:szCs w:val="28"/>
        </w:rPr>
      </w:pPr>
      <w:r w:rsidRPr="005520F4">
        <w:rPr>
          <w:rFonts w:ascii="Arial" w:hAnsi="Arial" w:cs="Arial"/>
          <w:b/>
          <w:sz w:val="28"/>
          <w:szCs w:val="28"/>
        </w:rPr>
        <w:t>3.-</w:t>
      </w:r>
      <w:r w:rsidRPr="005520F4">
        <w:rPr>
          <w:sz w:val="28"/>
          <w:szCs w:val="28"/>
        </w:rPr>
        <w:t xml:space="preserve"> </w:t>
      </w:r>
      <w:r w:rsidRPr="005520F4">
        <w:rPr>
          <w:rFonts w:ascii="Arial" w:hAnsi="Arial" w:cs="Arial"/>
          <w:sz w:val="28"/>
          <w:szCs w:val="28"/>
        </w:rPr>
        <w:t>Se realice la inscripción relativa en el Registro Nacional de Seguridad Pública señalando que el cese del que fue objeto el hoy actor fue injustificado, de conformidad con lo establecido en la última parte del segundo párrafo del artículo 54 de la Ley del Sistema de Seguridad Pública del Estado de San Luis Potosí, así como lo dispuesto en la jurisprudencia pronunciada por la Segunda Sala de la Suprema Corte de Justicia de la Nación, cuyo rubro y contenido son los siguientes:</w:t>
      </w:r>
    </w:p>
    <w:p w:rsidR="00B4722E" w:rsidRPr="005520F4" w:rsidRDefault="00B4722E" w:rsidP="00B4722E">
      <w:pPr>
        <w:spacing w:before="120" w:after="120"/>
        <w:ind w:left="1418"/>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w:t>
      </w:r>
      <w:r w:rsidRPr="005520F4">
        <w:rPr>
          <w:rFonts w:ascii="Arial" w:eastAsia="Times New Roman" w:hAnsi="Arial" w:cs="Arial"/>
          <w:b/>
          <w:iCs/>
          <w:sz w:val="20"/>
          <w:szCs w:val="20"/>
          <w:lang w:val="es-ES" w:eastAsia="es-ES"/>
        </w:rPr>
        <w:t>MIEMBROS DE LAS INSTITUCIONES POLICIALES. EFECTOS DE LA CONCESIÓN DEL AMPARO DIRECTO CONTRA LA SENTENCIA DICTADA EN SEDE JURISDICCIONAL CUANDO SE ADVIERTAN VIOLACIONES PROCESALES, FORMALES O DE FONDO EN LA RESOLUCIÓN DEFINITIVA DICTADA EN SEDE ADMINISTRATIVA QUE DECIDE SEPARARLOS, DESTITUIRLOS O CESARLOS</w:t>
      </w:r>
      <w:r w:rsidRPr="005520F4">
        <w:rPr>
          <w:rFonts w:ascii="Arial" w:eastAsia="Times New Roman" w:hAnsi="Arial" w:cs="Arial"/>
          <w:iCs/>
          <w:sz w:val="20"/>
          <w:szCs w:val="20"/>
          <w:lang w:val="es-ES" w:eastAsia="es-ES"/>
        </w:rPr>
        <w:t>. Conforme a lo establecido por la Segunda Sala de la Suprema Corte de Justicia de la Nación en la jurisprudencia 2a</w:t>
      </w:r>
      <w:proofErr w:type="gramStart"/>
      <w:r w:rsidRPr="005520F4">
        <w:rPr>
          <w:rFonts w:ascii="Arial" w:eastAsia="Times New Roman" w:hAnsi="Arial" w:cs="Arial"/>
          <w:iCs/>
          <w:sz w:val="20"/>
          <w:szCs w:val="20"/>
          <w:lang w:val="es-ES" w:eastAsia="es-ES"/>
        </w:rPr>
        <w:t>./</w:t>
      </w:r>
      <w:proofErr w:type="gramEnd"/>
      <w:r w:rsidRPr="005520F4">
        <w:rPr>
          <w:rFonts w:ascii="Arial" w:eastAsia="Times New Roman" w:hAnsi="Arial" w:cs="Arial"/>
          <w:iCs/>
          <w:sz w:val="20"/>
          <w:szCs w:val="20"/>
          <w:lang w:val="es-ES" w:eastAsia="es-ES"/>
        </w:rPr>
        <w:t xml:space="preserve">J. 103/2012 (10a.) (*), </w:t>
      </w:r>
      <w:proofErr w:type="gramStart"/>
      <w:r w:rsidRPr="005520F4">
        <w:rPr>
          <w:rFonts w:ascii="Arial" w:eastAsia="Times New Roman" w:hAnsi="Arial" w:cs="Arial"/>
          <w:iCs/>
          <w:sz w:val="20"/>
          <w:szCs w:val="20"/>
          <w:lang w:val="es-ES" w:eastAsia="es-ES"/>
        </w:rPr>
        <w:t>de</w:t>
      </w:r>
      <w:proofErr w:type="gramEnd"/>
      <w:r w:rsidRPr="005520F4">
        <w:rPr>
          <w:rFonts w:ascii="Arial" w:eastAsia="Times New Roman" w:hAnsi="Arial" w:cs="Arial"/>
          <w:iCs/>
          <w:sz w:val="20"/>
          <w:szCs w:val="20"/>
          <w:lang w:val="es-ES" w:eastAsia="es-ES"/>
        </w:rPr>
        <w:t xml:space="preserve"> rubro: "SEGURIDAD PÚBLICA. LA SENTENCIA EN LA QUE SE CONCEDE EL AMPARO CONTRA LA SEPARACIÓN, REMOCIÓN, BAJA, CESE O CUALQUIER OTRA FORMA DE TERMINACIÓN DEL SERVICIO DE MIEMBROS DE LAS INSTITUCIONES POLICIALES, POR VIOLACIÓN AL DERECHO DE AUDIENCIA, DEBE CONSTREÑIR A LA AUTORIDAD RESPONSABLE A PAGAR LA INDEMNIZACIÓN CORRESPONDIENTE Y LAS DEMÁS PRESTACIONES A QUE EL QUEJOSO TENGA DERECHO.", cuando el quejoso impugne en amparo directo la ilegalidad de la resolución definitiva, mediante la cual haya sido separado del cargo que desempeñaba como servidor público de una institución policial, por violaciones procesales, formales o de fondo en el procedimiento administrativo de separación; tomando en cuenta la imposibilidad de regresar las cosas al estado en el que se encontraban previo a la violación, por existir una restricción constitucional expresa, no debe ordenarse la reposición del procedimiento, sino que el efecto de la concesión del amparo debe ser de constreñir a la autoridad </w:t>
      </w:r>
      <w:r w:rsidRPr="005520F4">
        <w:rPr>
          <w:rFonts w:ascii="Arial" w:eastAsia="Times New Roman" w:hAnsi="Arial" w:cs="Arial"/>
          <w:iCs/>
          <w:sz w:val="20"/>
          <w:szCs w:val="20"/>
          <w:lang w:val="es-ES" w:eastAsia="es-ES"/>
        </w:rPr>
        <w:lastRenderedPageBreak/>
        <w:t xml:space="preserve">responsable a resarcir integralmente el derecho del que se vio privado el quejoso. </w:t>
      </w:r>
      <w:r w:rsidRPr="005520F4">
        <w:rPr>
          <w:rFonts w:ascii="Arial" w:eastAsia="Times New Roman" w:hAnsi="Arial" w:cs="Arial"/>
          <w:b/>
          <w:iCs/>
          <w:sz w:val="20"/>
          <w:szCs w:val="20"/>
          <w:lang w:val="es-ES" w:eastAsia="es-ES"/>
        </w:rPr>
        <w:t>En estos casos, la reparación integral consiste en ordenar a la autoridad administrativa: a) el pago de la indemnización correspondiente y demás prestaciones a que tenga derecho, y b) la anotación en el expediente personal del servidor público, así como en el Registro Nacional de Seguridad Pública, de que éste fue separado o destituido de manera injustificada</w:t>
      </w:r>
      <w:r w:rsidRPr="005520F4">
        <w:rPr>
          <w:rFonts w:ascii="Arial" w:eastAsia="Times New Roman" w:hAnsi="Arial" w:cs="Arial"/>
          <w:iCs/>
          <w:sz w:val="20"/>
          <w:szCs w:val="20"/>
          <w:lang w:val="es-ES" w:eastAsia="es-ES"/>
        </w:rPr>
        <w:t>.”</w:t>
      </w:r>
    </w:p>
    <w:p w:rsidR="00B4722E" w:rsidRPr="005520F4" w:rsidRDefault="00B4722E" w:rsidP="00B4722E">
      <w:pPr>
        <w:spacing w:before="120" w:after="120"/>
        <w:ind w:left="1418"/>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 xml:space="preserve">Contradicción de tesis 55/2016. Entre las sustentadas por el Pleno en Materia Administrativa del Decimosexto Circuito y el Primer Tribunal Colegiado del Décimo Octavo Circuito. 6 de julio de 2016. Cinco votos de los Ministros Eduardo Medina Mora I., Javier </w:t>
      </w:r>
      <w:proofErr w:type="spellStart"/>
      <w:r w:rsidRPr="005520F4">
        <w:rPr>
          <w:rFonts w:ascii="Arial" w:eastAsia="Times New Roman" w:hAnsi="Arial" w:cs="Arial"/>
          <w:iCs/>
          <w:sz w:val="20"/>
          <w:szCs w:val="20"/>
          <w:lang w:val="es-ES" w:eastAsia="es-ES"/>
        </w:rPr>
        <w:t>Laynez</w:t>
      </w:r>
      <w:proofErr w:type="spellEnd"/>
      <w:r w:rsidRPr="005520F4">
        <w:rPr>
          <w:rFonts w:ascii="Arial" w:eastAsia="Times New Roman" w:hAnsi="Arial" w:cs="Arial"/>
          <w:iCs/>
          <w:sz w:val="20"/>
          <w:szCs w:val="20"/>
          <w:lang w:val="es-ES" w:eastAsia="es-ES"/>
        </w:rPr>
        <w:t xml:space="preserve"> </w:t>
      </w:r>
      <w:proofErr w:type="spellStart"/>
      <w:r w:rsidRPr="005520F4">
        <w:rPr>
          <w:rFonts w:ascii="Arial" w:eastAsia="Times New Roman" w:hAnsi="Arial" w:cs="Arial"/>
          <w:iCs/>
          <w:sz w:val="20"/>
          <w:szCs w:val="20"/>
          <w:lang w:val="es-ES" w:eastAsia="es-ES"/>
        </w:rPr>
        <w:t>Potisek</w:t>
      </w:r>
      <w:proofErr w:type="spellEnd"/>
      <w:r w:rsidRPr="005520F4">
        <w:rPr>
          <w:rFonts w:ascii="Arial" w:eastAsia="Times New Roman" w:hAnsi="Arial" w:cs="Arial"/>
          <w:iCs/>
          <w:sz w:val="20"/>
          <w:szCs w:val="20"/>
          <w:lang w:val="es-ES" w:eastAsia="es-ES"/>
        </w:rPr>
        <w:t xml:space="preserve">, José Fernando Franco González Salas, Margarita Beatriz Luna Ramos y Alberto Pérez </w:t>
      </w:r>
      <w:proofErr w:type="spellStart"/>
      <w:r w:rsidRPr="005520F4">
        <w:rPr>
          <w:rFonts w:ascii="Arial" w:eastAsia="Times New Roman" w:hAnsi="Arial" w:cs="Arial"/>
          <w:iCs/>
          <w:sz w:val="20"/>
          <w:szCs w:val="20"/>
          <w:lang w:val="es-ES" w:eastAsia="es-ES"/>
        </w:rPr>
        <w:t>Dayán</w:t>
      </w:r>
      <w:proofErr w:type="spellEnd"/>
      <w:r w:rsidRPr="005520F4">
        <w:rPr>
          <w:rFonts w:ascii="Arial" w:eastAsia="Times New Roman" w:hAnsi="Arial" w:cs="Arial"/>
          <w:iCs/>
          <w:sz w:val="20"/>
          <w:szCs w:val="20"/>
          <w:lang w:val="es-ES" w:eastAsia="es-ES"/>
        </w:rPr>
        <w:t xml:space="preserve">; votaron con salvedad José Fernando Franco González Salas y Alberto Pérez </w:t>
      </w:r>
      <w:proofErr w:type="spellStart"/>
      <w:r w:rsidRPr="005520F4">
        <w:rPr>
          <w:rFonts w:ascii="Arial" w:eastAsia="Times New Roman" w:hAnsi="Arial" w:cs="Arial"/>
          <w:iCs/>
          <w:sz w:val="20"/>
          <w:szCs w:val="20"/>
          <w:lang w:val="es-ES" w:eastAsia="es-ES"/>
        </w:rPr>
        <w:t>Dayán</w:t>
      </w:r>
      <w:proofErr w:type="spellEnd"/>
      <w:r w:rsidRPr="005520F4">
        <w:rPr>
          <w:rFonts w:ascii="Arial" w:eastAsia="Times New Roman" w:hAnsi="Arial" w:cs="Arial"/>
          <w:iCs/>
          <w:sz w:val="20"/>
          <w:szCs w:val="20"/>
          <w:lang w:val="es-ES" w:eastAsia="es-ES"/>
        </w:rPr>
        <w:t xml:space="preserve">. Ponente: Javier </w:t>
      </w:r>
      <w:proofErr w:type="spellStart"/>
      <w:r w:rsidRPr="005520F4">
        <w:rPr>
          <w:rFonts w:ascii="Arial" w:eastAsia="Times New Roman" w:hAnsi="Arial" w:cs="Arial"/>
          <w:iCs/>
          <w:sz w:val="20"/>
          <w:szCs w:val="20"/>
          <w:lang w:val="es-ES" w:eastAsia="es-ES"/>
        </w:rPr>
        <w:t>Laynez</w:t>
      </w:r>
      <w:proofErr w:type="spellEnd"/>
      <w:r w:rsidRPr="005520F4">
        <w:rPr>
          <w:rFonts w:ascii="Arial" w:eastAsia="Times New Roman" w:hAnsi="Arial" w:cs="Arial"/>
          <w:iCs/>
          <w:sz w:val="20"/>
          <w:szCs w:val="20"/>
          <w:lang w:val="es-ES" w:eastAsia="es-ES"/>
        </w:rPr>
        <w:t xml:space="preserve"> </w:t>
      </w:r>
      <w:proofErr w:type="spellStart"/>
      <w:r w:rsidRPr="005520F4">
        <w:rPr>
          <w:rFonts w:ascii="Arial" w:eastAsia="Times New Roman" w:hAnsi="Arial" w:cs="Arial"/>
          <w:iCs/>
          <w:sz w:val="20"/>
          <w:szCs w:val="20"/>
          <w:lang w:val="es-ES" w:eastAsia="es-ES"/>
        </w:rPr>
        <w:t>Potisek</w:t>
      </w:r>
      <w:proofErr w:type="spellEnd"/>
      <w:r w:rsidRPr="005520F4">
        <w:rPr>
          <w:rFonts w:ascii="Arial" w:eastAsia="Times New Roman" w:hAnsi="Arial" w:cs="Arial"/>
          <w:iCs/>
          <w:sz w:val="20"/>
          <w:szCs w:val="20"/>
          <w:lang w:val="es-ES" w:eastAsia="es-ES"/>
        </w:rPr>
        <w:t>. Secretario: Jorge Roberto Ordóñez Escobar.</w:t>
      </w:r>
    </w:p>
    <w:p w:rsidR="00B4722E" w:rsidRPr="005520F4" w:rsidRDefault="00B4722E" w:rsidP="00B4722E">
      <w:pPr>
        <w:spacing w:before="120" w:after="120"/>
        <w:ind w:left="1418"/>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Tesis y criterio contendientes:</w:t>
      </w:r>
      <w:r w:rsidRPr="005520F4">
        <w:rPr>
          <w:rFonts w:ascii="Arial" w:eastAsia="Times New Roman" w:hAnsi="Arial" w:cs="Arial"/>
          <w:iCs/>
          <w:sz w:val="20"/>
          <w:szCs w:val="20"/>
          <w:lang w:val="es-ES" w:eastAsia="es-ES"/>
        </w:rPr>
        <w:tab/>
      </w:r>
    </w:p>
    <w:p w:rsidR="00B4722E" w:rsidRPr="005520F4" w:rsidRDefault="00B4722E" w:rsidP="00B4722E">
      <w:pPr>
        <w:spacing w:before="120" w:after="120"/>
        <w:ind w:left="1418"/>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Tesis PC.XVI.A. J/8 A (10a.), de título y subtítulo: "SEGURIDAD PÚBLICA. LEGALIDAD DE LA RESOLUCIÓN IMPUGNADA EN UN JUICIO CONTENCIOSO, QUE EN TÉRMINOS DEL ARTÍCULO 123, APARTADO B, FRACCIÓN XIII, SEGUNDO PÁRRAFO, DE LA CONSTITUCIÓN FEDERAL, DECRETE LA REMOCIÓN, BAJA O CESE DE ALGÚN MIEMBRO DE LAS INSTITUCIONES POLICIALES. CONSECUENCIA JURÍDICA DEL CONCEPTO DE VIOLACIÓN FUNDADO EN AMPARO DIRECTO, ANTE LA EXISTENCIA DE VICIOS EN EL TRÁMITE DEL PROCEDIMIENTO ADMINISTRATIVO DE SEPARACIÓN.", aprobada por el Pleno en Materia Administrativa del Decimosexto Circuito y publicada en el Semanario Judicial de la Federación del viernes 20 de marzo de 2015 a las 9:00 horas y en la Gaceta del Semanario Judicial de la Federación, Décima Época, Libro 16, Tomo II, marzo de 2015, página 2069, y</w:t>
      </w:r>
    </w:p>
    <w:p w:rsidR="00B4722E" w:rsidRPr="005520F4" w:rsidRDefault="00B4722E" w:rsidP="00B4722E">
      <w:pPr>
        <w:spacing w:before="120" w:after="120"/>
        <w:ind w:left="1418"/>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El sustentado por el Primer Tribunal Colegiado del Décimo Octavo Circuito, al resolver el amparo directo 738/2015.</w:t>
      </w:r>
    </w:p>
    <w:p w:rsidR="00B4722E" w:rsidRPr="005520F4" w:rsidRDefault="00B4722E" w:rsidP="00B4722E">
      <w:pPr>
        <w:spacing w:before="120" w:after="120"/>
        <w:ind w:left="1418"/>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Tesis de jurisprudencia 117/2016 (10a.). Aprobada por la Segunda Sala de este Alto Tribunal, en sesión privada del treinta y uno de agosto de dos mil dieciséis.</w:t>
      </w:r>
    </w:p>
    <w:p w:rsidR="00B4722E" w:rsidRPr="005520F4" w:rsidRDefault="00B4722E" w:rsidP="00B4722E">
      <w:pPr>
        <w:spacing w:before="120" w:after="120"/>
        <w:ind w:left="1418"/>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Nota: (*) La tesis de jurisprudencia 2a</w:t>
      </w:r>
      <w:proofErr w:type="gramStart"/>
      <w:r w:rsidRPr="005520F4">
        <w:rPr>
          <w:rFonts w:ascii="Arial" w:eastAsia="Times New Roman" w:hAnsi="Arial" w:cs="Arial"/>
          <w:iCs/>
          <w:sz w:val="20"/>
          <w:szCs w:val="20"/>
          <w:lang w:val="es-ES" w:eastAsia="es-ES"/>
        </w:rPr>
        <w:t>./</w:t>
      </w:r>
      <w:proofErr w:type="gramEnd"/>
      <w:r w:rsidRPr="005520F4">
        <w:rPr>
          <w:rFonts w:ascii="Arial" w:eastAsia="Times New Roman" w:hAnsi="Arial" w:cs="Arial"/>
          <w:iCs/>
          <w:sz w:val="20"/>
          <w:szCs w:val="20"/>
          <w:lang w:val="es-ES" w:eastAsia="es-ES"/>
        </w:rPr>
        <w:t xml:space="preserve">J. 103/2012 (10a.) citada, aparece publicada en el Semanario Judicial de la Federación y su Gaceta, Décima Época, Libro XIV, Tomo 2, noviembre de 2012, página 1517. </w:t>
      </w:r>
    </w:p>
    <w:p w:rsidR="00B4722E" w:rsidRPr="005520F4" w:rsidRDefault="00B4722E" w:rsidP="00B4722E">
      <w:pPr>
        <w:spacing w:before="120" w:after="120"/>
        <w:ind w:left="1418"/>
        <w:jc w:val="both"/>
        <w:rPr>
          <w:rFonts w:ascii="Arial" w:eastAsia="Times New Roman" w:hAnsi="Arial" w:cs="Arial"/>
          <w:iCs/>
          <w:sz w:val="20"/>
          <w:szCs w:val="20"/>
          <w:lang w:val="es-ES" w:eastAsia="es-ES"/>
        </w:rPr>
      </w:pPr>
      <w:r w:rsidRPr="005520F4">
        <w:rPr>
          <w:rFonts w:ascii="Arial" w:eastAsia="Times New Roman" w:hAnsi="Arial" w:cs="Arial"/>
          <w:iCs/>
          <w:sz w:val="20"/>
          <w:szCs w:val="20"/>
          <w:lang w:val="es-ES" w:eastAsia="es-ES"/>
        </w:rPr>
        <w:t>Esta tesis se publicó el viernes 07 de octubre de 2016 a las 10:17 horas en el Semanario Judicial de la Federación y, por ende, se considera de aplicación obligatoria a partir del lunes 10 de octubre de 2016, para los efectos previstos en el punto séptimo del Acuerdo General Plenario 19/2013.</w:t>
      </w:r>
    </w:p>
    <w:p w:rsidR="004A45F4" w:rsidRPr="005520F4" w:rsidRDefault="004A45F4" w:rsidP="00B4722E">
      <w:pPr>
        <w:spacing w:before="120" w:after="120"/>
        <w:ind w:left="1418"/>
        <w:jc w:val="both"/>
        <w:rPr>
          <w:rFonts w:ascii="Arial" w:eastAsia="Times New Roman" w:hAnsi="Arial" w:cs="Arial"/>
          <w:iCs/>
          <w:sz w:val="20"/>
          <w:szCs w:val="20"/>
          <w:lang w:val="es-ES" w:eastAsia="es-ES"/>
        </w:rPr>
      </w:pPr>
    </w:p>
    <w:p w:rsidR="004A45F4" w:rsidRPr="005520F4" w:rsidRDefault="00B4722E" w:rsidP="004A45F4">
      <w:pPr>
        <w:autoSpaceDE w:val="0"/>
        <w:autoSpaceDN w:val="0"/>
        <w:adjustRightInd w:val="0"/>
        <w:spacing w:after="240" w:line="360" w:lineRule="auto"/>
        <w:ind w:firstLine="709"/>
        <w:jc w:val="both"/>
        <w:rPr>
          <w:rFonts w:ascii="Arial" w:hAnsi="Arial" w:cs="Arial"/>
          <w:sz w:val="28"/>
          <w:szCs w:val="28"/>
        </w:rPr>
      </w:pPr>
      <w:r w:rsidRPr="005520F4">
        <w:rPr>
          <w:rFonts w:ascii="Arial" w:hAnsi="Arial" w:cs="Arial"/>
          <w:sz w:val="28"/>
          <w:szCs w:val="28"/>
        </w:rPr>
        <w:t>Por lo expuesto, fundado y con apoyo además en los artículos 1° párrafo segundo 7° fracción XVII de la Ley Orgánica del Tribunal Estatal de Justicia Administrativa de San Luis Potosí, en relación con los artículos 228, 229, 248, 249, 250 fracciones I y IV,</w:t>
      </w:r>
      <w:r w:rsidR="004A45F4" w:rsidRPr="005520F4">
        <w:rPr>
          <w:rFonts w:ascii="Arial" w:hAnsi="Arial" w:cs="Arial"/>
          <w:sz w:val="28"/>
          <w:szCs w:val="28"/>
        </w:rPr>
        <w:t xml:space="preserve"> 251, 252 y</w:t>
      </w:r>
      <w:r w:rsidRPr="005520F4">
        <w:rPr>
          <w:rFonts w:ascii="Arial" w:hAnsi="Arial" w:cs="Arial"/>
          <w:sz w:val="28"/>
          <w:szCs w:val="28"/>
        </w:rPr>
        <w:t xml:space="preserve"> 253 del Código Procesal Administrativo para el Estado de San Luis Potosí, se resuelve:</w:t>
      </w:r>
    </w:p>
    <w:p w:rsidR="00EF291F" w:rsidRPr="005520F4" w:rsidRDefault="002553C9" w:rsidP="00EF291F">
      <w:pPr>
        <w:autoSpaceDE w:val="0"/>
        <w:autoSpaceDN w:val="0"/>
        <w:adjustRightInd w:val="0"/>
        <w:spacing w:after="240" w:line="360" w:lineRule="auto"/>
        <w:ind w:firstLine="709"/>
        <w:jc w:val="both"/>
        <w:rPr>
          <w:rFonts w:ascii="Arial" w:eastAsia="Times New Roman" w:hAnsi="Arial" w:cs="Arial"/>
          <w:sz w:val="28"/>
          <w:szCs w:val="28"/>
          <w:lang w:eastAsia="es-ES"/>
        </w:rPr>
      </w:pPr>
      <w:r w:rsidRPr="005520F4">
        <w:rPr>
          <w:rFonts w:ascii="Arial" w:hAnsi="Arial" w:cs="Arial"/>
          <w:b/>
          <w:sz w:val="28"/>
          <w:szCs w:val="28"/>
        </w:rPr>
        <w:t>PRIME</w:t>
      </w:r>
      <w:r w:rsidRPr="005520F4">
        <w:rPr>
          <w:rFonts w:ascii="Arial" w:eastAsia="Times New Roman" w:hAnsi="Arial" w:cs="Arial"/>
          <w:b/>
          <w:bCs/>
          <w:sz w:val="28"/>
          <w:szCs w:val="28"/>
          <w:lang w:eastAsia="es-ES"/>
        </w:rPr>
        <w:t>RO.-</w:t>
      </w:r>
      <w:r w:rsidRPr="005520F4">
        <w:rPr>
          <w:rFonts w:ascii="Arial" w:eastAsia="Times New Roman" w:hAnsi="Arial" w:cs="Arial"/>
          <w:sz w:val="28"/>
          <w:szCs w:val="28"/>
          <w:lang w:eastAsia="es-ES"/>
        </w:rPr>
        <w:t xml:space="preserve"> </w:t>
      </w:r>
      <w:r w:rsidRPr="005520F4">
        <w:rPr>
          <w:rFonts w:ascii="Arial" w:hAnsi="Arial" w:cs="Arial"/>
          <w:sz w:val="28"/>
          <w:szCs w:val="28"/>
        </w:rPr>
        <w:t>Esta Segunda Sala Unitaria es competente para conocer el presente juicio.</w:t>
      </w:r>
    </w:p>
    <w:p w:rsidR="004A45F4" w:rsidRPr="005520F4" w:rsidRDefault="002553C9" w:rsidP="004A45F4">
      <w:pPr>
        <w:spacing w:before="240" w:after="240" w:line="360" w:lineRule="auto"/>
        <w:ind w:firstLine="708"/>
        <w:jc w:val="both"/>
        <w:rPr>
          <w:sz w:val="28"/>
          <w:szCs w:val="28"/>
        </w:rPr>
      </w:pPr>
      <w:r w:rsidRPr="005520F4">
        <w:rPr>
          <w:rFonts w:ascii="Arial" w:hAnsi="Arial" w:cs="Arial"/>
          <w:b/>
          <w:bCs/>
          <w:sz w:val="28"/>
          <w:szCs w:val="28"/>
        </w:rPr>
        <w:lastRenderedPageBreak/>
        <w:t>SEGUNDO.-</w:t>
      </w:r>
      <w:r w:rsidR="005E761E" w:rsidRPr="005520F4">
        <w:rPr>
          <w:rFonts w:ascii="Arial" w:eastAsia="Times New Roman" w:hAnsi="Arial" w:cs="Arial"/>
          <w:bCs/>
          <w:color w:val="000000"/>
          <w:sz w:val="28"/>
          <w:szCs w:val="28"/>
          <w:lang w:eastAsia="es-ES"/>
        </w:rPr>
        <w:t xml:space="preserve"> </w:t>
      </w:r>
      <w:r w:rsidR="004A45F4" w:rsidRPr="005520F4">
        <w:rPr>
          <w:rFonts w:ascii="Arial" w:hAnsi="Arial" w:cs="Arial"/>
          <w:sz w:val="28"/>
          <w:szCs w:val="28"/>
        </w:rPr>
        <w:t xml:space="preserve">Se declara la ILEGALIDAD e INVALIDEZ del acto impugnado consistente en </w:t>
      </w:r>
      <w:r w:rsidR="005520F4" w:rsidRPr="005520F4">
        <w:rPr>
          <w:rFonts w:ascii="Arial" w:hAnsi="Arial" w:cs="Arial"/>
          <w:i/>
          <w:sz w:val="28"/>
          <w:szCs w:val="28"/>
        </w:rPr>
        <w:t>“La Baja del Suscrito de mi puesto de Oficial Operativo de la Dirección de Seguridad Pública y Tránsito Municipal del Municipio de Cárdenas, S.L.P.”</w:t>
      </w:r>
      <w:r w:rsidR="005520F4">
        <w:rPr>
          <w:rFonts w:ascii="Arial" w:hAnsi="Arial" w:cs="Arial"/>
          <w:i/>
          <w:sz w:val="28"/>
          <w:szCs w:val="28"/>
        </w:rPr>
        <w:t xml:space="preserve">, </w:t>
      </w:r>
      <w:r w:rsidR="005520F4" w:rsidRPr="005520F4">
        <w:rPr>
          <w:rFonts w:ascii="Arial" w:hAnsi="Arial" w:cs="Arial"/>
          <w:sz w:val="28"/>
          <w:szCs w:val="28"/>
        </w:rPr>
        <w:t>dada a conocer</w:t>
      </w:r>
      <w:r w:rsidR="005520F4">
        <w:rPr>
          <w:rFonts w:ascii="Arial" w:hAnsi="Arial" w:cs="Arial"/>
          <w:i/>
          <w:sz w:val="28"/>
          <w:szCs w:val="28"/>
        </w:rPr>
        <w:t xml:space="preserve"> </w:t>
      </w:r>
      <w:r w:rsidR="005520F4" w:rsidRPr="005520F4">
        <w:rPr>
          <w:rFonts w:ascii="Arial" w:hAnsi="Arial" w:cs="Arial"/>
          <w:sz w:val="28"/>
          <w:szCs w:val="28"/>
        </w:rPr>
        <w:t>al hoy actor</w:t>
      </w:r>
      <w:r w:rsidR="005520F4">
        <w:rPr>
          <w:rFonts w:ascii="Arial" w:hAnsi="Arial" w:cs="Arial"/>
          <w:i/>
          <w:sz w:val="28"/>
          <w:szCs w:val="28"/>
        </w:rPr>
        <w:t xml:space="preserve"> </w:t>
      </w:r>
      <w:r w:rsidR="005520F4">
        <w:rPr>
          <w:rFonts w:ascii="Arial" w:hAnsi="Arial" w:cs="Arial"/>
          <w:sz w:val="28"/>
          <w:szCs w:val="28"/>
        </w:rPr>
        <w:t xml:space="preserve">el cuatro de marzo de dos mil veinte, </w:t>
      </w:r>
      <w:r w:rsidR="004A45F4" w:rsidRPr="005520F4">
        <w:rPr>
          <w:rFonts w:ascii="Arial" w:hAnsi="Arial" w:cs="Arial"/>
          <w:sz w:val="28"/>
          <w:szCs w:val="28"/>
        </w:rPr>
        <w:t>por el Síndico Municipal del Ayuntamiento de Cárdenas, San Luis Potosí, por lo que, se decreta su NULIDAD dejándose sin efecto legal alguno; de acuerdo con las consideraciones fundamentos y motivos, y para los efectos expuestos en el último Considerando de ésta Sentencia.</w:t>
      </w:r>
    </w:p>
    <w:p w:rsidR="005E761E" w:rsidRPr="005520F4" w:rsidRDefault="00EF291F" w:rsidP="005E761E">
      <w:pPr>
        <w:autoSpaceDE w:val="0"/>
        <w:autoSpaceDN w:val="0"/>
        <w:adjustRightInd w:val="0"/>
        <w:spacing w:after="120" w:line="360" w:lineRule="auto"/>
        <w:ind w:firstLine="708"/>
        <w:jc w:val="both"/>
        <w:rPr>
          <w:rFonts w:ascii="Tahoma" w:hAnsi="Tahoma" w:cs="Tahoma"/>
          <w:sz w:val="26"/>
          <w:szCs w:val="26"/>
        </w:rPr>
      </w:pPr>
      <w:r w:rsidRPr="005520F4">
        <w:rPr>
          <w:rFonts w:ascii="Arial" w:eastAsia="Times New Roman" w:hAnsi="Arial" w:cs="Arial"/>
          <w:b/>
          <w:bCs/>
          <w:color w:val="000000"/>
          <w:sz w:val="28"/>
          <w:szCs w:val="28"/>
          <w:lang w:eastAsia="es-ES"/>
        </w:rPr>
        <w:t>TERCERO</w:t>
      </w:r>
      <w:r w:rsidRPr="005520F4">
        <w:rPr>
          <w:rFonts w:ascii="Arial" w:eastAsia="Times New Roman" w:hAnsi="Arial" w:cs="Arial"/>
          <w:b/>
          <w:color w:val="000000"/>
          <w:sz w:val="28"/>
          <w:szCs w:val="28"/>
          <w:lang w:eastAsia="es-ES"/>
        </w:rPr>
        <w:t>.-</w:t>
      </w:r>
      <w:r w:rsidRPr="005520F4">
        <w:rPr>
          <w:rFonts w:ascii="Arial" w:eastAsia="Times New Roman" w:hAnsi="Arial" w:cs="Arial"/>
          <w:color w:val="000000"/>
          <w:sz w:val="28"/>
          <w:szCs w:val="28"/>
          <w:lang w:eastAsia="es-ES"/>
        </w:rPr>
        <w:t xml:space="preserve"> </w:t>
      </w:r>
      <w:r w:rsidR="00D26D24" w:rsidRPr="005520F4">
        <w:rPr>
          <w:rFonts w:ascii="Arial" w:hAnsi="Arial" w:cs="Arial"/>
          <w:sz w:val="28"/>
          <w:szCs w:val="28"/>
        </w:rPr>
        <w:t xml:space="preserve">Notifíquese personalmente a la actora y </w:t>
      </w:r>
      <w:r w:rsidR="005520F4" w:rsidRPr="005520F4">
        <w:rPr>
          <w:rFonts w:ascii="Arial" w:hAnsi="Arial" w:cs="Arial"/>
          <w:sz w:val="28"/>
          <w:szCs w:val="28"/>
        </w:rPr>
        <w:t>por oficio</w:t>
      </w:r>
      <w:r w:rsidR="00D26D24" w:rsidRPr="005520F4">
        <w:rPr>
          <w:rFonts w:ascii="Arial" w:hAnsi="Arial" w:cs="Arial"/>
          <w:sz w:val="28"/>
          <w:szCs w:val="28"/>
        </w:rPr>
        <w:t xml:space="preserve"> a la</w:t>
      </w:r>
      <w:r w:rsidR="005520F4" w:rsidRPr="005520F4">
        <w:rPr>
          <w:rFonts w:ascii="Arial" w:hAnsi="Arial" w:cs="Arial"/>
          <w:sz w:val="28"/>
          <w:szCs w:val="28"/>
        </w:rPr>
        <w:t>s</w:t>
      </w:r>
      <w:r w:rsidR="00D26D24" w:rsidRPr="005520F4">
        <w:rPr>
          <w:rFonts w:ascii="Arial" w:hAnsi="Arial" w:cs="Arial"/>
          <w:sz w:val="28"/>
          <w:szCs w:val="28"/>
        </w:rPr>
        <w:t xml:space="preserve"> autoridad</w:t>
      </w:r>
      <w:r w:rsidR="005520F4" w:rsidRPr="005520F4">
        <w:rPr>
          <w:rFonts w:ascii="Arial" w:hAnsi="Arial" w:cs="Arial"/>
          <w:sz w:val="28"/>
          <w:szCs w:val="28"/>
        </w:rPr>
        <w:t>es</w:t>
      </w:r>
      <w:r w:rsidR="00D26D24" w:rsidRPr="005520F4">
        <w:rPr>
          <w:rFonts w:ascii="Arial" w:hAnsi="Arial" w:cs="Arial"/>
          <w:sz w:val="28"/>
          <w:szCs w:val="28"/>
        </w:rPr>
        <w:t xml:space="preserve"> demandada</w:t>
      </w:r>
      <w:r w:rsidR="005520F4" w:rsidRPr="005520F4">
        <w:rPr>
          <w:rFonts w:ascii="Arial" w:hAnsi="Arial" w:cs="Arial"/>
          <w:sz w:val="28"/>
          <w:szCs w:val="28"/>
        </w:rPr>
        <w:t>s</w:t>
      </w:r>
      <w:r w:rsidR="00D26D24" w:rsidRPr="005520F4">
        <w:rPr>
          <w:rFonts w:ascii="Arial" w:hAnsi="Arial" w:cs="Arial"/>
          <w:sz w:val="28"/>
          <w:szCs w:val="28"/>
        </w:rPr>
        <w:t>.</w:t>
      </w:r>
    </w:p>
    <w:p w:rsidR="00D32108" w:rsidRDefault="00B6124C" w:rsidP="004F5BC4">
      <w:pPr>
        <w:autoSpaceDE w:val="0"/>
        <w:autoSpaceDN w:val="0"/>
        <w:adjustRightInd w:val="0"/>
        <w:spacing w:after="240" w:line="360" w:lineRule="auto"/>
        <w:ind w:firstLine="709"/>
        <w:jc w:val="both"/>
      </w:pPr>
      <w:r w:rsidRPr="005520F4">
        <w:rPr>
          <w:rFonts w:ascii="Arial" w:hAnsi="Arial" w:cs="Arial"/>
          <w:sz w:val="28"/>
          <w:szCs w:val="28"/>
        </w:rPr>
        <w:t xml:space="preserve">Así lo resolvió y firma, la Magistrada Titular de la Segunda Sala Unitaria del Tribunal Estatal de Justicia Administrativa, Licenciada </w:t>
      </w:r>
      <w:r w:rsidRPr="005520F4">
        <w:rPr>
          <w:rFonts w:ascii="Arial" w:hAnsi="Arial" w:cs="Arial"/>
          <w:b/>
          <w:sz w:val="28"/>
          <w:szCs w:val="28"/>
        </w:rPr>
        <w:t>María Olvido Rodríguez Vázquez</w:t>
      </w:r>
      <w:r w:rsidRPr="005520F4">
        <w:rPr>
          <w:rFonts w:ascii="Arial" w:hAnsi="Arial" w:cs="Arial"/>
          <w:sz w:val="28"/>
          <w:szCs w:val="28"/>
        </w:rPr>
        <w:t xml:space="preserve">, quien actúa con el Secretario de Acuerdos, Licenciado </w:t>
      </w:r>
      <w:r w:rsidRPr="005520F4">
        <w:rPr>
          <w:rFonts w:ascii="Arial" w:hAnsi="Arial" w:cs="Arial"/>
          <w:b/>
          <w:sz w:val="28"/>
          <w:szCs w:val="28"/>
        </w:rPr>
        <w:t>José de Jesús Guerrero Anguiano</w:t>
      </w:r>
      <w:r w:rsidRPr="005520F4">
        <w:rPr>
          <w:rFonts w:ascii="Arial" w:hAnsi="Arial" w:cs="Arial"/>
          <w:sz w:val="28"/>
          <w:szCs w:val="28"/>
        </w:rPr>
        <w:t>, que autoriza y da fe.-</w:t>
      </w:r>
      <w:r w:rsidRPr="005520F4">
        <w:t xml:space="preserve"> </w:t>
      </w:r>
    </w:p>
    <w:p w:rsidR="004F5BC4" w:rsidRPr="009263A7" w:rsidRDefault="004F5BC4" w:rsidP="006A3FA3">
      <w:pPr>
        <w:spacing w:line="360" w:lineRule="auto"/>
        <w:jc w:val="both"/>
        <w:rPr>
          <w:rFonts w:ascii="Arial" w:hAnsi="Arial" w:cs="Arial"/>
          <w:sz w:val="40"/>
          <w:szCs w:val="28"/>
        </w:rPr>
      </w:pPr>
      <w:r w:rsidRPr="00FF0F8B">
        <w:rPr>
          <w:rFonts w:ascii="Arial" w:hAnsi="Arial" w:cs="Arial"/>
          <w:b/>
          <w:sz w:val="24"/>
          <w:szCs w:val="24"/>
        </w:rPr>
        <w:t>Se</w:t>
      </w:r>
      <w:r w:rsidRPr="00FF0F8B">
        <w:rPr>
          <w:rFonts w:ascii="Arial" w:hAnsi="Arial" w:cs="Arial"/>
          <w:b/>
          <w:color w:val="000000"/>
          <w:sz w:val="24"/>
          <w:szCs w:val="24"/>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p>
    <w:p w:rsidR="004F5BC4" w:rsidRDefault="004F5BC4" w:rsidP="004F5BC4">
      <w:pPr>
        <w:autoSpaceDE w:val="0"/>
        <w:autoSpaceDN w:val="0"/>
        <w:adjustRightInd w:val="0"/>
        <w:spacing w:after="240" w:line="360" w:lineRule="auto"/>
        <w:ind w:firstLine="709"/>
        <w:jc w:val="both"/>
        <w:rPr>
          <w:sz w:val="20"/>
          <w:szCs w:val="20"/>
        </w:rPr>
      </w:pPr>
      <w:bookmarkStart w:id="0" w:name="_GoBack"/>
      <w:bookmarkEnd w:id="0"/>
    </w:p>
    <w:p w:rsidR="00D26D24" w:rsidRPr="005520F4" w:rsidRDefault="00D26D24" w:rsidP="00D32108">
      <w:pPr>
        <w:shd w:val="clear" w:color="auto" w:fill="FFFFFF"/>
        <w:spacing w:after="0" w:line="360" w:lineRule="auto"/>
        <w:ind w:firstLine="709"/>
        <w:jc w:val="both"/>
        <w:rPr>
          <w:rFonts w:ascii="Arial" w:hAnsi="Arial" w:cs="Arial"/>
          <w:color w:val="FF0000"/>
          <w:sz w:val="28"/>
          <w:szCs w:val="28"/>
        </w:rPr>
      </w:pPr>
    </w:p>
    <w:p w:rsidR="003A6939" w:rsidRPr="005520F4" w:rsidRDefault="003A6939" w:rsidP="005520F4">
      <w:pPr>
        <w:spacing w:after="240" w:line="360" w:lineRule="auto"/>
        <w:jc w:val="both"/>
        <w:rPr>
          <w:rFonts w:ascii="Arial" w:hAnsi="Arial" w:cs="Arial"/>
          <w:sz w:val="28"/>
          <w:szCs w:val="28"/>
        </w:rPr>
      </w:pPr>
    </w:p>
    <w:p w:rsidR="003A6939" w:rsidRDefault="003A6939" w:rsidP="00470D50">
      <w:pPr>
        <w:spacing w:line="240" w:lineRule="auto"/>
        <w:jc w:val="both"/>
        <w:rPr>
          <w:rFonts w:ascii="Arial" w:hAnsi="Arial" w:cs="Arial"/>
          <w:color w:val="FF0000"/>
          <w:sz w:val="28"/>
          <w:szCs w:val="28"/>
        </w:rPr>
      </w:pPr>
    </w:p>
    <w:sectPr w:rsidR="003A6939" w:rsidSect="00CB77F7">
      <w:headerReference w:type="even" r:id="rId9"/>
      <w:headerReference w:type="default" r:id="rId10"/>
      <w:headerReference w:type="first" r:id="rId11"/>
      <w:pgSz w:w="12242" w:h="18938" w:code="14"/>
      <w:pgMar w:top="1134" w:right="1134" w:bottom="1134" w:left="2835" w:header="567"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2186" w:rsidRDefault="00212186" w:rsidP="00C91E4E">
      <w:pPr>
        <w:spacing w:after="0" w:line="240" w:lineRule="auto"/>
      </w:pPr>
      <w:r>
        <w:separator/>
      </w:r>
    </w:p>
  </w:endnote>
  <w:endnote w:type="continuationSeparator" w:id="0">
    <w:p w:rsidR="00212186" w:rsidRDefault="00212186" w:rsidP="00C91E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2186" w:rsidRDefault="00212186" w:rsidP="00C91E4E">
      <w:pPr>
        <w:spacing w:after="0" w:line="240" w:lineRule="auto"/>
      </w:pPr>
      <w:r>
        <w:separator/>
      </w:r>
    </w:p>
  </w:footnote>
  <w:footnote w:type="continuationSeparator" w:id="0">
    <w:p w:rsidR="00212186" w:rsidRDefault="00212186" w:rsidP="00C91E4E">
      <w:pPr>
        <w:spacing w:after="0" w:line="240" w:lineRule="auto"/>
      </w:pPr>
      <w:r>
        <w:continuationSeparator/>
      </w:r>
    </w:p>
  </w:footnote>
  <w:footnote w:id="1">
    <w:p w:rsidR="00493091" w:rsidRDefault="00493091" w:rsidP="00493091">
      <w:pPr>
        <w:pStyle w:val="Textonotapie"/>
        <w:jc w:val="both"/>
      </w:pPr>
      <w:r>
        <w:rPr>
          <w:rStyle w:val="Refdenotaalpie"/>
        </w:rPr>
        <w:footnoteRef/>
      </w:r>
      <w:r>
        <w:t xml:space="preserve"> </w:t>
      </w:r>
      <w:r w:rsidRPr="00E72EE3">
        <w:t xml:space="preserve">Novena Época, Registro: 164225, Instancia: Segunda Sala, Jurisprudencia, Fuente: Semanario Judicial de </w:t>
      </w:r>
      <w:smartTag w:uri="urn:schemas-microsoft-com:office:smarttags" w:element="PersonName">
        <w:smartTagPr>
          <w:attr w:name="ProductID" w:val="la Federaci￳n"/>
        </w:smartTagPr>
        <w:r w:rsidRPr="00E72EE3">
          <w:t>la Federación</w:t>
        </w:r>
      </w:smartTag>
      <w:r w:rsidRPr="00E72EE3">
        <w:t xml:space="preserve"> y su Gaceta,  XXXII, Julio de 2010, Materia(s): Constitucional, Laboral, Tesis: 2a</w:t>
      </w:r>
      <w:proofErr w:type="gramStart"/>
      <w:r w:rsidRPr="00E72EE3">
        <w:t>./</w:t>
      </w:r>
      <w:proofErr w:type="gramEnd"/>
      <w:r w:rsidRPr="00E72EE3">
        <w:t>J. 103/2010, Página: 310.</w:t>
      </w:r>
    </w:p>
  </w:footnote>
  <w:footnote w:id="2">
    <w:p w:rsidR="00FB1828" w:rsidRPr="009B3289" w:rsidRDefault="00FB1828" w:rsidP="00FB1828">
      <w:pPr>
        <w:pStyle w:val="Textonotapie"/>
        <w:jc w:val="both"/>
      </w:pPr>
      <w:r>
        <w:rPr>
          <w:rStyle w:val="Refdenotaalpie"/>
        </w:rPr>
        <w:footnoteRef/>
      </w:r>
      <w:r>
        <w:t xml:space="preserve"> </w:t>
      </w:r>
      <w:r w:rsidRPr="009B3289">
        <w:rPr>
          <w:color w:val="000000"/>
        </w:rPr>
        <w:t>Época: Décima Época, Registro: 2010991, Instancia: Segunda Sala, Tipo de Tesis: Aislada, Fuente: Gaceta del Semanario Judicial de la Federación, Libro 27, Febrero de 2016, Tomo I, Materia(s): Constitucional, Tesis: 2a. II/2016 (10a.), Página: 951.</w:t>
      </w:r>
    </w:p>
  </w:footnote>
  <w:footnote w:id="3">
    <w:p w:rsidR="00FB1828" w:rsidRDefault="00FB1828" w:rsidP="00FB1828">
      <w:pPr>
        <w:pStyle w:val="Textonotapie"/>
        <w:jc w:val="both"/>
      </w:pPr>
      <w:r>
        <w:rPr>
          <w:rStyle w:val="Refdenotaalpie"/>
        </w:rPr>
        <w:footnoteRef/>
      </w:r>
      <w:r>
        <w:t xml:space="preserve"> </w:t>
      </w:r>
      <w:r w:rsidRPr="009E319D">
        <w:t>No. Registro: 190,064, Jurisprudencia, Materia(s)</w:t>
      </w:r>
      <w:proofErr w:type="gramStart"/>
      <w:r w:rsidRPr="009E319D">
        <w:t>:Común</w:t>
      </w:r>
      <w:proofErr w:type="gramEnd"/>
      <w:r w:rsidRPr="009E319D">
        <w:t xml:space="preserve">, Novena Época, Instancia: Tribunales Colegiados de Circuito, Fuente: Semanario Judicial de </w:t>
      </w:r>
      <w:smartTag w:uri="urn:schemas-microsoft-com:office:smarttags" w:element="PersonName">
        <w:smartTagPr>
          <w:attr w:name="ProductID" w:val="la Federaci￳n"/>
        </w:smartTagPr>
        <w:r w:rsidRPr="009E319D">
          <w:t>la Federación</w:t>
        </w:r>
      </w:smartTag>
      <w:r w:rsidRPr="009E319D">
        <w:t xml:space="preserve"> y su Gaceta,  Tomo: XIII, Marzo de 2001, Tesis: I.6o.C. J/27, Página: 1684.</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6397" w:rsidRPr="00CE2F59" w:rsidRDefault="000B6397" w:rsidP="00CE2F59">
    <w:pPr>
      <w:pStyle w:val="Encabezado"/>
      <w:ind w:right="357"/>
      <w:rPr>
        <w:rFonts w:ascii="Arial Narrow" w:hAnsi="Arial Narrow"/>
      </w:rPr>
    </w:pPr>
    <w:r w:rsidRPr="00CE2F59">
      <w:rPr>
        <w:rFonts w:ascii="Arial Narrow" w:hAnsi="Arial Narrow"/>
      </w:rPr>
      <w:fldChar w:fldCharType="begin"/>
    </w:r>
    <w:r w:rsidRPr="00CE2F59">
      <w:rPr>
        <w:rStyle w:val="Nmerodepgina"/>
        <w:rFonts w:ascii="Arial Narrow" w:hAnsi="Arial Narrow"/>
        <w:color w:val="FFFFFF"/>
      </w:rPr>
      <w:instrText xml:space="preserve"> PAGE </w:instrText>
    </w:r>
    <w:r w:rsidRPr="00CE2F59">
      <w:rPr>
        <w:rFonts w:ascii="Arial Narrow" w:hAnsi="Arial Narrow"/>
      </w:rPr>
      <w:fldChar w:fldCharType="separate"/>
    </w:r>
    <w:r w:rsidR="004F5BC4">
      <w:rPr>
        <w:rStyle w:val="Nmerodepgina"/>
        <w:rFonts w:ascii="Arial Narrow" w:hAnsi="Arial Narrow"/>
        <w:noProof/>
        <w:color w:val="FFFFFF"/>
      </w:rPr>
      <w:t>26</w:t>
    </w:r>
    <w:r w:rsidRPr="00CE2F59">
      <w:rPr>
        <w:rFonts w:ascii="Arial Narrow" w:hAnsi="Arial Narrow"/>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6397" w:rsidRPr="00D0517C" w:rsidRDefault="000B6397" w:rsidP="0007430D">
    <w:pPr>
      <w:pStyle w:val="Encabezado"/>
      <w:ind w:right="49"/>
      <w:jc w:val="right"/>
      <w:rPr>
        <w:rFonts w:ascii="Arial Narrow" w:hAnsi="Arial Narrow"/>
      </w:rPr>
    </w:pPr>
    <w:r w:rsidRPr="00D0517C">
      <w:rPr>
        <w:rFonts w:ascii="Arial Narrow" w:hAnsi="Arial Narrow"/>
        <w:noProof/>
        <w:lang w:eastAsia="es-MX"/>
      </w:rPr>
      <mc:AlternateContent>
        <mc:Choice Requires="wps">
          <w:drawing>
            <wp:anchor distT="0" distB="0" distL="114300" distR="114300" simplePos="0" relativeHeight="251659264" behindDoc="0" locked="0" layoutInCell="1" allowOverlap="1" wp14:anchorId="259AB94F" wp14:editId="3BC3CCAA">
              <wp:simplePos x="0" y="0"/>
              <wp:positionH relativeFrom="page">
                <wp:posOffset>238125</wp:posOffset>
              </wp:positionH>
              <wp:positionV relativeFrom="page">
                <wp:posOffset>367665</wp:posOffset>
              </wp:positionV>
              <wp:extent cx="1329055" cy="1971040"/>
              <wp:effectExtent l="0" t="0" r="4445" b="0"/>
              <wp:wrapNone/>
              <wp:docPr id="21" name="Cuadro de texto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055" cy="1971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B6397" w:rsidRDefault="000B6397" w:rsidP="0007430D">
                          <w:pPr>
                            <w:spacing w:after="0" w:line="240" w:lineRule="auto"/>
                            <w:jc w:val="center"/>
                            <w:rPr>
                              <w:rFonts w:cs="Calibri"/>
                              <w:sz w:val="20"/>
                              <w:szCs w:val="20"/>
                            </w:rPr>
                          </w:pPr>
                          <w:r>
                            <w:rPr>
                              <w:rFonts w:ascii="Times New Roman" w:eastAsia="Times New Roman" w:hAnsi="Times New Roman" w:cs="Times New Roman"/>
                              <w:noProof/>
                              <w:sz w:val="20"/>
                              <w:szCs w:val="20"/>
                              <w:lang w:eastAsia="es-MX"/>
                            </w:rPr>
                            <w:drawing>
                              <wp:inline distT="0" distB="0" distL="0" distR="0" wp14:anchorId="6CC4CDA8" wp14:editId="551285B7">
                                <wp:extent cx="1009650" cy="1009650"/>
                                <wp:effectExtent l="0" t="0" r="0" b="0"/>
                                <wp:docPr id="3" name="Imagen 3" descr="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650" cy="1009650"/>
                                        </a:xfrm>
                                        <a:prstGeom prst="rect">
                                          <a:avLst/>
                                        </a:prstGeom>
                                        <a:noFill/>
                                        <a:ln>
                                          <a:noFill/>
                                        </a:ln>
                                      </pic:spPr>
                                    </pic:pic>
                                  </a:graphicData>
                                </a:graphic>
                              </wp:inline>
                            </w:drawing>
                          </w:r>
                        </w:p>
                        <w:p w:rsidR="000B6397" w:rsidRDefault="000B6397" w:rsidP="0007430D">
                          <w:pPr>
                            <w:spacing w:after="0" w:line="240" w:lineRule="auto"/>
                            <w:jc w:val="center"/>
                            <w:rPr>
                              <w:rFonts w:cs="Calibri"/>
                              <w:sz w:val="20"/>
                              <w:szCs w:val="20"/>
                            </w:rPr>
                          </w:pPr>
                          <w:r>
                            <w:rPr>
                              <w:rFonts w:cs="Calibri"/>
                              <w:sz w:val="20"/>
                              <w:szCs w:val="20"/>
                            </w:rPr>
                            <w:t>TRIBUNAL ESTATAL DE JUSTICIA ADMINISTRATIVA</w:t>
                          </w:r>
                        </w:p>
                        <w:p w:rsidR="000B6397" w:rsidRDefault="000B6397" w:rsidP="0007430D">
                          <w:pPr>
                            <w:spacing w:after="0" w:line="240" w:lineRule="auto"/>
                            <w:jc w:val="center"/>
                            <w:rPr>
                              <w:rFonts w:cs="Calibri"/>
                              <w:sz w:val="20"/>
                              <w:szCs w:val="20"/>
                            </w:rPr>
                          </w:pPr>
                          <w:r>
                            <w:rPr>
                              <w:rFonts w:cs="Calibri"/>
                              <w:sz w:val="20"/>
                              <w:szCs w:val="20"/>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1" o:spid="_x0000_s1026" type="#_x0000_t202" style="position:absolute;left:0;text-align:left;margin-left:18.75pt;margin-top:28.95pt;width:104.65pt;height:155.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" stroked="f">
              <v:textbox>
                <w:txbxContent>
                  <w:p w:rsidR="000B6397" w:rsidRDefault="000B6397" w:rsidP="0007430D">
                    <w:pPr>
                      <w:spacing w:after="0" w:line="240" w:lineRule="auto"/>
                      <w:jc w:val="center"/>
                      <w:rPr>
                        <w:rFonts w:cs="Calibri"/>
                        <w:sz w:val="20"/>
                        <w:szCs w:val="20"/>
                      </w:rPr>
                    </w:pPr>
                    <w:r>
                      <w:rPr>
                        <w:rFonts w:ascii="Times New Roman" w:eastAsia="Times New Roman" w:hAnsi="Times New Roman" w:cs="Times New Roman"/>
                        <w:noProof/>
                        <w:sz w:val="20"/>
                        <w:szCs w:val="20"/>
                        <w:lang w:eastAsia="es-MX"/>
                      </w:rPr>
                      <w:drawing>
                        <wp:inline distT="0" distB="0" distL="0" distR="0" wp14:anchorId="6CC4CDA8" wp14:editId="551285B7">
                          <wp:extent cx="1009650" cy="1009650"/>
                          <wp:effectExtent l="0" t="0" r="0" b="0"/>
                          <wp:docPr id="3" name="Imagen 3" descr="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09650" cy="1009650"/>
                                  </a:xfrm>
                                  <a:prstGeom prst="rect">
                                    <a:avLst/>
                                  </a:prstGeom>
                                  <a:noFill/>
                                  <a:ln>
                                    <a:noFill/>
                                  </a:ln>
                                </pic:spPr>
                              </pic:pic>
                            </a:graphicData>
                          </a:graphic>
                        </wp:inline>
                      </w:drawing>
                    </w:r>
                  </w:p>
                  <w:p w:rsidR="000B6397" w:rsidRDefault="000B6397" w:rsidP="0007430D">
                    <w:pPr>
                      <w:spacing w:after="0" w:line="240" w:lineRule="auto"/>
                      <w:jc w:val="center"/>
                      <w:rPr>
                        <w:rFonts w:cs="Calibri"/>
                        <w:sz w:val="20"/>
                        <w:szCs w:val="20"/>
                      </w:rPr>
                    </w:pPr>
                    <w:r>
                      <w:rPr>
                        <w:rFonts w:cs="Calibri"/>
                        <w:sz w:val="20"/>
                        <w:szCs w:val="20"/>
                      </w:rPr>
                      <w:t>TRIBUNAL ESTATAL DE JUSTICIA ADMINISTRATIVA</w:t>
                    </w:r>
                  </w:p>
                  <w:p w:rsidR="000B6397" w:rsidRDefault="000B6397" w:rsidP="0007430D">
                    <w:pPr>
                      <w:spacing w:after="0" w:line="240" w:lineRule="auto"/>
                      <w:jc w:val="center"/>
                      <w:rPr>
                        <w:rFonts w:cs="Calibri"/>
                        <w:sz w:val="20"/>
                        <w:szCs w:val="20"/>
                      </w:rPr>
                    </w:pPr>
                    <w:r>
                      <w:rPr>
                        <w:rFonts w:cs="Calibri"/>
                        <w:sz w:val="20"/>
                        <w:szCs w:val="20"/>
                      </w:rPr>
                      <w:t>San Luis Potosí</w:t>
                    </w:r>
                  </w:p>
                </w:txbxContent>
              </v:textbox>
              <w10:wrap anchorx="page" anchory="page"/>
            </v:shape>
          </w:pict>
        </mc:Fallback>
      </mc:AlternateContent>
    </w:r>
    <w:bookmarkStart w:id="1" w:name="PAGI_NA"/>
    <w:r w:rsidRPr="00D0517C">
      <w:rPr>
        <w:rFonts w:ascii="Arial Narrow" w:hAnsi="Arial Narrow"/>
      </w:rPr>
      <w:fldChar w:fldCharType="begin"/>
    </w:r>
    <w:r w:rsidRPr="00D0517C">
      <w:rPr>
        <w:rStyle w:val="Nmerodepgina"/>
        <w:rFonts w:ascii="Arial Narrow" w:hAnsi="Arial Narrow"/>
        <w:color w:val="FFFFFF"/>
      </w:rPr>
      <w:instrText xml:space="preserve"> PAGE </w:instrText>
    </w:r>
    <w:r w:rsidRPr="00D0517C">
      <w:rPr>
        <w:rFonts w:ascii="Arial Narrow" w:hAnsi="Arial Narrow"/>
      </w:rPr>
      <w:fldChar w:fldCharType="separate"/>
    </w:r>
    <w:r w:rsidR="004F5BC4">
      <w:rPr>
        <w:rStyle w:val="Nmerodepgina"/>
        <w:rFonts w:ascii="Arial Narrow" w:hAnsi="Arial Narrow"/>
        <w:noProof/>
        <w:color w:val="FFFFFF"/>
      </w:rPr>
      <w:t>27</w:t>
    </w:r>
    <w:r w:rsidRPr="00D0517C">
      <w:rPr>
        <w:rFonts w:ascii="Arial Narrow" w:hAnsi="Arial Narrow"/>
      </w:rPr>
      <w:fldChar w:fldCharType="end"/>
    </w:r>
    <w:r w:rsidRPr="00D0517C">
      <w:rPr>
        <w:rStyle w:val="Nmerodepgina"/>
        <w:rFonts w:ascii="Arial Narrow" w:hAnsi="Arial Narrow"/>
        <w:color w:val="FFFFFF"/>
      </w:rPr>
      <w:t xml:space="preserve"> </w:t>
    </w:r>
    <w:bookmarkEnd w:id="1"/>
    <w:r w:rsidRPr="00D0517C">
      <w:rPr>
        <w:rFonts w:ascii="Arial Narrow" w:hAnsi="Arial Narrow"/>
        <w:sz w:val="28"/>
        <w:szCs w:val="28"/>
      </w:rPr>
      <w:t xml:space="preserve"> </w:t>
    </w:r>
    <w:r w:rsidRPr="00D0517C">
      <w:rPr>
        <w:rFonts w:ascii="Arial Narrow" w:hAnsi="Arial Narrow"/>
      </w:rPr>
      <w:t xml:space="preserve">Foja </w:t>
    </w:r>
    <w:r w:rsidRPr="00D0517C">
      <w:rPr>
        <w:rFonts w:ascii="Arial Narrow" w:hAnsi="Arial Narrow"/>
      </w:rPr>
      <w:fldChar w:fldCharType="begin"/>
    </w:r>
    <w:r w:rsidRPr="00D0517C">
      <w:rPr>
        <w:rFonts w:ascii="Arial Narrow" w:hAnsi="Arial Narrow"/>
      </w:rPr>
      <w:instrText xml:space="preserve"> =PAGI_NA/2 \# "0" </w:instrText>
    </w:r>
    <w:r w:rsidRPr="00D0517C">
      <w:rPr>
        <w:rFonts w:ascii="Arial Narrow" w:hAnsi="Arial Narrow"/>
      </w:rPr>
      <w:fldChar w:fldCharType="separate"/>
    </w:r>
    <w:r w:rsidR="004F5BC4">
      <w:rPr>
        <w:rFonts w:ascii="Arial Narrow" w:hAnsi="Arial Narrow"/>
        <w:noProof/>
      </w:rPr>
      <w:t>14</w:t>
    </w:r>
    <w:r w:rsidRPr="00D0517C">
      <w:rPr>
        <w:rFonts w:ascii="Arial Narrow" w:hAnsi="Arial Narrow"/>
      </w:rPr>
      <w:fldChar w:fldCharType="end"/>
    </w:r>
  </w:p>
  <w:p w:rsidR="000B6397" w:rsidRDefault="000B6397" w:rsidP="00DE01BC">
    <w:pPr>
      <w:pStyle w:val="Encabezado"/>
      <w:spacing w:after="240"/>
      <w:jc w:val="right"/>
      <w:rPr>
        <w:rFonts w:ascii="Arial Narrow" w:hAnsi="Arial Narrow"/>
      </w:rPr>
    </w:pPr>
    <w:proofErr w:type="spellStart"/>
    <w:r>
      <w:rPr>
        <w:rFonts w:ascii="Arial Narrow" w:hAnsi="Arial Narrow"/>
      </w:rPr>
      <w:t>Exp</w:t>
    </w:r>
    <w:proofErr w:type="spellEnd"/>
    <w:r>
      <w:rPr>
        <w:rFonts w:ascii="Arial Narrow" w:hAnsi="Arial Narrow"/>
      </w:rPr>
      <w:t>. 341/2020/2</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B6397" w:rsidRPr="00F115FF" w:rsidRDefault="000B6397" w:rsidP="00F115FF">
    <w:pPr>
      <w:pStyle w:val="Encabezado"/>
      <w:ind w:right="49"/>
      <w:jc w:val="right"/>
      <w:rPr>
        <w:rFonts w:ascii="Arial Narrow" w:hAnsi="Arial Narrow"/>
      </w:rPr>
    </w:pPr>
    <w:r w:rsidRPr="00F115FF">
      <w:rPr>
        <w:rFonts w:ascii="Arial Narrow" w:hAnsi="Arial Narrow"/>
        <w:noProof/>
        <w:lang w:eastAsia="es-MX"/>
      </w:rPr>
      <mc:AlternateContent>
        <mc:Choice Requires="wps">
          <w:drawing>
            <wp:anchor distT="0" distB="0" distL="114300" distR="114300" simplePos="0" relativeHeight="251661312" behindDoc="0" locked="0" layoutInCell="1" allowOverlap="1" wp14:anchorId="63F1E99D" wp14:editId="529C1E13">
              <wp:simplePos x="0" y="0"/>
              <wp:positionH relativeFrom="page">
                <wp:posOffset>238125</wp:posOffset>
              </wp:positionH>
              <wp:positionV relativeFrom="page">
                <wp:posOffset>367665</wp:posOffset>
              </wp:positionV>
              <wp:extent cx="1329055" cy="1971040"/>
              <wp:effectExtent l="0" t="0" r="4445" b="0"/>
              <wp:wrapNone/>
              <wp:docPr id="22" name="Cuadro de texto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055" cy="1971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B6397" w:rsidRDefault="000B6397" w:rsidP="00F115FF">
                          <w:pPr>
                            <w:spacing w:after="0" w:line="240" w:lineRule="auto"/>
                            <w:jc w:val="center"/>
                            <w:rPr>
                              <w:rFonts w:cs="Calibri"/>
                              <w:sz w:val="20"/>
                              <w:szCs w:val="20"/>
                            </w:rPr>
                          </w:pPr>
                          <w:r>
                            <w:rPr>
                              <w:rFonts w:ascii="Times New Roman" w:eastAsia="Times New Roman" w:hAnsi="Times New Roman" w:cs="Times New Roman"/>
                              <w:noProof/>
                              <w:sz w:val="20"/>
                              <w:szCs w:val="20"/>
                              <w:lang w:eastAsia="es-MX"/>
                            </w:rPr>
                            <w:drawing>
                              <wp:inline distT="0" distB="0" distL="0" distR="0" wp14:anchorId="43263F2B" wp14:editId="2D52331B">
                                <wp:extent cx="1009650" cy="1009650"/>
                                <wp:effectExtent l="0" t="0" r="0" b="0"/>
                                <wp:docPr id="4" name="Imagen 4" descr="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9650" cy="1009650"/>
                                        </a:xfrm>
                                        <a:prstGeom prst="rect">
                                          <a:avLst/>
                                        </a:prstGeom>
                                        <a:noFill/>
                                        <a:ln>
                                          <a:noFill/>
                                        </a:ln>
                                      </pic:spPr>
                                    </pic:pic>
                                  </a:graphicData>
                                </a:graphic>
                              </wp:inline>
                            </w:drawing>
                          </w:r>
                        </w:p>
                        <w:p w:rsidR="000B6397" w:rsidRDefault="000B6397" w:rsidP="00F115FF">
                          <w:pPr>
                            <w:spacing w:after="0" w:line="240" w:lineRule="auto"/>
                            <w:jc w:val="center"/>
                            <w:rPr>
                              <w:rFonts w:cs="Calibri"/>
                              <w:sz w:val="20"/>
                              <w:szCs w:val="20"/>
                            </w:rPr>
                          </w:pPr>
                          <w:r>
                            <w:rPr>
                              <w:rFonts w:cs="Calibri"/>
                              <w:sz w:val="20"/>
                              <w:szCs w:val="20"/>
                            </w:rPr>
                            <w:t>TRIBUNAL ESTATAL DE JUSTICIA ADMINISTRATIVA</w:t>
                          </w:r>
                        </w:p>
                        <w:p w:rsidR="000B6397" w:rsidRDefault="000B6397" w:rsidP="00F115FF">
                          <w:pPr>
                            <w:spacing w:after="0" w:line="240" w:lineRule="auto"/>
                            <w:jc w:val="center"/>
                            <w:rPr>
                              <w:rFonts w:cs="Calibri"/>
                              <w:sz w:val="20"/>
                              <w:szCs w:val="20"/>
                            </w:rPr>
                          </w:pPr>
                          <w:r>
                            <w:rPr>
                              <w:rFonts w:cs="Calibri"/>
                              <w:sz w:val="20"/>
                              <w:szCs w:val="20"/>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left:0;text-align:left;margin-left:18.75pt;margin-top:28.95pt;width:104.65pt;height:155.2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" stroked="f">
              <v:textbox>
                <w:txbxContent>
                  <w:p w:rsidR="000B6397" w:rsidRDefault="000B6397" w:rsidP="00F115FF">
                    <w:pPr>
                      <w:spacing w:after="0" w:line="240" w:lineRule="auto"/>
                      <w:jc w:val="center"/>
                      <w:rPr>
                        <w:rFonts w:cs="Calibri"/>
                        <w:sz w:val="20"/>
                        <w:szCs w:val="20"/>
                      </w:rPr>
                    </w:pPr>
                    <w:r>
                      <w:rPr>
                        <w:rFonts w:ascii="Times New Roman" w:eastAsia="Times New Roman" w:hAnsi="Times New Roman" w:cs="Times New Roman"/>
                        <w:noProof/>
                        <w:sz w:val="20"/>
                        <w:szCs w:val="20"/>
                        <w:lang w:eastAsia="es-MX"/>
                      </w:rPr>
                      <w:drawing>
                        <wp:inline distT="0" distB="0" distL="0" distR="0" wp14:anchorId="43263F2B" wp14:editId="2D52331B">
                          <wp:extent cx="1009650" cy="1009650"/>
                          <wp:effectExtent l="0" t="0" r="0" b="0"/>
                          <wp:docPr id="4" name="Imagen 4" descr="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09650" cy="1009650"/>
                                  </a:xfrm>
                                  <a:prstGeom prst="rect">
                                    <a:avLst/>
                                  </a:prstGeom>
                                  <a:noFill/>
                                  <a:ln>
                                    <a:noFill/>
                                  </a:ln>
                                </pic:spPr>
                              </pic:pic>
                            </a:graphicData>
                          </a:graphic>
                        </wp:inline>
                      </w:drawing>
                    </w:r>
                  </w:p>
                  <w:p w:rsidR="000B6397" w:rsidRDefault="000B6397" w:rsidP="00F115FF">
                    <w:pPr>
                      <w:spacing w:after="0" w:line="240" w:lineRule="auto"/>
                      <w:jc w:val="center"/>
                      <w:rPr>
                        <w:rFonts w:cs="Calibri"/>
                        <w:sz w:val="20"/>
                        <w:szCs w:val="20"/>
                      </w:rPr>
                    </w:pPr>
                    <w:r>
                      <w:rPr>
                        <w:rFonts w:cs="Calibri"/>
                        <w:sz w:val="20"/>
                        <w:szCs w:val="20"/>
                      </w:rPr>
                      <w:t>TRIBUNAL ESTATAL DE JUSTICIA ADMINISTRATIVA</w:t>
                    </w:r>
                  </w:p>
                  <w:p w:rsidR="000B6397" w:rsidRDefault="000B6397" w:rsidP="00F115FF">
                    <w:pPr>
                      <w:spacing w:after="0" w:line="240" w:lineRule="auto"/>
                      <w:jc w:val="center"/>
                      <w:rPr>
                        <w:rFonts w:cs="Calibri"/>
                        <w:sz w:val="20"/>
                        <w:szCs w:val="20"/>
                      </w:rPr>
                    </w:pPr>
                    <w:r>
                      <w:rPr>
                        <w:rFonts w:cs="Calibri"/>
                        <w:sz w:val="20"/>
                        <w:szCs w:val="20"/>
                      </w:rPr>
                      <w:t>San Luis Potosí</w:t>
                    </w:r>
                  </w:p>
                </w:txbxContent>
              </v:textbox>
              <w10:wrap anchorx="page" anchory="page"/>
            </v:shape>
          </w:pict>
        </mc:Fallback>
      </mc:AlternateContent>
    </w:r>
    <w:r w:rsidRPr="00F115FF">
      <w:rPr>
        <w:rFonts w:ascii="Arial Narrow" w:hAnsi="Arial Narrow"/>
      </w:rPr>
      <w:fldChar w:fldCharType="begin"/>
    </w:r>
    <w:r w:rsidRPr="00F115FF">
      <w:rPr>
        <w:rStyle w:val="Nmerodepgina"/>
        <w:rFonts w:ascii="Arial Narrow" w:hAnsi="Arial Narrow"/>
        <w:color w:val="FFFFFF"/>
      </w:rPr>
      <w:instrText xml:space="preserve"> PAGE </w:instrText>
    </w:r>
    <w:r w:rsidRPr="00F115FF">
      <w:rPr>
        <w:rFonts w:ascii="Arial Narrow" w:hAnsi="Arial Narrow"/>
      </w:rPr>
      <w:fldChar w:fldCharType="separate"/>
    </w:r>
    <w:r w:rsidR="004F5BC4">
      <w:rPr>
        <w:rStyle w:val="Nmerodepgina"/>
        <w:rFonts w:ascii="Arial Narrow" w:hAnsi="Arial Narrow"/>
        <w:noProof/>
        <w:color w:val="FFFFFF"/>
      </w:rPr>
      <w:t>1</w:t>
    </w:r>
    <w:r w:rsidRPr="00F115FF">
      <w:rPr>
        <w:rFonts w:ascii="Arial Narrow" w:hAnsi="Arial Narrow"/>
      </w:rPr>
      <w:fldChar w:fldCharType="end"/>
    </w:r>
    <w:r w:rsidRPr="00F115FF">
      <w:rPr>
        <w:rStyle w:val="Nmerodepgina"/>
        <w:rFonts w:ascii="Arial Narrow" w:hAnsi="Arial Narrow"/>
        <w:color w:val="FFFFFF"/>
      </w:rPr>
      <w:t xml:space="preserve"> </w:t>
    </w:r>
    <w:r w:rsidRPr="00F115FF">
      <w:rPr>
        <w:rFonts w:ascii="Arial Narrow" w:hAnsi="Arial Narrow"/>
        <w:sz w:val="28"/>
        <w:szCs w:val="28"/>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36488D"/>
    <w:multiLevelType w:val="hybridMultilevel"/>
    <w:tmpl w:val="114CED4C"/>
    <w:lvl w:ilvl="0" w:tplc="3162DDD6">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nsid w:val="309A4E39"/>
    <w:multiLevelType w:val="hybridMultilevel"/>
    <w:tmpl w:val="44E8EEB4"/>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
    <w:nsid w:val="529E380A"/>
    <w:multiLevelType w:val="hybridMultilevel"/>
    <w:tmpl w:val="D41AA454"/>
    <w:lvl w:ilvl="0" w:tplc="02D03D2A">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
    <w:nsid w:val="691C28AC"/>
    <w:multiLevelType w:val="hybridMultilevel"/>
    <w:tmpl w:val="033A0836"/>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
    <w:nsid w:val="7AE90A1D"/>
    <w:multiLevelType w:val="hybridMultilevel"/>
    <w:tmpl w:val="3F540E9A"/>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5">
    <w:nsid w:val="7B182DED"/>
    <w:multiLevelType w:val="hybridMultilevel"/>
    <w:tmpl w:val="D5E0B396"/>
    <w:lvl w:ilvl="0" w:tplc="B72EE208">
      <w:start w:val="1"/>
      <w:numFmt w:val="lowerLetter"/>
      <w:lvlText w:val="%1)"/>
      <w:lvlJc w:val="left"/>
      <w:pPr>
        <w:tabs>
          <w:tab w:val="num" w:pos="1698"/>
        </w:tabs>
        <w:ind w:left="1698" w:hanging="99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num w:numId="1">
    <w:abstractNumId w:val="3"/>
  </w:num>
  <w:num w:numId="2">
    <w:abstractNumId w:val="4"/>
  </w:num>
  <w:num w:numId="3">
    <w:abstractNumId w:val="1"/>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proofState w:spelling="clean" w:grammar="clean"/>
  <w:defaultTabStop w:val="708"/>
  <w:hyphenationZone w:val="425"/>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1E4E"/>
    <w:rsid w:val="00000726"/>
    <w:rsid w:val="000015AA"/>
    <w:rsid w:val="00001A0F"/>
    <w:rsid w:val="00003CC3"/>
    <w:rsid w:val="0000431D"/>
    <w:rsid w:val="000044D3"/>
    <w:rsid w:val="000102FF"/>
    <w:rsid w:val="00010B02"/>
    <w:rsid w:val="00013399"/>
    <w:rsid w:val="00021150"/>
    <w:rsid w:val="00024A82"/>
    <w:rsid w:val="00026AC4"/>
    <w:rsid w:val="0003163F"/>
    <w:rsid w:val="00034B56"/>
    <w:rsid w:val="00035D1A"/>
    <w:rsid w:val="000419D7"/>
    <w:rsid w:val="0005039D"/>
    <w:rsid w:val="00051BB9"/>
    <w:rsid w:val="00062055"/>
    <w:rsid w:val="00065FE2"/>
    <w:rsid w:val="00066C7D"/>
    <w:rsid w:val="00073554"/>
    <w:rsid w:val="0007430D"/>
    <w:rsid w:val="00074DCC"/>
    <w:rsid w:val="00075C1F"/>
    <w:rsid w:val="00075CA0"/>
    <w:rsid w:val="00076A7B"/>
    <w:rsid w:val="0008429F"/>
    <w:rsid w:val="000957DD"/>
    <w:rsid w:val="00096CE2"/>
    <w:rsid w:val="000970E4"/>
    <w:rsid w:val="000A0CF9"/>
    <w:rsid w:val="000A122F"/>
    <w:rsid w:val="000A2A62"/>
    <w:rsid w:val="000A7EA0"/>
    <w:rsid w:val="000B081B"/>
    <w:rsid w:val="000B2B23"/>
    <w:rsid w:val="000B4CF6"/>
    <w:rsid w:val="000B4FC1"/>
    <w:rsid w:val="000B56FF"/>
    <w:rsid w:val="000B6397"/>
    <w:rsid w:val="000C0280"/>
    <w:rsid w:val="000C0A76"/>
    <w:rsid w:val="000C3068"/>
    <w:rsid w:val="000D4FEB"/>
    <w:rsid w:val="000E5374"/>
    <w:rsid w:val="000E5709"/>
    <w:rsid w:val="000F212F"/>
    <w:rsid w:val="000F2CAD"/>
    <w:rsid w:val="000F3225"/>
    <w:rsid w:val="000F7965"/>
    <w:rsid w:val="001025B1"/>
    <w:rsid w:val="00107E9F"/>
    <w:rsid w:val="00114E38"/>
    <w:rsid w:val="001156FD"/>
    <w:rsid w:val="00120180"/>
    <w:rsid w:val="00123F67"/>
    <w:rsid w:val="001443FA"/>
    <w:rsid w:val="00144830"/>
    <w:rsid w:val="00150D64"/>
    <w:rsid w:val="00167447"/>
    <w:rsid w:val="00170089"/>
    <w:rsid w:val="001702B8"/>
    <w:rsid w:val="00177C83"/>
    <w:rsid w:val="0018213B"/>
    <w:rsid w:val="001917FC"/>
    <w:rsid w:val="001A69DF"/>
    <w:rsid w:val="001A6A26"/>
    <w:rsid w:val="001A7DC7"/>
    <w:rsid w:val="001B0A99"/>
    <w:rsid w:val="001B19EE"/>
    <w:rsid w:val="001D4B43"/>
    <w:rsid w:val="001E2E4D"/>
    <w:rsid w:val="001E6589"/>
    <w:rsid w:val="001F107F"/>
    <w:rsid w:val="001F1354"/>
    <w:rsid w:val="001F2D8B"/>
    <w:rsid w:val="001F3ED5"/>
    <w:rsid w:val="00200B73"/>
    <w:rsid w:val="00201A6F"/>
    <w:rsid w:val="0020680E"/>
    <w:rsid w:val="00210675"/>
    <w:rsid w:val="00210BBF"/>
    <w:rsid w:val="00212186"/>
    <w:rsid w:val="00217290"/>
    <w:rsid w:val="00220278"/>
    <w:rsid w:val="002353F0"/>
    <w:rsid w:val="00235466"/>
    <w:rsid w:val="00235FDB"/>
    <w:rsid w:val="00244E6E"/>
    <w:rsid w:val="00250974"/>
    <w:rsid w:val="0025161E"/>
    <w:rsid w:val="00251ED1"/>
    <w:rsid w:val="00252597"/>
    <w:rsid w:val="002553C9"/>
    <w:rsid w:val="00260AA7"/>
    <w:rsid w:val="00261373"/>
    <w:rsid w:val="0026676A"/>
    <w:rsid w:val="00267FB0"/>
    <w:rsid w:val="002756F7"/>
    <w:rsid w:val="00280F90"/>
    <w:rsid w:val="00284431"/>
    <w:rsid w:val="002844D4"/>
    <w:rsid w:val="002921B3"/>
    <w:rsid w:val="002A01D4"/>
    <w:rsid w:val="002A3EE0"/>
    <w:rsid w:val="002A5AB4"/>
    <w:rsid w:val="002A5B37"/>
    <w:rsid w:val="002A5B3B"/>
    <w:rsid w:val="002A7B15"/>
    <w:rsid w:val="002B2519"/>
    <w:rsid w:val="002B5FE2"/>
    <w:rsid w:val="002C4613"/>
    <w:rsid w:val="002D051A"/>
    <w:rsid w:val="002D665C"/>
    <w:rsid w:val="002E02E2"/>
    <w:rsid w:val="002E374F"/>
    <w:rsid w:val="002E550E"/>
    <w:rsid w:val="002E708E"/>
    <w:rsid w:val="002F1171"/>
    <w:rsid w:val="002F6C3C"/>
    <w:rsid w:val="0030202F"/>
    <w:rsid w:val="00302476"/>
    <w:rsid w:val="0030393F"/>
    <w:rsid w:val="003155A5"/>
    <w:rsid w:val="003155BA"/>
    <w:rsid w:val="00316869"/>
    <w:rsid w:val="003274A1"/>
    <w:rsid w:val="00333088"/>
    <w:rsid w:val="00333EC6"/>
    <w:rsid w:val="0033663C"/>
    <w:rsid w:val="00337E2E"/>
    <w:rsid w:val="003427EB"/>
    <w:rsid w:val="00347CE7"/>
    <w:rsid w:val="00353208"/>
    <w:rsid w:val="003633C0"/>
    <w:rsid w:val="00363783"/>
    <w:rsid w:val="00365C9D"/>
    <w:rsid w:val="003840F8"/>
    <w:rsid w:val="00390DEF"/>
    <w:rsid w:val="00393B66"/>
    <w:rsid w:val="0039494A"/>
    <w:rsid w:val="003A308E"/>
    <w:rsid w:val="003A31F7"/>
    <w:rsid w:val="003A367D"/>
    <w:rsid w:val="003A37B6"/>
    <w:rsid w:val="003A4ACF"/>
    <w:rsid w:val="003A6939"/>
    <w:rsid w:val="003B3C90"/>
    <w:rsid w:val="003C0F71"/>
    <w:rsid w:val="003D1C15"/>
    <w:rsid w:val="003E4D9A"/>
    <w:rsid w:val="003F3D39"/>
    <w:rsid w:val="00403CA3"/>
    <w:rsid w:val="004066B1"/>
    <w:rsid w:val="00410483"/>
    <w:rsid w:val="00411B91"/>
    <w:rsid w:val="00414010"/>
    <w:rsid w:val="004217ED"/>
    <w:rsid w:val="00435189"/>
    <w:rsid w:val="00445FA1"/>
    <w:rsid w:val="00450957"/>
    <w:rsid w:val="00451DC9"/>
    <w:rsid w:val="00470D50"/>
    <w:rsid w:val="00475B26"/>
    <w:rsid w:val="00481039"/>
    <w:rsid w:val="00481C1A"/>
    <w:rsid w:val="00482412"/>
    <w:rsid w:val="00486554"/>
    <w:rsid w:val="00486D11"/>
    <w:rsid w:val="00487CFC"/>
    <w:rsid w:val="004914BD"/>
    <w:rsid w:val="00491BCB"/>
    <w:rsid w:val="0049287F"/>
    <w:rsid w:val="00493091"/>
    <w:rsid w:val="004935E0"/>
    <w:rsid w:val="00496A1F"/>
    <w:rsid w:val="004A45F4"/>
    <w:rsid w:val="004B4249"/>
    <w:rsid w:val="004C1C61"/>
    <w:rsid w:val="004C2AC3"/>
    <w:rsid w:val="004C43A6"/>
    <w:rsid w:val="004C4E66"/>
    <w:rsid w:val="004C5382"/>
    <w:rsid w:val="004C5812"/>
    <w:rsid w:val="004C58FC"/>
    <w:rsid w:val="004D4F14"/>
    <w:rsid w:val="004E0E44"/>
    <w:rsid w:val="004E1D90"/>
    <w:rsid w:val="004F5BC4"/>
    <w:rsid w:val="004F7F0B"/>
    <w:rsid w:val="00507218"/>
    <w:rsid w:val="00510F1B"/>
    <w:rsid w:val="00512B1C"/>
    <w:rsid w:val="005154B1"/>
    <w:rsid w:val="00525A82"/>
    <w:rsid w:val="0052712D"/>
    <w:rsid w:val="005375C9"/>
    <w:rsid w:val="00541570"/>
    <w:rsid w:val="00550B58"/>
    <w:rsid w:val="005520F4"/>
    <w:rsid w:val="00556A85"/>
    <w:rsid w:val="00560948"/>
    <w:rsid w:val="00565DFA"/>
    <w:rsid w:val="00567FD4"/>
    <w:rsid w:val="00574300"/>
    <w:rsid w:val="00576522"/>
    <w:rsid w:val="0057661B"/>
    <w:rsid w:val="005864BF"/>
    <w:rsid w:val="00597200"/>
    <w:rsid w:val="00597FD3"/>
    <w:rsid w:val="005A39E5"/>
    <w:rsid w:val="005B71E1"/>
    <w:rsid w:val="005C5CDD"/>
    <w:rsid w:val="005C5F90"/>
    <w:rsid w:val="005C6365"/>
    <w:rsid w:val="005D190A"/>
    <w:rsid w:val="005D2EBF"/>
    <w:rsid w:val="005D382A"/>
    <w:rsid w:val="005E5CA5"/>
    <w:rsid w:val="005E761E"/>
    <w:rsid w:val="005F1811"/>
    <w:rsid w:val="006003E4"/>
    <w:rsid w:val="00600A28"/>
    <w:rsid w:val="006160C1"/>
    <w:rsid w:val="0062204E"/>
    <w:rsid w:val="00622B1C"/>
    <w:rsid w:val="00634D91"/>
    <w:rsid w:val="006447C7"/>
    <w:rsid w:val="006541EA"/>
    <w:rsid w:val="006629EB"/>
    <w:rsid w:val="00665C27"/>
    <w:rsid w:val="00665FAF"/>
    <w:rsid w:val="00671186"/>
    <w:rsid w:val="00673A38"/>
    <w:rsid w:val="00673C57"/>
    <w:rsid w:val="006822FC"/>
    <w:rsid w:val="006841B4"/>
    <w:rsid w:val="00692AD5"/>
    <w:rsid w:val="00694048"/>
    <w:rsid w:val="006969A5"/>
    <w:rsid w:val="006A0CCD"/>
    <w:rsid w:val="006A3588"/>
    <w:rsid w:val="006A6C41"/>
    <w:rsid w:val="006B137B"/>
    <w:rsid w:val="006B2F40"/>
    <w:rsid w:val="006C055E"/>
    <w:rsid w:val="006C55C5"/>
    <w:rsid w:val="006D0282"/>
    <w:rsid w:val="006D6E86"/>
    <w:rsid w:val="006E220B"/>
    <w:rsid w:val="006E4AA5"/>
    <w:rsid w:val="006F0F96"/>
    <w:rsid w:val="006F6355"/>
    <w:rsid w:val="0070363D"/>
    <w:rsid w:val="00705492"/>
    <w:rsid w:val="00710D90"/>
    <w:rsid w:val="0072126E"/>
    <w:rsid w:val="00721AC2"/>
    <w:rsid w:val="00723343"/>
    <w:rsid w:val="0072442C"/>
    <w:rsid w:val="007244C3"/>
    <w:rsid w:val="007345CB"/>
    <w:rsid w:val="00746AE0"/>
    <w:rsid w:val="007622DE"/>
    <w:rsid w:val="00765CC4"/>
    <w:rsid w:val="00767194"/>
    <w:rsid w:val="007720F0"/>
    <w:rsid w:val="007741C1"/>
    <w:rsid w:val="00776EAF"/>
    <w:rsid w:val="007832F5"/>
    <w:rsid w:val="00793BD1"/>
    <w:rsid w:val="00794356"/>
    <w:rsid w:val="007A4F85"/>
    <w:rsid w:val="007A68F1"/>
    <w:rsid w:val="007A7444"/>
    <w:rsid w:val="007B07EB"/>
    <w:rsid w:val="007B21DC"/>
    <w:rsid w:val="007B30A6"/>
    <w:rsid w:val="007B63D2"/>
    <w:rsid w:val="007C17FC"/>
    <w:rsid w:val="007D002C"/>
    <w:rsid w:val="007D1128"/>
    <w:rsid w:val="007D1C13"/>
    <w:rsid w:val="007D23E6"/>
    <w:rsid w:val="007D2F76"/>
    <w:rsid w:val="007D4214"/>
    <w:rsid w:val="007D5F21"/>
    <w:rsid w:val="007E6845"/>
    <w:rsid w:val="007F3908"/>
    <w:rsid w:val="00800DF7"/>
    <w:rsid w:val="00814F9A"/>
    <w:rsid w:val="00825611"/>
    <w:rsid w:val="0082772B"/>
    <w:rsid w:val="00835D50"/>
    <w:rsid w:val="0084036D"/>
    <w:rsid w:val="00842A95"/>
    <w:rsid w:val="00844BFE"/>
    <w:rsid w:val="00845616"/>
    <w:rsid w:val="00857075"/>
    <w:rsid w:val="00862C2A"/>
    <w:rsid w:val="00862EA0"/>
    <w:rsid w:val="00862FF0"/>
    <w:rsid w:val="00863183"/>
    <w:rsid w:val="00863E65"/>
    <w:rsid w:val="00873243"/>
    <w:rsid w:val="00877C32"/>
    <w:rsid w:val="008869FB"/>
    <w:rsid w:val="008A487D"/>
    <w:rsid w:val="008A6651"/>
    <w:rsid w:val="008B134C"/>
    <w:rsid w:val="008B1D76"/>
    <w:rsid w:val="008B48B1"/>
    <w:rsid w:val="008C1655"/>
    <w:rsid w:val="008E0820"/>
    <w:rsid w:val="008E1B35"/>
    <w:rsid w:val="008E5804"/>
    <w:rsid w:val="008F29C8"/>
    <w:rsid w:val="008F3C80"/>
    <w:rsid w:val="008F4A31"/>
    <w:rsid w:val="008F4EFB"/>
    <w:rsid w:val="008F58D6"/>
    <w:rsid w:val="008F7C5D"/>
    <w:rsid w:val="009015B1"/>
    <w:rsid w:val="00912301"/>
    <w:rsid w:val="00915074"/>
    <w:rsid w:val="009160B2"/>
    <w:rsid w:val="00922C1E"/>
    <w:rsid w:val="009237F2"/>
    <w:rsid w:val="00923D2C"/>
    <w:rsid w:val="00935B9C"/>
    <w:rsid w:val="00946777"/>
    <w:rsid w:val="0095299E"/>
    <w:rsid w:val="00952F12"/>
    <w:rsid w:val="00953C56"/>
    <w:rsid w:val="00957560"/>
    <w:rsid w:val="00961693"/>
    <w:rsid w:val="00961D1E"/>
    <w:rsid w:val="00962F45"/>
    <w:rsid w:val="00963B2B"/>
    <w:rsid w:val="009640AA"/>
    <w:rsid w:val="00966A47"/>
    <w:rsid w:val="009724DE"/>
    <w:rsid w:val="00977463"/>
    <w:rsid w:val="0097773B"/>
    <w:rsid w:val="009808AF"/>
    <w:rsid w:val="00982BD1"/>
    <w:rsid w:val="00984CB3"/>
    <w:rsid w:val="00984DE2"/>
    <w:rsid w:val="00987655"/>
    <w:rsid w:val="00992931"/>
    <w:rsid w:val="009976E8"/>
    <w:rsid w:val="009A2FC2"/>
    <w:rsid w:val="009C027A"/>
    <w:rsid w:val="009C3A4B"/>
    <w:rsid w:val="009D0A96"/>
    <w:rsid w:val="009D15AC"/>
    <w:rsid w:val="009D4775"/>
    <w:rsid w:val="009D47FB"/>
    <w:rsid w:val="009D4E63"/>
    <w:rsid w:val="009E6898"/>
    <w:rsid w:val="009F0D38"/>
    <w:rsid w:val="009F3CD1"/>
    <w:rsid w:val="00A06DF4"/>
    <w:rsid w:val="00A13F46"/>
    <w:rsid w:val="00A2448D"/>
    <w:rsid w:val="00A400B0"/>
    <w:rsid w:val="00A439A6"/>
    <w:rsid w:val="00A46FE6"/>
    <w:rsid w:val="00A472BD"/>
    <w:rsid w:val="00A50928"/>
    <w:rsid w:val="00A522B3"/>
    <w:rsid w:val="00A628D7"/>
    <w:rsid w:val="00A63439"/>
    <w:rsid w:val="00A63FA4"/>
    <w:rsid w:val="00A67A03"/>
    <w:rsid w:val="00A71CF5"/>
    <w:rsid w:val="00A75E3B"/>
    <w:rsid w:val="00A77CAD"/>
    <w:rsid w:val="00A873A4"/>
    <w:rsid w:val="00A903A7"/>
    <w:rsid w:val="00A90F39"/>
    <w:rsid w:val="00A944DD"/>
    <w:rsid w:val="00AA1250"/>
    <w:rsid w:val="00AA4F6D"/>
    <w:rsid w:val="00AB52D0"/>
    <w:rsid w:val="00AC4C4D"/>
    <w:rsid w:val="00AC7A81"/>
    <w:rsid w:val="00AC7CAA"/>
    <w:rsid w:val="00AC7E44"/>
    <w:rsid w:val="00AD0294"/>
    <w:rsid w:val="00AD0FB0"/>
    <w:rsid w:val="00AD1804"/>
    <w:rsid w:val="00AD1DD7"/>
    <w:rsid w:val="00AD7175"/>
    <w:rsid w:val="00AD7438"/>
    <w:rsid w:val="00AE529B"/>
    <w:rsid w:val="00AF02DA"/>
    <w:rsid w:val="00AF09C6"/>
    <w:rsid w:val="00B05DF9"/>
    <w:rsid w:val="00B17FD0"/>
    <w:rsid w:val="00B20A8A"/>
    <w:rsid w:val="00B21E2B"/>
    <w:rsid w:val="00B23584"/>
    <w:rsid w:val="00B36F4A"/>
    <w:rsid w:val="00B404B6"/>
    <w:rsid w:val="00B41686"/>
    <w:rsid w:val="00B42BB9"/>
    <w:rsid w:val="00B43C59"/>
    <w:rsid w:val="00B44A35"/>
    <w:rsid w:val="00B4722E"/>
    <w:rsid w:val="00B5356F"/>
    <w:rsid w:val="00B5680C"/>
    <w:rsid w:val="00B60122"/>
    <w:rsid w:val="00B60C7D"/>
    <w:rsid w:val="00B6124C"/>
    <w:rsid w:val="00B64519"/>
    <w:rsid w:val="00B64E8B"/>
    <w:rsid w:val="00B75F3D"/>
    <w:rsid w:val="00B760D3"/>
    <w:rsid w:val="00B80FD5"/>
    <w:rsid w:val="00B85922"/>
    <w:rsid w:val="00B95FC7"/>
    <w:rsid w:val="00B97B8E"/>
    <w:rsid w:val="00BA2C9B"/>
    <w:rsid w:val="00BA3137"/>
    <w:rsid w:val="00BB1FB9"/>
    <w:rsid w:val="00BB213B"/>
    <w:rsid w:val="00BB30DF"/>
    <w:rsid w:val="00BB6BB1"/>
    <w:rsid w:val="00BB7953"/>
    <w:rsid w:val="00BC4FCC"/>
    <w:rsid w:val="00BE58AE"/>
    <w:rsid w:val="00BE5F9F"/>
    <w:rsid w:val="00BF4DAB"/>
    <w:rsid w:val="00BF6CF7"/>
    <w:rsid w:val="00BF6E9F"/>
    <w:rsid w:val="00C04CB3"/>
    <w:rsid w:val="00C056C6"/>
    <w:rsid w:val="00C15F12"/>
    <w:rsid w:val="00C20048"/>
    <w:rsid w:val="00C26089"/>
    <w:rsid w:val="00C35A87"/>
    <w:rsid w:val="00C5563B"/>
    <w:rsid w:val="00C56C5E"/>
    <w:rsid w:val="00C617A8"/>
    <w:rsid w:val="00C72582"/>
    <w:rsid w:val="00C75C82"/>
    <w:rsid w:val="00C81E43"/>
    <w:rsid w:val="00C827C2"/>
    <w:rsid w:val="00C86503"/>
    <w:rsid w:val="00C873CA"/>
    <w:rsid w:val="00C87F9C"/>
    <w:rsid w:val="00C91E4E"/>
    <w:rsid w:val="00CA03AD"/>
    <w:rsid w:val="00CB16BE"/>
    <w:rsid w:val="00CB27AF"/>
    <w:rsid w:val="00CB2945"/>
    <w:rsid w:val="00CB6B70"/>
    <w:rsid w:val="00CB77F7"/>
    <w:rsid w:val="00CC1CF3"/>
    <w:rsid w:val="00CD085A"/>
    <w:rsid w:val="00CD2ABE"/>
    <w:rsid w:val="00CD3E4F"/>
    <w:rsid w:val="00CD7795"/>
    <w:rsid w:val="00CE2F59"/>
    <w:rsid w:val="00CE2FAF"/>
    <w:rsid w:val="00CE60D9"/>
    <w:rsid w:val="00CF719F"/>
    <w:rsid w:val="00D00750"/>
    <w:rsid w:val="00D0517C"/>
    <w:rsid w:val="00D059C1"/>
    <w:rsid w:val="00D07CD0"/>
    <w:rsid w:val="00D131A0"/>
    <w:rsid w:val="00D170B6"/>
    <w:rsid w:val="00D1724A"/>
    <w:rsid w:val="00D20537"/>
    <w:rsid w:val="00D206B1"/>
    <w:rsid w:val="00D23FD2"/>
    <w:rsid w:val="00D26D24"/>
    <w:rsid w:val="00D32108"/>
    <w:rsid w:val="00D32491"/>
    <w:rsid w:val="00D36D93"/>
    <w:rsid w:val="00D41E19"/>
    <w:rsid w:val="00D43AFB"/>
    <w:rsid w:val="00D53C01"/>
    <w:rsid w:val="00D57864"/>
    <w:rsid w:val="00D7022A"/>
    <w:rsid w:val="00D710BD"/>
    <w:rsid w:val="00D7181A"/>
    <w:rsid w:val="00D7604D"/>
    <w:rsid w:val="00D802F2"/>
    <w:rsid w:val="00D961DE"/>
    <w:rsid w:val="00DA4555"/>
    <w:rsid w:val="00DA6C0F"/>
    <w:rsid w:val="00DB2C4E"/>
    <w:rsid w:val="00DB4C96"/>
    <w:rsid w:val="00DC049E"/>
    <w:rsid w:val="00DC1F9C"/>
    <w:rsid w:val="00DC5BA1"/>
    <w:rsid w:val="00DC6CE6"/>
    <w:rsid w:val="00DD0BC5"/>
    <w:rsid w:val="00DD463D"/>
    <w:rsid w:val="00DD46AB"/>
    <w:rsid w:val="00DD5B4F"/>
    <w:rsid w:val="00DE01BC"/>
    <w:rsid w:val="00DE52BB"/>
    <w:rsid w:val="00DF33AD"/>
    <w:rsid w:val="00E05D3B"/>
    <w:rsid w:val="00E102EC"/>
    <w:rsid w:val="00E10D7D"/>
    <w:rsid w:val="00E12278"/>
    <w:rsid w:val="00E1350F"/>
    <w:rsid w:val="00E14BB0"/>
    <w:rsid w:val="00E14E1B"/>
    <w:rsid w:val="00E165BC"/>
    <w:rsid w:val="00E224B0"/>
    <w:rsid w:val="00E22C65"/>
    <w:rsid w:val="00E2660A"/>
    <w:rsid w:val="00E35458"/>
    <w:rsid w:val="00E407D6"/>
    <w:rsid w:val="00E41915"/>
    <w:rsid w:val="00E45BBA"/>
    <w:rsid w:val="00E533BD"/>
    <w:rsid w:val="00E55B3B"/>
    <w:rsid w:val="00E60BE7"/>
    <w:rsid w:val="00E60D4F"/>
    <w:rsid w:val="00E6489F"/>
    <w:rsid w:val="00E734E4"/>
    <w:rsid w:val="00E73A0E"/>
    <w:rsid w:val="00E81F6D"/>
    <w:rsid w:val="00E844C9"/>
    <w:rsid w:val="00E859A0"/>
    <w:rsid w:val="00E863D3"/>
    <w:rsid w:val="00E868B3"/>
    <w:rsid w:val="00E915C4"/>
    <w:rsid w:val="00EA02D1"/>
    <w:rsid w:val="00EA3FF6"/>
    <w:rsid w:val="00EA4117"/>
    <w:rsid w:val="00EA4152"/>
    <w:rsid w:val="00EA5F54"/>
    <w:rsid w:val="00EB0BCE"/>
    <w:rsid w:val="00EB1570"/>
    <w:rsid w:val="00EB28C5"/>
    <w:rsid w:val="00EB7098"/>
    <w:rsid w:val="00EC224C"/>
    <w:rsid w:val="00EC2D44"/>
    <w:rsid w:val="00ED5968"/>
    <w:rsid w:val="00ED59AD"/>
    <w:rsid w:val="00EF23E6"/>
    <w:rsid w:val="00EF24CA"/>
    <w:rsid w:val="00EF291F"/>
    <w:rsid w:val="00EF539A"/>
    <w:rsid w:val="00F00238"/>
    <w:rsid w:val="00F115FF"/>
    <w:rsid w:val="00F13E63"/>
    <w:rsid w:val="00F154B2"/>
    <w:rsid w:val="00F17D0B"/>
    <w:rsid w:val="00F20C46"/>
    <w:rsid w:val="00F24187"/>
    <w:rsid w:val="00F24372"/>
    <w:rsid w:val="00F24D03"/>
    <w:rsid w:val="00F25A2A"/>
    <w:rsid w:val="00F2778E"/>
    <w:rsid w:val="00F321B0"/>
    <w:rsid w:val="00F327DE"/>
    <w:rsid w:val="00F34EDF"/>
    <w:rsid w:val="00F378ED"/>
    <w:rsid w:val="00F4502D"/>
    <w:rsid w:val="00F46B29"/>
    <w:rsid w:val="00F4747D"/>
    <w:rsid w:val="00F531F7"/>
    <w:rsid w:val="00F61D73"/>
    <w:rsid w:val="00F654AD"/>
    <w:rsid w:val="00F706B2"/>
    <w:rsid w:val="00F74516"/>
    <w:rsid w:val="00F77941"/>
    <w:rsid w:val="00F779F3"/>
    <w:rsid w:val="00F77B86"/>
    <w:rsid w:val="00F84F9C"/>
    <w:rsid w:val="00F92E8F"/>
    <w:rsid w:val="00FA2A1A"/>
    <w:rsid w:val="00FB094A"/>
    <w:rsid w:val="00FB1828"/>
    <w:rsid w:val="00FC14CE"/>
    <w:rsid w:val="00FC1E7D"/>
    <w:rsid w:val="00FC407F"/>
    <w:rsid w:val="00FC6764"/>
    <w:rsid w:val="00FD270E"/>
    <w:rsid w:val="00FD6A96"/>
    <w:rsid w:val="00FE36A7"/>
    <w:rsid w:val="00FE3F4D"/>
    <w:rsid w:val="00FE52E1"/>
    <w:rsid w:val="00FE79DD"/>
    <w:rsid w:val="00FF2725"/>
    <w:rsid w:val="00FF6EA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137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C91E4E"/>
    <w:pPr>
      <w:tabs>
        <w:tab w:val="center" w:pos="4419"/>
        <w:tab w:val="right" w:pos="8838"/>
      </w:tabs>
      <w:spacing w:after="0" w:line="240" w:lineRule="auto"/>
    </w:pPr>
  </w:style>
  <w:style w:type="character" w:customStyle="1" w:styleId="EncabezadoCar">
    <w:name w:val="Encabezado Car"/>
    <w:basedOn w:val="Fuentedeprrafopredeter"/>
    <w:link w:val="Encabezado"/>
    <w:rsid w:val="00C91E4E"/>
  </w:style>
  <w:style w:type="paragraph" w:styleId="Piedepgina">
    <w:name w:val="footer"/>
    <w:basedOn w:val="Normal"/>
    <w:link w:val="PiedepginaCar"/>
    <w:uiPriority w:val="99"/>
    <w:unhideWhenUsed/>
    <w:rsid w:val="00C91E4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91E4E"/>
  </w:style>
  <w:style w:type="paragraph" w:styleId="Sinespaciado">
    <w:name w:val="No Spacing"/>
    <w:link w:val="SinespaciadoCar"/>
    <w:uiPriority w:val="1"/>
    <w:qFormat/>
    <w:rsid w:val="00C91E4E"/>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91E4E"/>
    <w:rPr>
      <w:rFonts w:ascii="Calibri" w:eastAsia="Calibri" w:hAnsi="Calibri" w:cs="Times New Roman"/>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91E4E"/>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C91E4E"/>
    <w:rPr>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91E4E"/>
    <w:rPr>
      <w:vertAlign w:val="superscript"/>
    </w:rPr>
  </w:style>
  <w:style w:type="character" w:styleId="Nmerodepgina">
    <w:name w:val="page number"/>
    <w:basedOn w:val="Fuentedeprrafopredeter"/>
    <w:rsid w:val="00C91E4E"/>
  </w:style>
  <w:style w:type="paragraph" w:styleId="Textodeglobo">
    <w:name w:val="Balloon Text"/>
    <w:basedOn w:val="Normal"/>
    <w:link w:val="TextodegloboCar"/>
    <w:uiPriority w:val="99"/>
    <w:semiHidden/>
    <w:unhideWhenUsed/>
    <w:rsid w:val="00C91E4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91E4E"/>
    <w:rPr>
      <w:rFonts w:ascii="Tahoma" w:hAnsi="Tahoma" w:cs="Tahoma"/>
      <w:sz w:val="16"/>
      <w:szCs w:val="16"/>
    </w:rPr>
  </w:style>
  <w:style w:type="paragraph" w:styleId="Prrafodelista">
    <w:name w:val="List Paragraph"/>
    <w:basedOn w:val="Normal"/>
    <w:uiPriority w:val="34"/>
    <w:qFormat/>
    <w:rsid w:val="007A7444"/>
    <w:pPr>
      <w:ind w:left="720"/>
      <w:contextualSpacing/>
    </w:pPr>
  </w:style>
  <w:style w:type="paragraph" w:styleId="Textoindependiente">
    <w:name w:val="Body Text"/>
    <w:aliases w:val="Car,Car Car,Car Car Car Car,Texto independiente1,Texto independiente2,Body Text"/>
    <w:basedOn w:val="Normal"/>
    <w:link w:val="TextoindependienteCar"/>
    <w:rsid w:val="00574300"/>
    <w:pPr>
      <w:spacing w:after="0" w:line="240" w:lineRule="auto"/>
      <w:jc w:val="both"/>
    </w:pPr>
    <w:rPr>
      <w:rFonts w:ascii="Arial" w:eastAsia="Times New Roman" w:hAnsi="Arial" w:cs="Arial"/>
      <w:sz w:val="28"/>
      <w:szCs w:val="20"/>
      <w:lang w:val="es-ES_tradnl" w:eastAsia="es-ES"/>
    </w:rPr>
  </w:style>
  <w:style w:type="character" w:customStyle="1" w:styleId="TextoindependienteCar">
    <w:name w:val="Texto independiente Car"/>
    <w:aliases w:val="Car Car1,Car Car Car,Car Car Car Car Car,Texto independiente1 Car,Texto independiente2 Car,Body Text Car"/>
    <w:basedOn w:val="Fuentedeprrafopredeter"/>
    <w:link w:val="Textoindependiente"/>
    <w:rsid w:val="00574300"/>
    <w:rPr>
      <w:rFonts w:ascii="Arial" w:eastAsia="Times New Roman" w:hAnsi="Arial" w:cs="Arial"/>
      <w:sz w:val="28"/>
      <w:szCs w:val="20"/>
      <w:lang w:val="es-ES_tradnl" w:eastAsia="es-ES"/>
    </w:rPr>
  </w:style>
  <w:style w:type="paragraph" w:customStyle="1" w:styleId="Default">
    <w:name w:val="Default"/>
    <w:rsid w:val="007B63D2"/>
    <w:pPr>
      <w:autoSpaceDE w:val="0"/>
      <w:autoSpaceDN w:val="0"/>
      <w:adjustRightInd w:val="0"/>
      <w:spacing w:after="0" w:line="240" w:lineRule="auto"/>
    </w:pPr>
    <w:rPr>
      <w:rFonts w:ascii="Arial" w:hAnsi="Arial" w:cs="Arial"/>
      <w:color w:val="000000"/>
      <w:sz w:val="24"/>
      <w:szCs w:val="24"/>
    </w:rPr>
  </w:style>
  <w:style w:type="character" w:customStyle="1" w:styleId="EstiloCar">
    <w:name w:val="Estilo Car"/>
    <w:link w:val="Estilo"/>
    <w:locked/>
    <w:rsid w:val="00E22C65"/>
    <w:rPr>
      <w:rFonts w:ascii="Arial" w:hAnsi="Arial" w:cs="Arial"/>
      <w:sz w:val="24"/>
    </w:rPr>
  </w:style>
  <w:style w:type="paragraph" w:customStyle="1" w:styleId="Estilo">
    <w:name w:val="Estilo"/>
    <w:basedOn w:val="Sinespaciado"/>
    <w:link w:val="EstiloCar"/>
    <w:qFormat/>
    <w:rsid w:val="00E22C65"/>
    <w:pPr>
      <w:jc w:val="both"/>
    </w:pPr>
    <w:rPr>
      <w:rFonts w:ascii="Arial" w:eastAsiaTheme="minorHAnsi" w:hAnsi="Arial" w:cs="Arial"/>
      <w:sz w:val="24"/>
    </w:rPr>
  </w:style>
  <w:style w:type="paragraph" w:customStyle="1" w:styleId="Car1">
    <w:name w:val="Car1"/>
    <w:basedOn w:val="Normal"/>
    <w:rsid w:val="00F779F3"/>
    <w:pPr>
      <w:spacing w:after="160" w:line="240" w:lineRule="exact"/>
      <w:jc w:val="right"/>
    </w:pPr>
    <w:rPr>
      <w:rFonts w:ascii="Verdana" w:eastAsia="Times New Roman" w:hAnsi="Verdana" w:cs="Verdana"/>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137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C91E4E"/>
    <w:pPr>
      <w:tabs>
        <w:tab w:val="center" w:pos="4419"/>
        <w:tab w:val="right" w:pos="8838"/>
      </w:tabs>
      <w:spacing w:after="0" w:line="240" w:lineRule="auto"/>
    </w:pPr>
  </w:style>
  <w:style w:type="character" w:customStyle="1" w:styleId="EncabezadoCar">
    <w:name w:val="Encabezado Car"/>
    <w:basedOn w:val="Fuentedeprrafopredeter"/>
    <w:link w:val="Encabezado"/>
    <w:rsid w:val="00C91E4E"/>
  </w:style>
  <w:style w:type="paragraph" w:styleId="Piedepgina">
    <w:name w:val="footer"/>
    <w:basedOn w:val="Normal"/>
    <w:link w:val="PiedepginaCar"/>
    <w:uiPriority w:val="99"/>
    <w:unhideWhenUsed/>
    <w:rsid w:val="00C91E4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91E4E"/>
  </w:style>
  <w:style w:type="paragraph" w:styleId="Sinespaciado">
    <w:name w:val="No Spacing"/>
    <w:link w:val="SinespaciadoCar"/>
    <w:uiPriority w:val="1"/>
    <w:qFormat/>
    <w:rsid w:val="00C91E4E"/>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91E4E"/>
    <w:rPr>
      <w:rFonts w:ascii="Calibri" w:eastAsia="Calibri" w:hAnsi="Calibri" w:cs="Times New Roman"/>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unhideWhenUsed/>
    <w:rsid w:val="00C91E4E"/>
    <w:rPr>
      <w:sz w:val="20"/>
      <w:szCs w:val="20"/>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C91E4E"/>
    <w:rPr>
      <w:sz w:val="20"/>
      <w:szCs w:val="20"/>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
    <w:qFormat/>
    <w:rsid w:val="00C91E4E"/>
    <w:rPr>
      <w:vertAlign w:val="superscript"/>
    </w:rPr>
  </w:style>
  <w:style w:type="character" w:styleId="Nmerodepgina">
    <w:name w:val="page number"/>
    <w:basedOn w:val="Fuentedeprrafopredeter"/>
    <w:rsid w:val="00C91E4E"/>
  </w:style>
  <w:style w:type="paragraph" w:styleId="Textodeglobo">
    <w:name w:val="Balloon Text"/>
    <w:basedOn w:val="Normal"/>
    <w:link w:val="TextodegloboCar"/>
    <w:uiPriority w:val="99"/>
    <w:semiHidden/>
    <w:unhideWhenUsed/>
    <w:rsid w:val="00C91E4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91E4E"/>
    <w:rPr>
      <w:rFonts w:ascii="Tahoma" w:hAnsi="Tahoma" w:cs="Tahoma"/>
      <w:sz w:val="16"/>
      <w:szCs w:val="16"/>
    </w:rPr>
  </w:style>
  <w:style w:type="paragraph" w:styleId="Prrafodelista">
    <w:name w:val="List Paragraph"/>
    <w:basedOn w:val="Normal"/>
    <w:uiPriority w:val="34"/>
    <w:qFormat/>
    <w:rsid w:val="007A7444"/>
    <w:pPr>
      <w:ind w:left="720"/>
      <w:contextualSpacing/>
    </w:pPr>
  </w:style>
  <w:style w:type="paragraph" w:styleId="Textoindependiente">
    <w:name w:val="Body Text"/>
    <w:aliases w:val="Car,Car Car,Car Car Car Car,Texto independiente1,Texto independiente2,Body Text"/>
    <w:basedOn w:val="Normal"/>
    <w:link w:val="TextoindependienteCar"/>
    <w:rsid w:val="00574300"/>
    <w:pPr>
      <w:spacing w:after="0" w:line="240" w:lineRule="auto"/>
      <w:jc w:val="both"/>
    </w:pPr>
    <w:rPr>
      <w:rFonts w:ascii="Arial" w:eastAsia="Times New Roman" w:hAnsi="Arial" w:cs="Arial"/>
      <w:sz w:val="28"/>
      <w:szCs w:val="20"/>
      <w:lang w:val="es-ES_tradnl" w:eastAsia="es-ES"/>
    </w:rPr>
  </w:style>
  <w:style w:type="character" w:customStyle="1" w:styleId="TextoindependienteCar">
    <w:name w:val="Texto independiente Car"/>
    <w:aliases w:val="Car Car1,Car Car Car,Car Car Car Car Car,Texto independiente1 Car,Texto independiente2 Car,Body Text Car"/>
    <w:basedOn w:val="Fuentedeprrafopredeter"/>
    <w:link w:val="Textoindependiente"/>
    <w:rsid w:val="00574300"/>
    <w:rPr>
      <w:rFonts w:ascii="Arial" w:eastAsia="Times New Roman" w:hAnsi="Arial" w:cs="Arial"/>
      <w:sz w:val="28"/>
      <w:szCs w:val="20"/>
      <w:lang w:val="es-ES_tradnl" w:eastAsia="es-ES"/>
    </w:rPr>
  </w:style>
  <w:style w:type="paragraph" w:customStyle="1" w:styleId="Default">
    <w:name w:val="Default"/>
    <w:rsid w:val="007B63D2"/>
    <w:pPr>
      <w:autoSpaceDE w:val="0"/>
      <w:autoSpaceDN w:val="0"/>
      <w:adjustRightInd w:val="0"/>
      <w:spacing w:after="0" w:line="240" w:lineRule="auto"/>
    </w:pPr>
    <w:rPr>
      <w:rFonts w:ascii="Arial" w:hAnsi="Arial" w:cs="Arial"/>
      <w:color w:val="000000"/>
      <w:sz w:val="24"/>
      <w:szCs w:val="24"/>
    </w:rPr>
  </w:style>
  <w:style w:type="character" w:customStyle="1" w:styleId="EstiloCar">
    <w:name w:val="Estilo Car"/>
    <w:link w:val="Estilo"/>
    <w:locked/>
    <w:rsid w:val="00E22C65"/>
    <w:rPr>
      <w:rFonts w:ascii="Arial" w:hAnsi="Arial" w:cs="Arial"/>
      <w:sz w:val="24"/>
    </w:rPr>
  </w:style>
  <w:style w:type="paragraph" w:customStyle="1" w:styleId="Estilo">
    <w:name w:val="Estilo"/>
    <w:basedOn w:val="Sinespaciado"/>
    <w:link w:val="EstiloCar"/>
    <w:qFormat/>
    <w:rsid w:val="00E22C65"/>
    <w:pPr>
      <w:jc w:val="both"/>
    </w:pPr>
    <w:rPr>
      <w:rFonts w:ascii="Arial" w:eastAsiaTheme="minorHAnsi" w:hAnsi="Arial" w:cs="Arial"/>
      <w:sz w:val="24"/>
    </w:rPr>
  </w:style>
  <w:style w:type="paragraph" w:customStyle="1" w:styleId="Car1">
    <w:name w:val="Car1"/>
    <w:basedOn w:val="Normal"/>
    <w:rsid w:val="00F779F3"/>
    <w:pPr>
      <w:spacing w:after="160" w:line="240" w:lineRule="exact"/>
      <w:jc w:val="right"/>
    </w:pPr>
    <w:rPr>
      <w:rFonts w:ascii="Verdana" w:eastAsia="Times New Roman" w:hAnsi="Verdana" w:cs="Verdana"/>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930798">
      <w:bodyDiv w:val="1"/>
      <w:marLeft w:val="0"/>
      <w:marRight w:val="0"/>
      <w:marTop w:val="0"/>
      <w:marBottom w:val="0"/>
      <w:divBdr>
        <w:top w:val="none" w:sz="0" w:space="0" w:color="auto"/>
        <w:left w:val="none" w:sz="0" w:space="0" w:color="auto"/>
        <w:bottom w:val="none" w:sz="0" w:space="0" w:color="auto"/>
        <w:right w:val="none" w:sz="0" w:space="0" w:color="auto"/>
      </w:divBdr>
    </w:div>
    <w:div w:id="99035371">
      <w:bodyDiv w:val="1"/>
      <w:marLeft w:val="0"/>
      <w:marRight w:val="0"/>
      <w:marTop w:val="0"/>
      <w:marBottom w:val="0"/>
      <w:divBdr>
        <w:top w:val="none" w:sz="0" w:space="0" w:color="auto"/>
        <w:left w:val="none" w:sz="0" w:space="0" w:color="auto"/>
        <w:bottom w:val="none" w:sz="0" w:space="0" w:color="auto"/>
        <w:right w:val="none" w:sz="0" w:space="0" w:color="auto"/>
      </w:divBdr>
    </w:div>
    <w:div w:id="121966439">
      <w:bodyDiv w:val="1"/>
      <w:marLeft w:val="0"/>
      <w:marRight w:val="0"/>
      <w:marTop w:val="0"/>
      <w:marBottom w:val="0"/>
      <w:divBdr>
        <w:top w:val="none" w:sz="0" w:space="0" w:color="auto"/>
        <w:left w:val="none" w:sz="0" w:space="0" w:color="auto"/>
        <w:bottom w:val="none" w:sz="0" w:space="0" w:color="auto"/>
        <w:right w:val="none" w:sz="0" w:space="0" w:color="auto"/>
      </w:divBdr>
    </w:div>
    <w:div w:id="198276021">
      <w:bodyDiv w:val="1"/>
      <w:marLeft w:val="0"/>
      <w:marRight w:val="0"/>
      <w:marTop w:val="0"/>
      <w:marBottom w:val="0"/>
      <w:divBdr>
        <w:top w:val="none" w:sz="0" w:space="0" w:color="auto"/>
        <w:left w:val="none" w:sz="0" w:space="0" w:color="auto"/>
        <w:bottom w:val="none" w:sz="0" w:space="0" w:color="auto"/>
        <w:right w:val="none" w:sz="0" w:space="0" w:color="auto"/>
      </w:divBdr>
    </w:div>
    <w:div w:id="227543023">
      <w:bodyDiv w:val="1"/>
      <w:marLeft w:val="0"/>
      <w:marRight w:val="0"/>
      <w:marTop w:val="0"/>
      <w:marBottom w:val="0"/>
      <w:divBdr>
        <w:top w:val="none" w:sz="0" w:space="0" w:color="auto"/>
        <w:left w:val="none" w:sz="0" w:space="0" w:color="auto"/>
        <w:bottom w:val="none" w:sz="0" w:space="0" w:color="auto"/>
        <w:right w:val="none" w:sz="0" w:space="0" w:color="auto"/>
      </w:divBdr>
    </w:div>
    <w:div w:id="400256945">
      <w:bodyDiv w:val="1"/>
      <w:marLeft w:val="0"/>
      <w:marRight w:val="0"/>
      <w:marTop w:val="0"/>
      <w:marBottom w:val="0"/>
      <w:divBdr>
        <w:top w:val="none" w:sz="0" w:space="0" w:color="auto"/>
        <w:left w:val="none" w:sz="0" w:space="0" w:color="auto"/>
        <w:bottom w:val="none" w:sz="0" w:space="0" w:color="auto"/>
        <w:right w:val="none" w:sz="0" w:space="0" w:color="auto"/>
      </w:divBdr>
    </w:div>
    <w:div w:id="431701984">
      <w:bodyDiv w:val="1"/>
      <w:marLeft w:val="0"/>
      <w:marRight w:val="0"/>
      <w:marTop w:val="0"/>
      <w:marBottom w:val="0"/>
      <w:divBdr>
        <w:top w:val="none" w:sz="0" w:space="0" w:color="auto"/>
        <w:left w:val="none" w:sz="0" w:space="0" w:color="auto"/>
        <w:bottom w:val="none" w:sz="0" w:space="0" w:color="auto"/>
        <w:right w:val="none" w:sz="0" w:space="0" w:color="auto"/>
      </w:divBdr>
    </w:div>
    <w:div w:id="604308932">
      <w:bodyDiv w:val="1"/>
      <w:marLeft w:val="0"/>
      <w:marRight w:val="0"/>
      <w:marTop w:val="0"/>
      <w:marBottom w:val="0"/>
      <w:divBdr>
        <w:top w:val="none" w:sz="0" w:space="0" w:color="auto"/>
        <w:left w:val="none" w:sz="0" w:space="0" w:color="auto"/>
        <w:bottom w:val="none" w:sz="0" w:space="0" w:color="auto"/>
        <w:right w:val="none" w:sz="0" w:space="0" w:color="auto"/>
      </w:divBdr>
    </w:div>
    <w:div w:id="741834545">
      <w:bodyDiv w:val="1"/>
      <w:marLeft w:val="0"/>
      <w:marRight w:val="0"/>
      <w:marTop w:val="0"/>
      <w:marBottom w:val="0"/>
      <w:divBdr>
        <w:top w:val="none" w:sz="0" w:space="0" w:color="auto"/>
        <w:left w:val="none" w:sz="0" w:space="0" w:color="auto"/>
        <w:bottom w:val="none" w:sz="0" w:space="0" w:color="auto"/>
        <w:right w:val="none" w:sz="0" w:space="0" w:color="auto"/>
      </w:divBdr>
    </w:div>
    <w:div w:id="896090950">
      <w:bodyDiv w:val="1"/>
      <w:marLeft w:val="0"/>
      <w:marRight w:val="0"/>
      <w:marTop w:val="0"/>
      <w:marBottom w:val="0"/>
      <w:divBdr>
        <w:top w:val="none" w:sz="0" w:space="0" w:color="auto"/>
        <w:left w:val="none" w:sz="0" w:space="0" w:color="auto"/>
        <w:bottom w:val="none" w:sz="0" w:space="0" w:color="auto"/>
        <w:right w:val="none" w:sz="0" w:space="0" w:color="auto"/>
      </w:divBdr>
    </w:div>
    <w:div w:id="903760949">
      <w:bodyDiv w:val="1"/>
      <w:marLeft w:val="0"/>
      <w:marRight w:val="0"/>
      <w:marTop w:val="0"/>
      <w:marBottom w:val="0"/>
      <w:divBdr>
        <w:top w:val="none" w:sz="0" w:space="0" w:color="auto"/>
        <w:left w:val="none" w:sz="0" w:space="0" w:color="auto"/>
        <w:bottom w:val="none" w:sz="0" w:space="0" w:color="auto"/>
        <w:right w:val="none" w:sz="0" w:space="0" w:color="auto"/>
      </w:divBdr>
    </w:div>
    <w:div w:id="909315709">
      <w:bodyDiv w:val="1"/>
      <w:marLeft w:val="0"/>
      <w:marRight w:val="0"/>
      <w:marTop w:val="0"/>
      <w:marBottom w:val="0"/>
      <w:divBdr>
        <w:top w:val="none" w:sz="0" w:space="0" w:color="auto"/>
        <w:left w:val="none" w:sz="0" w:space="0" w:color="auto"/>
        <w:bottom w:val="none" w:sz="0" w:space="0" w:color="auto"/>
        <w:right w:val="none" w:sz="0" w:space="0" w:color="auto"/>
      </w:divBdr>
    </w:div>
    <w:div w:id="945961194">
      <w:bodyDiv w:val="1"/>
      <w:marLeft w:val="0"/>
      <w:marRight w:val="0"/>
      <w:marTop w:val="0"/>
      <w:marBottom w:val="0"/>
      <w:divBdr>
        <w:top w:val="none" w:sz="0" w:space="0" w:color="auto"/>
        <w:left w:val="none" w:sz="0" w:space="0" w:color="auto"/>
        <w:bottom w:val="none" w:sz="0" w:space="0" w:color="auto"/>
        <w:right w:val="none" w:sz="0" w:space="0" w:color="auto"/>
      </w:divBdr>
    </w:div>
    <w:div w:id="981080648">
      <w:bodyDiv w:val="1"/>
      <w:marLeft w:val="0"/>
      <w:marRight w:val="0"/>
      <w:marTop w:val="0"/>
      <w:marBottom w:val="0"/>
      <w:divBdr>
        <w:top w:val="none" w:sz="0" w:space="0" w:color="auto"/>
        <w:left w:val="none" w:sz="0" w:space="0" w:color="auto"/>
        <w:bottom w:val="none" w:sz="0" w:space="0" w:color="auto"/>
        <w:right w:val="none" w:sz="0" w:space="0" w:color="auto"/>
      </w:divBdr>
    </w:div>
    <w:div w:id="1106660927">
      <w:bodyDiv w:val="1"/>
      <w:marLeft w:val="0"/>
      <w:marRight w:val="0"/>
      <w:marTop w:val="0"/>
      <w:marBottom w:val="0"/>
      <w:divBdr>
        <w:top w:val="none" w:sz="0" w:space="0" w:color="auto"/>
        <w:left w:val="none" w:sz="0" w:space="0" w:color="auto"/>
        <w:bottom w:val="none" w:sz="0" w:space="0" w:color="auto"/>
        <w:right w:val="none" w:sz="0" w:space="0" w:color="auto"/>
      </w:divBdr>
    </w:div>
    <w:div w:id="1122386253">
      <w:bodyDiv w:val="1"/>
      <w:marLeft w:val="0"/>
      <w:marRight w:val="0"/>
      <w:marTop w:val="0"/>
      <w:marBottom w:val="0"/>
      <w:divBdr>
        <w:top w:val="none" w:sz="0" w:space="0" w:color="auto"/>
        <w:left w:val="none" w:sz="0" w:space="0" w:color="auto"/>
        <w:bottom w:val="none" w:sz="0" w:space="0" w:color="auto"/>
        <w:right w:val="none" w:sz="0" w:space="0" w:color="auto"/>
      </w:divBdr>
    </w:div>
    <w:div w:id="1152478663">
      <w:bodyDiv w:val="1"/>
      <w:marLeft w:val="0"/>
      <w:marRight w:val="0"/>
      <w:marTop w:val="0"/>
      <w:marBottom w:val="0"/>
      <w:divBdr>
        <w:top w:val="none" w:sz="0" w:space="0" w:color="auto"/>
        <w:left w:val="none" w:sz="0" w:space="0" w:color="auto"/>
        <w:bottom w:val="none" w:sz="0" w:space="0" w:color="auto"/>
        <w:right w:val="none" w:sz="0" w:space="0" w:color="auto"/>
      </w:divBdr>
    </w:div>
    <w:div w:id="1199389843">
      <w:bodyDiv w:val="1"/>
      <w:marLeft w:val="0"/>
      <w:marRight w:val="0"/>
      <w:marTop w:val="0"/>
      <w:marBottom w:val="0"/>
      <w:divBdr>
        <w:top w:val="none" w:sz="0" w:space="0" w:color="auto"/>
        <w:left w:val="none" w:sz="0" w:space="0" w:color="auto"/>
        <w:bottom w:val="none" w:sz="0" w:space="0" w:color="auto"/>
        <w:right w:val="none" w:sz="0" w:space="0" w:color="auto"/>
      </w:divBdr>
    </w:div>
    <w:div w:id="1292204065">
      <w:bodyDiv w:val="1"/>
      <w:marLeft w:val="0"/>
      <w:marRight w:val="0"/>
      <w:marTop w:val="0"/>
      <w:marBottom w:val="0"/>
      <w:divBdr>
        <w:top w:val="none" w:sz="0" w:space="0" w:color="auto"/>
        <w:left w:val="none" w:sz="0" w:space="0" w:color="auto"/>
        <w:bottom w:val="none" w:sz="0" w:space="0" w:color="auto"/>
        <w:right w:val="none" w:sz="0" w:space="0" w:color="auto"/>
      </w:divBdr>
    </w:div>
    <w:div w:id="1396196477">
      <w:bodyDiv w:val="1"/>
      <w:marLeft w:val="0"/>
      <w:marRight w:val="0"/>
      <w:marTop w:val="0"/>
      <w:marBottom w:val="0"/>
      <w:divBdr>
        <w:top w:val="none" w:sz="0" w:space="0" w:color="auto"/>
        <w:left w:val="none" w:sz="0" w:space="0" w:color="auto"/>
        <w:bottom w:val="none" w:sz="0" w:space="0" w:color="auto"/>
        <w:right w:val="none" w:sz="0" w:space="0" w:color="auto"/>
      </w:divBdr>
    </w:div>
    <w:div w:id="1417701642">
      <w:bodyDiv w:val="1"/>
      <w:marLeft w:val="0"/>
      <w:marRight w:val="0"/>
      <w:marTop w:val="0"/>
      <w:marBottom w:val="0"/>
      <w:divBdr>
        <w:top w:val="none" w:sz="0" w:space="0" w:color="auto"/>
        <w:left w:val="none" w:sz="0" w:space="0" w:color="auto"/>
        <w:bottom w:val="none" w:sz="0" w:space="0" w:color="auto"/>
        <w:right w:val="none" w:sz="0" w:space="0" w:color="auto"/>
      </w:divBdr>
    </w:div>
    <w:div w:id="1470130836">
      <w:bodyDiv w:val="1"/>
      <w:marLeft w:val="0"/>
      <w:marRight w:val="0"/>
      <w:marTop w:val="0"/>
      <w:marBottom w:val="0"/>
      <w:divBdr>
        <w:top w:val="none" w:sz="0" w:space="0" w:color="auto"/>
        <w:left w:val="none" w:sz="0" w:space="0" w:color="auto"/>
        <w:bottom w:val="none" w:sz="0" w:space="0" w:color="auto"/>
        <w:right w:val="none" w:sz="0" w:space="0" w:color="auto"/>
      </w:divBdr>
    </w:div>
    <w:div w:id="1566719755">
      <w:bodyDiv w:val="1"/>
      <w:marLeft w:val="0"/>
      <w:marRight w:val="0"/>
      <w:marTop w:val="0"/>
      <w:marBottom w:val="0"/>
      <w:divBdr>
        <w:top w:val="none" w:sz="0" w:space="0" w:color="auto"/>
        <w:left w:val="none" w:sz="0" w:space="0" w:color="auto"/>
        <w:bottom w:val="none" w:sz="0" w:space="0" w:color="auto"/>
        <w:right w:val="none" w:sz="0" w:space="0" w:color="auto"/>
      </w:divBdr>
    </w:div>
    <w:div w:id="1676028225">
      <w:bodyDiv w:val="1"/>
      <w:marLeft w:val="0"/>
      <w:marRight w:val="0"/>
      <w:marTop w:val="0"/>
      <w:marBottom w:val="0"/>
      <w:divBdr>
        <w:top w:val="none" w:sz="0" w:space="0" w:color="auto"/>
        <w:left w:val="none" w:sz="0" w:space="0" w:color="auto"/>
        <w:bottom w:val="none" w:sz="0" w:space="0" w:color="auto"/>
        <w:right w:val="none" w:sz="0" w:space="0" w:color="auto"/>
      </w:divBdr>
    </w:div>
    <w:div w:id="1692294246">
      <w:bodyDiv w:val="1"/>
      <w:marLeft w:val="0"/>
      <w:marRight w:val="0"/>
      <w:marTop w:val="0"/>
      <w:marBottom w:val="0"/>
      <w:divBdr>
        <w:top w:val="none" w:sz="0" w:space="0" w:color="auto"/>
        <w:left w:val="none" w:sz="0" w:space="0" w:color="auto"/>
        <w:bottom w:val="none" w:sz="0" w:space="0" w:color="auto"/>
        <w:right w:val="none" w:sz="0" w:space="0" w:color="auto"/>
      </w:divBdr>
    </w:div>
    <w:div w:id="1803307671">
      <w:bodyDiv w:val="1"/>
      <w:marLeft w:val="0"/>
      <w:marRight w:val="0"/>
      <w:marTop w:val="0"/>
      <w:marBottom w:val="0"/>
      <w:divBdr>
        <w:top w:val="none" w:sz="0" w:space="0" w:color="auto"/>
        <w:left w:val="none" w:sz="0" w:space="0" w:color="auto"/>
        <w:bottom w:val="none" w:sz="0" w:space="0" w:color="auto"/>
        <w:right w:val="none" w:sz="0" w:space="0" w:color="auto"/>
      </w:divBdr>
    </w:div>
    <w:div w:id="1808936473">
      <w:bodyDiv w:val="1"/>
      <w:marLeft w:val="0"/>
      <w:marRight w:val="0"/>
      <w:marTop w:val="0"/>
      <w:marBottom w:val="0"/>
      <w:divBdr>
        <w:top w:val="none" w:sz="0" w:space="0" w:color="auto"/>
        <w:left w:val="none" w:sz="0" w:space="0" w:color="auto"/>
        <w:bottom w:val="none" w:sz="0" w:space="0" w:color="auto"/>
        <w:right w:val="none" w:sz="0" w:space="0" w:color="auto"/>
      </w:divBdr>
    </w:div>
    <w:div w:id="1820686526">
      <w:bodyDiv w:val="1"/>
      <w:marLeft w:val="0"/>
      <w:marRight w:val="0"/>
      <w:marTop w:val="0"/>
      <w:marBottom w:val="0"/>
      <w:divBdr>
        <w:top w:val="none" w:sz="0" w:space="0" w:color="auto"/>
        <w:left w:val="none" w:sz="0" w:space="0" w:color="auto"/>
        <w:bottom w:val="none" w:sz="0" w:space="0" w:color="auto"/>
        <w:right w:val="none" w:sz="0" w:space="0" w:color="auto"/>
      </w:divBdr>
    </w:div>
    <w:div w:id="1962225372">
      <w:bodyDiv w:val="1"/>
      <w:marLeft w:val="0"/>
      <w:marRight w:val="0"/>
      <w:marTop w:val="0"/>
      <w:marBottom w:val="0"/>
      <w:divBdr>
        <w:top w:val="none" w:sz="0" w:space="0" w:color="auto"/>
        <w:left w:val="none" w:sz="0" w:space="0" w:color="auto"/>
        <w:bottom w:val="none" w:sz="0" w:space="0" w:color="auto"/>
        <w:right w:val="none" w:sz="0" w:space="0" w:color="auto"/>
      </w:divBdr>
    </w:div>
    <w:div w:id="1974363842">
      <w:bodyDiv w:val="1"/>
      <w:marLeft w:val="0"/>
      <w:marRight w:val="0"/>
      <w:marTop w:val="0"/>
      <w:marBottom w:val="0"/>
      <w:divBdr>
        <w:top w:val="none" w:sz="0" w:space="0" w:color="auto"/>
        <w:left w:val="none" w:sz="0" w:space="0" w:color="auto"/>
        <w:bottom w:val="none" w:sz="0" w:space="0" w:color="auto"/>
        <w:right w:val="none" w:sz="0" w:space="0" w:color="auto"/>
      </w:divBdr>
    </w:div>
    <w:div w:id="2068912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C5C359-DB26-4504-9DC3-3A40D93BCA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27</Pages>
  <Words>10719</Words>
  <Characters>58960</Characters>
  <Application>Microsoft Office Word</Application>
  <DocSecurity>0</DocSecurity>
  <Lines>491</Lines>
  <Paragraphs>139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69540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ADRIAN</cp:lastModifiedBy>
  <cp:revision>2</cp:revision>
  <cp:lastPrinted>2022-01-20T19:55:00Z</cp:lastPrinted>
  <dcterms:created xsi:type="dcterms:W3CDTF">2022-01-20T19:59:00Z</dcterms:created>
  <dcterms:modified xsi:type="dcterms:W3CDTF">2022-01-20T19:59:00Z</dcterms:modified>
</cp:coreProperties>
</file>