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CEE" w:rsidRPr="006F6CEE" w:rsidRDefault="004A782F" w:rsidP="006F6CEE">
      <w:pPr>
        <w:jc w:val="center"/>
        <w:rPr>
          <w:b/>
          <w:sz w:val="24"/>
        </w:rPr>
      </w:pPr>
      <w:r w:rsidRPr="006F6CEE">
        <w:rPr>
          <w:b/>
          <w:sz w:val="24"/>
        </w:rPr>
        <w:t>LEY GENERAL DE TRANSPARENCIA Y</w:t>
      </w:r>
      <w:r w:rsidR="006F6CEE" w:rsidRPr="006F6CEE">
        <w:rPr>
          <w:b/>
          <w:sz w:val="24"/>
        </w:rPr>
        <w:t>"</w:t>
      </w:r>
    </w:p>
    <w:p w:rsidR="006F6CEE" w:rsidRPr="006F6CEE" w:rsidRDefault="006F6CEE" w:rsidP="006F6CEE">
      <w:pPr>
        <w:jc w:val="center"/>
        <w:rPr>
          <w:b/>
          <w:sz w:val="24"/>
        </w:rPr>
      </w:pPr>
      <w:r w:rsidRPr="006F6CEE">
        <w:rPr>
          <w:b/>
          <w:sz w:val="24"/>
        </w:rPr>
        <w:t>EL CONGRESO GENERAL DE LOS ESTADOS UNIDOS MEXICANOS, DECRETA:</w:t>
      </w:r>
    </w:p>
    <w:p w:rsidR="006F6CEE" w:rsidRPr="006F6CEE" w:rsidRDefault="006F6CEE" w:rsidP="006F6CEE">
      <w:pPr>
        <w:jc w:val="center"/>
        <w:rPr>
          <w:sz w:val="24"/>
        </w:rPr>
      </w:pPr>
      <w:r w:rsidRPr="006F6CEE">
        <w:rPr>
          <w:sz w:val="24"/>
        </w:rPr>
        <w:t>Artículo Único.- Se expide la Ley General de Transparencia y Acceso a la Información Pública.</w:t>
      </w:r>
    </w:p>
    <w:p w:rsidR="006F6CEE" w:rsidRPr="006F6CEE" w:rsidRDefault="006F6CEE" w:rsidP="006F6CEE">
      <w:pPr>
        <w:jc w:val="center"/>
        <w:rPr>
          <w:b/>
          <w:sz w:val="24"/>
        </w:rPr>
      </w:pPr>
      <w:r w:rsidRPr="006F6CEE">
        <w:rPr>
          <w:b/>
          <w:sz w:val="24"/>
        </w:rPr>
        <w:t>LEY GENERAL DE TRANSPARENCIA Y ACCESO A LA INFORMACIÓN PÚBLICA</w:t>
      </w:r>
      <w:r w:rsidR="004A782F" w:rsidRPr="006F6CEE">
        <w:rPr>
          <w:b/>
          <w:sz w:val="24"/>
        </w:rPr>
        <w:t xml:space="preserve"> ACCESO A LA INFORMACION </w:t>
      </w:r>
      <w:r w:rsidRPr="006F6CEE">
        <w:rPr>
          <w:b/>
          <w:sz w:val="24"/>
        </w:rPr>
        <w:t>PÚBLICA</w:t>
      </w:r>
    </w:p>
    <w:p w:rsidR="0070677E" w:rsidRDefault="006F6CEE" w:rsidP="006F6CEE">
      <w:pPr>
        <w:jc w:val="center"/>
        <w:rPr>
          <w:b/>
          <w:sz w:val="24"/>
        </w:rPr>
      </w:pPr>
      <w:r w:rsidRPr="006F6CEE">
        <w:rPr>
          <w:b/>
          <w:sz w:val="24"/>
        </w:rPr>
        <w:t>Artículo 1.</w:t>
      </w:r>
    </w:p>
    <w:p w:rsidR="006F6CEE" w:rsidRPr="006F6CEE" w:rsidRDefault="006F6CEE" w:rsidP="006F6CEE">
      <w:pPr>
        <w:jc w:val="center"/>
        <w:rPr>
          <w:sz w:val="24"/>
        </w:rPr>
      </w:pPr>
      <w:r w:rsidRPr="006F6CEE">
        <w:rPr>
          <w:sz w:val="24"/>
        </w:rPr>
        <w:t xml:space="preserve"> La presente Ley es de orden público y de observancia general en toda la República, es reglamentaria del artículo 6o. de la Constitución Política de los Estados Unidos Mexicanos, en materia de transparencia y acceso a la información.</w:t>
      </w:r>
    </w:p>
    <w:p w:rsidR="006F6CEE" w:rsidRPr="006F6CEE" w:rsidRDefault="006F6CEE" w:rsidP="006F6CEE">
      <w:pPr>
        <w:jc w:val="center"/>
        <w:rPr>
          <w:sz w:val="24"/>
        </w:rPr>
      </w:pPr>
      <w:r w:rsidRPr="006F6CEE">
        <w:rPr>
          <w:sz w:val="24"/>
        </w:rPr>
        <w:t>Tiene por objeto establecer los principios, bases generales y procedimientos para garantizar el derecho de acceso a la información en posesión de cualquier autoridad, entidad, órgano y organismo de los poderes Legislativo, Ejecutivo y Judicial, órganos autónomos, partidos políticos, fideicomisos y fondos públicos, así como de cualquier persona física, moral o sindicato que reciba y ejerza recursos públicos o realice actos de autoridad de la Federación, las Entidades Federativas y los municipios.</w:t>
      </w:r>
    </w:p>
    <w:p w:rsidR="006F6CEE" w:rsidRPr="006F6CEE" w:rsidRDefault="006F6CEE" w:rsidP="006F6CEE">
      <w:pPr>
        <w:jc w:val="center"/>
        <w:rPr>
          <w:b/>
          <w:sz w:val="24"/>
        </w:rPr>
      </w:pPr>
      <w:r w:rsidRPr="006F6CEE">
        <w:rPr>
          <w:b/>
          <w:sz w:val="24"/>
        </w:rPr>
        <w:t xml:space="preserve"> </w:t>
      </w:r>
      <w:r w:rsidRPr="006F6CEE">
        <w:rPr>
          <w:b/>
          <w:sz w:val="24"/>
        </w:rPr>
        <w:t>Artículo 2. Son objetivos de esta Ley:</w:t>
      </w:r>
    </w:p>
    <w:p w:rsidR="006F6CEE" w:rsidRPr="006F6CEE" w:rsidRDefault="006F6CEE" w:rsidP="006F6CEE">
      <w:pPr>
        <w:jc w:val="center"/>
        <w:rPr>
          <w:sz w:val="24"/>
        </w:rPr>
      </w:pPr>
      <w:r w:rsidRPr="0070677E">
        <w:rPr>
          <w:b/>
          <w:sz w:val="24"/>
        </w:rPr>
        <w:t xml:space="preserve"> I</w:t>
      </w:r>
      <w:r w:rsidRPr="006F6CEE">
        <w:rPr>
          <w:sz w:val="24"/>
        </w:rPr>
        <w:t>. Distribuir competencias entre los Organismos garantes de la Federación y las Entidades Federativas, en materia de transparencia y acceso a la información;</w:t>
      </w:r>
    </w:p>
    <w:p w:rsidR="006F6CEE" w:rsidRPr="006F6CEE" w:rsidRDefault="006F6CEE" w:rsidP="006F6CEE">
      <w:pPr>
        <w:jc w:val="center"/>
        <w:rPr>
          <w:sz w:val="24"/>
        </w:rPr>
      </w:pPr>
      <w:r w:rsidRPr="0070677E">
        <w:rPr>
          <w:b/>
          <w:sz w:val="24"/>
        </w:rPr>
        <w:t xml:space="preserve"> II.</w:t>
      </w:r>
      <w:r w:rsidRPr="006F6CEE">
        <w:rPr>
          <w:sz w:val="24"/>
        </w:rPr>
        <w:t xml:space="preserve"> Establecer las bases mínimas que regirán los procedimientos para garantizar el ejercicio del derecho de acceso a la información;</w:t>
      </w:r>
    </w:p>
    <w:p w:rsidR="006F6CEE" w:rsidRPr="006F6CEE" w:rsidRDefault="006F6CEE" w:rsidP="006F6CEE">
      <w:pPr>
        <w:jc w:val="center"/>
        <w:rPr>
          <w:sz w:val="24"/>
        </w:rPr>
      </w:pPr>
      <w:r w:rsidRPr="0070677E">
        <w:rPr>
          <w:b/>
          <w:sz w:val="24"/>
        </w:rPr>
        <w:t xml:space="preserve"> III.</w:t>
      </w:r>
      <w:r w:rsidRPr="006F6CEE">
        <w:rPr>
          <w:sz w:val="24"/>
        </w:rPr>
        <w:t xml:space="preserve"> Establecer procedimientos y condiciones homogéneas en el ejercicio del derecho de acceso a la información, mediante procedimientos sencillos y expeditos;</w:t>
      </w:r>
    </w:p>
    <w:p w:rsidR="00EC6619" w:rsidRDefault="006F6CEE" w:rsidP="006F6CEE">
      <w:pPr>
        <w:jc w:val="center"/>
        <w:rPr>
          <w:sz w:val="24"/>
        </w:rPr>
      </w:pPr>
      <w:r w:rsidRPr="0070677E">
        <w:rPr>
          <w:b/>
          <w:sz w:val="24"/>
        </w:rPr>
        <w:t xml:space="preserve"> IV</w:t>
      </w:r>
      <w:r w:rsidRPr="006F6CEE">
        <w:rPr>
          <w:sz w:val="24"/>
        </w:rPr>
        <w:t>. Regular los medios de impugnación y procedimientos para la interposición de acciones de inconstitucionalidad y controversias constitucionales por parte de los Organismos garantes;</w:t>
      </w:r>
    </w:p>
    <w:p w:rsidR="006F6CEE" w:rsidRDefault="006F6CEE" w:rsidP="006F6CEE">
      <w:pPr>
        <w:jc w:val="center"/>
        <w:rPr>
          <w:sz w:val="24"/>
        </w:rPr>
      </w:pPr>
    </w:p>
    <w:p w:rsidR="006F6CEE" w:rsidRDefault="006F6CEE" w:rsidP="006F6CEE">
      <w:pPr>
        <w:jc w:val="center"/>
        <w:rPr>
          <w:sz w:val="24"/>
        </w:rPr>
      </w:pPr>
    </w:p>
    <w:p w:rsidR="006F6CEE" w:rsidRDefault="006F6CEE" w:rsidP="006F6CEE">
      <w:pPr>
        <w:jc w:val="center"/>
        <w:rPr>
          <w:sz w:val="24"/>
        </w:rPr>
      </w:pPr>
    </w:p>
    <w:p w:rsidR="0070677E" w:rsidRDefault="006F6CEE" w:rsidP="006F6CEE">
      <w:pPr>
        <w:jc w:val="center"/>
      </w:pPr>
      <w:r w:rsidRPr="0070677E">
        <w:rPr>
          <w:b/>
        </w:rPr>
        <w:t>V.</w:t>
      </w:r>
      <w:r>
        <w:t xml:space="preserve"> Establecer las bases y la información de interés público que se debe difundir proactivamente; </w:t>
      </w:r>
    </w:p>
    <w:p w:rsidR="006F6CEE" w:rsidRDefault="006F6CEE" w:rsidP="006F6CEE">
      <w:pPr>
        <w:jc w:val="center"/>
      </w:pPr>
      <w:r w:rsidRPr="0070677E">
        <w:rPr>
          <w:b/>
        </w:rPr>
        <w:t>VI</w:t>
      </w:r>
      <w:r>
        <w:t>. Regular la organización y funcionamiento del Sistema Nacional de Transparencia, Acceso a la Información y Protección de Datos Personales, así como establecer las bases de coordinación entre sus integrantes;</w:t>
      </w:r>
    </w:p>
    <w:p w:rsidR="0070677E" w:rsidRDefault="006F6CEE" w:rsidP="006F6CEE">
      <w:pPr>
        <w:jc w:val="center"/>
      </w:pPr>
      <w:r w:rsidRPr="0070677E">
        <w:rPr>
          <w:b/>
        </w:rPr>
        <w:t xml:space="preserve"> VII</w:t>
      </w:r>
      <w:r>
        <w:t>. Promover, fomentar y difundir la cultura de la transparencia en el ejercicio de la función pública, el acceso a la información, la participación ciudadana, así como la rendición de cuentas, a través del establecimiento de políticas públicas y mecanismos que garanticen la publicidad de información oportuna, verificable, comprensible, actualizada y completa, que se difunda en los formatos más adecuados y accesibles para todo el público y atendiendo en todo momento las condiciones sociales, económicas y culturales de cada región;</w:t>
      </w:r>
    </w:p>
    <w:p w:rsidR="0070677E" w:rsidRDefault="006F6CEE" w:rsidP="006F6CEE">
      <w:pPr>
        <w:jc w:val="center"/>
      </w:pPr>
      <w:r w:rsidRPr="0070677E">
        <w:rPr>
          <w:b/>
        </w:rPr>
        <w:t xml:space="preserve"> VIII</w:t>
      </w:r>
      <w:r>
        <w:t>. Propiciar la participación ciudadana en la toma de decisiones públicas a fin de contribuir a la consolidación de la democracia, y</w:t>
      </w:r>
    </w:p>
    <w:p w:rsidR="0070677E" w:rsidRDefault="006F6CEE" w:rsidP="006F6CEE">
      <w:pPr>
        <w:jc w:val="center"/>
      </w:pPr>
      <w:r w:rsidRPr="0070677E">
        <w:rPr>
          <w:b/>
        </w:rPr>
        <w:t xml:space="preserve"> IX</w:t>
      </w:r>
      <w:r>
        <w:t>. Establecer los mecanismos para garantizar el cumplimiento y la efectiva aplicación de las medidas de apremio y las sanciones</w:t>
      </w:r>
    </w:p>
    <w:p w:rsidR="00522DD0" w:rsidRPr="00522DD0" w:rsidRDefault="006F6CEE" w:rsidP="006F6CEE">
      <w:pPr>
        <w:jc w:val="center"/>
        <w:rPr>
          <w:b/>
        </w:rPr>
      </w:pPr>
      <w:r w:rsidRPr="00522DD0">
        <w:rPr>
          <w:b/>
        </w:rPr>
        <w:t xml:space="preserve"> </w:t>
      </w:r>
      <w:r w:rsidR="0070677E" w:rsidRPr="00522DD0">
        <w:rPr>
          <w:b/>
        </w:rPr>
        <w:t>Artículo 3. Para los efectos de la presente Ley se entenderá por:</w:t>
      </w:r>
    </w:p>
    <w:p w:rsidR="00522DD0" w:rsidRDefault="00522DD0" w:rsidP="00522DD0">
      <w:pPr>
        <w:pStyle w:val="Prrafodelista"/>
        <w:ind w:left="765"/>
      </w:pPr>
      <w:r w:rsidRPr="00522DD0">
        <w:rPr>
          <w:b/>
        </w:rPr>
        <w:t>I.</w:t>
      </w:r>
      <w:r w:rsidR="0070677E">
        <w:t>Ajustes Razonables: Modificaciones y adaptaciones necesarias y adecuadas que no impongan una carga desproporcionada o indebida, cuando se requieran en un caso particular, para garantizar a las personas con discapacidad el goce o ejercicio, en igualdad de condiciones, de los derechos humanos;</w:t>
      </w:r>
    </w:p>
    <w:p w:rsidR="00522DD0" w:rsidRPr="00522DD0" w:rsidRDefault="00522DD0" w:rsidP="00522DD0">
      <w:pPr>
        <w:ind w:left="45"/>
        <w:jc w:val="center"/>
        <w:rPr>
          <w:b/>
          <w:sz w:val="24"/>
        </w:rPr>
      </w:pPr>
      <w:r w:rsidRPr="00522DD0">
        <w:rPr>
          <w:b/>
        </w:rPr>
        <w:t xml:space="preserve"> </w:t>
      </w:r>
      <w:r w:rsidR="0070677E" w:rsidRPr="00522DD0">
        <w:rPr>
          <w:b/>
        </w:rPr>
        <w:t xml:space="preserve"> </w:t>
      </w:r>
      <w:r w:rsidRPr="00522DD0">
        <w:rPr>
          <w:b/>
        </w:rPr>
        <w:t>II.</w:t>
      </w:r>
      <w:r>
        <w:t xml:space="preserve"> </w:t>
      </w:r>
      <w:r w:rsidR="0070677E">
        <w:t>Áreas: Instancias que cuentan o puedan contar con la información. Tratándose del sector público, serán aquellas que estén previstas en el reglamento interior, estatuto orgánico respectivo o equivalentes;</w:t>
      </w:r>
    </w:p>
    <w:p w:rsidR="00522DD0" w:rsidRPr="00522DD0" w:rsidRDefault="00522DD0" w:rsidP="00522DD0">
      <w:pPr>
        <w:ind w:left="45"/>
        <w:jc w:val="center"/>
        <w:rPr>
          <w:b/>
          <w:sz w:val="24"/>
        </w:rPr>
      </w:pPr>
      <w:r w:rsidRPr="00522DD0">
        <w:rPr>
          <w:b/>
        </w:rPr>
        <w:t xml:space="preserve"> III.</w:t>
      </w:r>
      <w:r w:rsidR="0070677E">
        <w:t xml:space="preserve"> Comisionado: Cada uno de los integrantes del Pleno del Instituto y de los Organismos garantes de los Estados y del Distrito Federal;</w:t>
      </w:r>
    </w:p>
    <w:p w:rsidR="00522DD0" w:rsidRPr="00522DD0" w:rsidRDefault="00522DD0" w:rsidP="00522DD0">
      <w:pPr>
        <w:ind w:left="45"/>
        <w:jc w:val="center"/>
        <w:rPr>
          <w:b/>
          <w:sz w:val="24"/>
        </w:rPr>
      </w:pPr>
      <w:r w:rsidRPr="00522DD0">
        <w:rPr>
          <w:b/>
        </w:rPr>
        <w:t xml:space="preserve"> IV.</w:t>
      </w:r>
      <w:r>
        <w:t xml:space="preserve"> </w:t>
      </w:r>
      <w:r w:rsidR="0070677E">
        <w:t xml:space="preserve">Comité de Transparencia: Instancia a la que hace referencia el artículo 43 de la presente Ley; </w:t>
      </w:r>
    </w:p>
    <w:p w:rsidR="006F6CEE" w:rsidRDefault="00522DD0" w:rsidP="00522DD0">
      <w:pPr>
        <w:ind w:left="45"/>
        <w:jc w:val="center"/>
      </w:pPr>
      <w:r w:rsidRPr="00522DD0">
        <w:rPr>
          <w:b/>
        </w:rPr>
        <w:t>V.</w:t>
      </w:r>
      <w:r w:rsidR="0070677E">
        <w:t xml:space="preserve"> Consejo Nacional: Consejo del Sistema Nacional de Transparencia, Acceso a la Información y Protección de Datos Personales al que hace referencia el artículo 32 de la presente </w:t>
      </w:r>
      <w:r>
        <w:t>Ley; que</w:t>
      </w:r>
      <w:r w:rsidR="006F6CEE">
        <w:t xml:space="preserve"> correspondan.</w:t>
      </w:r>
    </w:p>
    <w:p w:rsidR="00EB73D6" w:rsidRDefault="00EB73D6" w:rsidP="00522DD0">
      <w:pPr>
        <w:ind w:left="45"/>
        <w:jc w:val="center"/>
        <w:rPr>
          <w:sz w:val="24"/>
        </w:rPr>
      </w:pPr>
    </w:p>
    <w:p w:rsidR="00EB73D6" w:rsidRDefault="00EB73D6" w:rsidP="00522DD0">
      <w:pPr>
        <w:ind w:left="45"/>
        <w:jc w:val="center"/>
        <w:rPr>
          <w:sz w:val="24"/>
        </w:rPr>
      </w:pPr>
    </w:p>
    <w:p w:rsidR="00EB73D6" w:rsidRDefault="00EB73D6" w:rsidP="00522DD0">
      <w:pPr>
        <w:ind w:left="45"/>
        <w:jc w:val="center"/>
      </w:pPr>
      <w:r w:rsidRPr="003056E8">
        <w:rPr>
          <w:b/>
        </w:rPr>
        <w:lastRenderedPageBreak/>
        <w:t>VI</w:t>
      </w:r>
      <w:r>
        <w:t>. Datos abiertos: Los datos digitales de carácter público que son accesibles en línea que pueden ser usados, reutilizados y redistribuidos por cualquier interesado y que tienen las siguientes características:</w:t>
      </w:r>
    </w:p>
    <w:p w:rsidR="00EB73D6" w:rsidRDefault="00EB73D6" w:rsidP="00522DD0">
      <w:pPr>
        <w:ind w:left="45"/>
        <w:jc w:val="center"/>
      </w:pPr>
      <w:r w:rsidRPr="003056E8">
        <w:rPr>
          <w:b/>
        </w:rPr>
        <w:t xml:space="preserve"> a)</w:t>
      </w:r>
      <w:r>
        <w:t xml:space="preserve"> Accesibles: Los datos están disponibles para la gama más amplia de usuarios, para cualquier propósito;</w:t>
      </w:r>
    </w:p>
    <w:p w:rsidR="00EB73D6" w:rsidRDefault="00EB73D6" w:rsidP="00522DD0">
      <w:pPr>
        <w:ind w:left="45"/>
        <w:jc w:val="center"/>
      </w:pPr>
      <w:r w:rsidRPr="003056E8">
        <w:rPr>
          <w:b/>
        </w:rPr>
        <w:t xml:space="preserve"> b)</w:t>
      </w:r>
      <w:r>
        <w:t xml:space="preserve"> Integrales: Contienen el tema que describen a detalle y con los metadatos necesarios;</w:t>
      </w:r>
    </w:p>
    <w:p w:rsidR="00EB73D6" w:rsidRDefault="00EB73D6" w:rsidP="00522DD0">
      <w:pPr>
        <w:ind w:left="45"/>
        <w:jc w:val="center"/>
      </w:pPr>
      <w:r>
        <w:t xml:space="preserve"> c) Gratuitos: Se obtienen sin entregar a cambio contraprestación alguna;</w:t>
      </w:r>
    </w:p>
    <w:p w:rsidR="00EB73D6" w:rsidRPr="003056E8" w:rsidRDefault="00EB73D6" w:rsidP="00522DD0">
      <w:pPr>
        <w:ind w:left="45"/>
        <w:jc w:val="center"/>
        <w:rPr>
          <w:b/>
        </w:rPr>
      </w:pPr>
      <w:r w:rsidRPr="003056E8">
        <w:rPr>
          <w:b/>
        </w:rPr>
        <w:t xml:space="preserve"> d)</w:t>
      </w:r>
      <w:r>
        <w:t xml:space="preserve"> No discriminatorios: Los datos están disponibles para cualquier persona, sin necesidad de </w:t>
      </w:r>
      <w:r w:rsidRPr="003056E8">
        <w:rPr>
          <w:b/>
        </w:rPr>
        <w:t>registro;</w:t>
      </w:r>
    </w:p>
    <w:p w:rsidR="003056E8" w:rsidRPr="003056E8" w:rsidRDefault="00EB73D6" w:rsidP="00522DD0">
      <w:pPr>
        <w:ind w:left="45"/>
        <w:jc w:val="center"/>
        <w:rPr>
          <w:b/>
        </w:rPr>
      </w:pPr>
      <w:r w:rsidRPr="003056E8">
        <w:rPr>
          <w:b/>
        </w:rPr>
        <w:t xml:space="preserve"> LEY GENERAL DE TRANSPARENCIA Y ACCESO A LA INFORMACIÓN PÚBLICA CÁMARA DE DIPUTADOS DEL H. CONGRESO DE LA UNIÓN</w:t>
      </w:r>
    </w:p>
    <w:p w:rsidR="003056E8" w:rsidRDefault="00EB73D6" w:rsidP="00522DD0">
      <w:pPr>
        <w:ind w:left="45"/>
        <w:jc w:val="center"/>
      </w:pPr>
      <w:r>
        <w:t xml:space="preserve"> Secretaría General Secretaría de Servicios Parlamentarios Última Reforma DOF 20-05-2021 3 de 70</w:t>
      </w:r>
    </w:p>
    <w:p w:rsidR="003056E8" w:rsidRDefault="00EB73D6" w:rsidP="00522DD0">
      <w:pPr>
        <w:ind w:left="45"/>
        <w:jc w:val="center"/>
      </w:pPr>
      <w:r w:rsidRPr="003056E8">
        <w:rPr>
          <w:b/>
        </w:rPr>
        <w:t xml:space="preserve"> e)</w:t>
      </w:r>
      <w:r>
        <w:t xml:space="preserve"> Oportunos: Son actualizados, periódicamente, conforme se generen;</w:t>
      </w:r>
    </w:p>
    <w:p w:rsidR="003056E8" w:rsidRDefault="00EB73D6" w:rsidP="00522DD0">
      <w:pPr>
        <w:ind w:left="45"/>
        <w:jc w:val="center"/>
      </w:pPr>
      <w:r w:rsidRPr="003056E8">
        <w:rPr>
          <w:b/>
        </w:rPr>
        <w:t xml:space="preserve"> f)</w:t>
      </w:r>
      <w:r>
        <w:t xml:space="preserve"> Permanentes: Se conservan en el tiempo, para lo cual, las versiones históricas relevantes para uso público se mantendrán disponibles con identificadores adecuados al efecto;</w:t>
      </w:r>
    </w:p>
    <w:p w:rsidR="003056E8" w:rsidRDefault="00EB73D6" w:rsidP="00522DD0">
      <w:pPr>
        <w:ind w:left="45"/>
        <w:jc w:val="center"/>
      </w:pPr>
      <w:r w:rsidRPr="003056E8">
        <w:rPr>
          <w:b/>
        </w:rPr>
        <w:t xml:space="preserve"> g)</w:t>
      </w:r>
      <w:r>
        <w:t xml:space="preserve"> Primarios: Provienen de la fuente de origen con el máximo nivel de desagregación posible;</w:t>
      </w:r>
      <w:r w:rsidR="003056E8">
        <w:t xml:space="preserve"> </w:t>
      </w:r>
    </w:p>
    <w:p w:rsidR="003056E8" w:rsidRDefault="00EB73D6" w:rsidP="00522DD0">
      <w:pPr>
        <w:ind w:left="45"/>
        <w:jc w:val="center"/>
      </w:pPr>
      <w:r w:rsidRPr="003056E8">
        <w:rPr>
          <w:b/>
        </w:rPr>
        <w:t>h)</w:t>
      </w:r>
      <w:r>
        <w:t xml:space="preserve"> Legibles por máquinas: Deberán estar estructurados, total o parcialmente, para ser procesados e interpretados por equipos electrónicos de manera automática;</w:t>
      </w:r>
    </w:p>
    <w:p w:rsidR="003056E8" w:rsidRDefault="00EB73D6" w:rsidP="00522DD0">
      <w:pPr>
        <w:ind w:left="45"/>
        <w:jc w:val="center"/>
      </w:pPr>
      <w:r w:rsidRPr="003056E8">
        <w:rPr>
          <w:b/>
        </w:rPr>
        <w:t xml:space="preserve"> i)</w:t>
      </w:r>
      <w:r>
        <w:t xml:space="preserve"> En formatos abiertos: Los datos estarán disponibles con el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estén condicionadas a contraprestación alguna;</w:t>
      </w:r>
    </w:p>
    <w:p w:rsidR="003056E8" w:rsidRDefault="00EB73D6" w:rsidP="00522DD0">
      <w:pPr>
        <w:ind w:left="45"/>
        <w:jc w:val="center"/>
      </w:pPr>
      <w:r w:rsidRPr="003056E8">
        <w:rPr>
          <w:b/>
        </w:rPr>
        <w:t xml:space="preserve"> j)</w:t>
      </w:r>
      <w:r>
        <w:t xml:space="preserve"> De libre uso: Citan la fuente de origen como único requerimiento para ser utilizados libremente; </w:t>
      </w:r>
    </w:p>
    <w:p w:rsidR="003056E8" w:rsidRDefault="00EB73D6" w:rsidP="00522DD0">
      <w:pPr>
        <w:ind w:left="45"/>
        <w:jc w:val="center"/>
      </w:pPr>
      <w:r w:rsidRPr="003056E8">
        <w:rPr>
          <w:b/>
        </w:rPr>
        <w:t>VII.</w:t>
      </w:r>
      <w:r>
        <w:t xml:space="preserve"> Documento: Los expedientes, reportes, estudios, actas, resoluciones, oficios, correspondencia, acuerdos, directivas, directrices, circulares, contratos, convenios, instructivos, notas, memorandos, estadísticas o bien, cualquier otro registro que documente el ejercicio de las facultades, funciones y competencias de los sujetos obligados, sus Servidores Públicos e </w:t>
      </w:r>
      <w:r>
        <w:lastRenderedPageBreak/>
        <w:t>integrantes, sin importar su fuente o fecha de elaboración. Los documentos podrán estar en cualquier medio, sea escrito, impreso, sonoro, visual, electrónico, informático u holográfico;</w:t>
      </w:r>
    </w:p>
    <w:p w:rsidR="003056E8" w:rsidRDefault="00EB73D6" w:rsidP="00522DD0">
      <w:pPr>
        <w:ind w:left="45"/>
        <w:jc w:val="center"/>
      </w:pPr>
      <w:r w:rsidRPr="003056E8">
        <w:rPr>
          <w:b/>
        </w:rPr>
        <w:t xml:space="preserve"> VIII.</w:t>
      </w:r>
      <w:r>
        <w:t xml:space="preserve"> Entidades Federativas: Las partes integrantes de la Federación que son los Estados de Aguascalientes, Baja California, Baja California Sur, Campeche, Coahuila de Zaragoza, Colima, Chiapas, Chihuahua, Durango, Guanajuato, Guerrero, Hidalgo, Jalisco, México, Michoacán, Morelos, Nayarit, Nuevo León, Oaxaca, Puebla, Querétaro, Quintana Roo, San Luis Potosí, Sinaloa, Sonora, Tabasco, Tamaulipas, Tlaxcala, Veracruz, Yucatán, Zacatecas y el Distrito Federal;</w:t>
      </w:r>
    </w:p>
    <w:p w:rsidR="003056E8" w:rsidRDefault="00EB73D6" w:rsidP="00522DD0">
      <w:pPr>
        <w:ind w:left="45"/>
        <w:jc w:val="center"/>
      </w:pPr>
      <w:r>
        <w:t xml:space="preserve"> IX. Expediente: Unidad documental constituida por uno o varios documentos de archivo, ordenados y relacionados por un mismo asunto, actividad o trámite de los sujetos obligados;</w:t>
      </w:r>
    </w:p>
    <w:p w:rsidR="003056E8" w:rsidRDefault="00EB73D6" w:rsidP="00522DD0">
      <w:pPr>
        <w:ind w:left="45"/>
        <w:jc w:val="center"/>
      </w:pPr>
      <w:r w:rsidRPr="003056E8">
        <w:rPr>
          <w:b/>
        </w:rPr>
        <w:t xml:space="preserve"> X.</w:t>
      </w:r>
      <w:r>
        <w:t xml:space="preserve"> Formatos Abiertos: Conjunto de características técnicas y de presentación de la información que corresponden a la estructura lógica usada para almacenar datos de forma integral y facilitan su procesamiento digital, cuyas especificaciones están disponibles públicamente y que permiten el acceso sin restricción de uso por parte de los usuarios;</w:t>
      </w:r>
    </w:p>
    <w:p w:rsidR="003056E8" w:rsidRDefault="00EB73D6" w:rsidP="00522DD0">
      <w:pPr>
        <w:ind w:left="45"/>
        <w:jc w:val="center"/>
      </w:pPr>
      <w:r w:rsidRPr="003056E8">
        <w:rPr>
          <w:b/>
        </w:rPr>
        <w:t xml:space="preserve"> XI</w:t>
      </w:r>
      <w:r>
        <w:t>. Formatos Accesibles: Cualquier manera o forma alternativa que dé acceso a los solicitantes de información, en forma tan viable y cómoda como la de las personas sin discapacidad ni otras dificultades para acceder a cualquier texto impreso y/o cualquier otro formato convencional en el que la información pueda encontrarse;</w:t>
      </w:r>
    </w:p>
    <w:p w:rsidR="00862255" w:rsidRDefault="00EB73D6" w:rsidP="00522DD0">
      <w:pPr>
        <w:ind w:left="45"/>
        <w:jc w:val="center"/>
      </w:pPr>
      <w:r w:rsidRPr="003056E8">
        <w:rPr>
          <w:b/>
        </w:rPr>
        <w:t xml:space="preserve"> XII.</w:t>
      </w:r>
      <w:r>
        <w:t xml:space="preserve"> Información de interés público: Se refiere a la información que resulta relevante o beneficiosa para la sociedad y no simplemente de interés individual, cuya divulgación resulta útil para que el público comprenda las </w:t>
      </w:r>
      <w:r w:rsidR="00862255">
        <w:t xml:space="preserve">actividades </w:t>
      </w:r>
    </w:p>
    <w:p w:rsidR="00862255" w:rsidRDefault="00862255" w:rsidP="00522DD0">
      <w:pPr>
        <w:ind w:left="45"/>
        <w:jc w:val="center"/>
      </w:pPr>
      <w:r>
        <w:t>XVIII. Servidores Públicos: Los mencionados en el párrafo primero del artículo 108 de la Constitución Política de los Estados Unidos Mexicanos y sus correlativos de las Entidades Federativas y municipios que establezcan las Constituciones de los Estados y el Estatuto de Gobierno del Distrito Federal;</w:t>
      </w:r>
    </w:p>
    <w:p w:rsidR="00862255" w:rsidRDefault="00862255" w:rsidP="00522DD0">
      <w:pPr>
        <w:ind w:left="45"/>
        <w:jc w:val="center"/>
      </w:pPr>
      <w:r>
        <w:t xml:space="preserve"> XIX. Sistema Nacional: Sistema Nacional de Transparencia, Acceso a la Información y Protección de Datos Personales;</w:t>
      </w:r>
    </w:p>
    <w:p w:rsidR="00862255" w:rsidRDefault="00862255" w:rsidP="00522DD0">
      <w:pPr>
        <w:ind w:left="45"/>
        <w:jc w:val="center"/>
      </w:pPr>
      <w:r>
        <w:t xml:space="preserve"> XX. Unidad de Transparencia: Instancia a la que hace referencia el artículo 45 de esta Ley, y</w:t>
      </w:r>
    </w:p>
    <w:p w:rsidR="00EB73D6" w:rsidRDefault="00862255" w:rsidP="00522DD0">
      <w:pPr>
        <w:ind w:left="45"/>
        <w:jc w:val="center"/>
      </w:pPr>
      <w:r>
        <w:t xml:space="preserve"> XXI. Versión Pública: Documento o Expediente en el que se da acceso a información eliminando u omitiendo las partes o secciones </w:t>
      </w:r>
      <w:r>
        <w:t>clasificadas</w:t>
      </w:r>
      <w:r w:rsidR="00EB73D6">
        <w:t xml:space="preserve"> que llevan a cabo los sujetos obligados;</w:t>
      </w:r>
      <w:r w:rsidR="003056E8">
        <w:t xml:space="preserve">   </w:t>
      </w:r>
    </w:p>
    <w:p w:rsidR="00862255" w:rsidRDefault="00862255" w:rsidP="00522DD0">
      <w:pPr>
        <w:ind w:left="45"/>
        <w:jc w:val="center"/>
      </w:pPr>
    </w:p>
    <w:p w:rsidR="00862255" w:rsidRDefault="00862255" w:rsidP="00522DD0">
      <w:pPr>
        <w:ind w:left="45"/>
        <w:jc w:val="center"/>
      </w:pPr>
    </w:p>
    <w:p w:rsidR="00862255" w:rsidRDefault="00862255" w:rsidP="00522DD0">
      <w:pPr>
        <w:ind w:left="45"/>
        <w:jc w:val="center"/>
      </w:pPr>
    </w:p>
    <w:p w:rsidR="00862255" w:rsidRDefault="00862255" w:rsidP="00522DD0">
      <w:pPr>
        <w:ind w:left="45"/>
        <w:jc w:val="center"/>
      </w:pPr>
      <w:r w:rsidRPr="00862255">
        <w:rPr>
          <w:b/>
        </w:rPr>
        <w:lastRenderedPageBreak/>
        <w:t>Artículo 4.</w:t>
      </w:r>
      <w:r>
        <w:t xml:space="preserve">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presente Ley, en los tratados internacionales de los que el Estado mexicano sea parte, la Ley Federal, las leyes de las Entidades Federativas y la normatividad aplicable en sus respectivas competencias; sólo podrá ser clasificada excepcionalmente como reservada temporalmente por razones de interés público y seguridad nacional, en los términos dispuestos por esta Ley.</w:t>
      </w:r>
    </w:p>
    <w:p w:rsidR="00862255" w:rsidRDefault="00862255" w:rsidP="00522DD0">
      <w:pPr>
        <w:ind w:left="45"/>
        <w:jc w:val="center"/>
      </w:pPr>
      <w:r w:rsidRPr="00862255">
        <w:rPr>
          <w:b/>
        </w:rPr>
        <w:t xml:space="preserve"> Artículo 5.</w:t>
      </w:r>
      <w:r>
        <w:t xml:space="preserve"> No podrá clasificarse como reservada aquella información que esté relacionada con violaciones graves a derechos humanos o delitos de lesa humanidad, de conformidad con el derecho nacional o los tratados internacionales de los que el Estado mexicano sea parte. Ninguna persona será objeto de inquisición judicial o administrativa con el objeto del ejercicio del derecho de acceso a la información, ni se podrá restringir este derecho por vías o medios directos e indirectos. </w:t>
      </w:r>
    </w:p>
    <w:p w:rsidR="00862255" w:rsidRDefault="00862255" w:rsidP="00522DD0">
      <w:pPr>
        <w:ind w:left="45"/>
        <w:jc w:val="center"/>
      </w:pPr>
      <w:r w:rsidRPr="00862255">
        <w:rPr>
          <w:b/>
        </w:rPr>
        <w:t>Artículo 6.</w:t>
      </w:r>
      <w:r>
        <w:t xml:space="preserve"> El Estado garantizará el efectivo acceso de toda persona a la información en posesión de cualquier entidad, autoridad,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de la Artículo</w:t>
      </w:r>
    </w:p>
    <w:p w:rsidR="00862255" w:rsidRDefault="00862255" w:rsidP="00522DD0">
      <w:pPr>
        <w:ind w:left="45"/>
        <w:jc w:val="center"/>
      </w:pPr>
      <w:r w:rsidRPr="005B79B6">
        <w:rPr>
          <w:b/>
        </w:rPr>
        <w:t xml:space="preserve"> 7</w:t>
      </w:r>
      <w:r>
        <w:t xml:space="preserve">. 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w:t>
      </w:r>
      <w:r>
        <w:t>transparencia. Federación</w:t>
      </w:r>
      <w:r>
        <w:t>, de las Entidades Federativas y los municipios.</w:t>
      </w:r>
    </w:p>
    <w:p w:rsidR="00862255" w:rsidRDefault="00862255" w:rsidP="00522DD0">
      <w:pPr>
        <w:ind w:left="45"/>
        <w:jc w:val="center"/>
      </w:pPr>
    </w:p>
    <w:p w:rsidR="00862255" w:rsidRDefault="00862255" w:rsidP="00522DD0">
      <w:pPr>
        <w:ind w:left="45"/>
        <w:jc w:val="center"/>
      </w:pPr>
    </w:p>
    <w:p w:rsidR="00862255" w:rsidRDefault="00862255" w:rsidP="00522DD0">
      <w:pPr>
        <w:ind w:left="45"/>
        <w:jc w:val="center"/>
      </w:pPr>
    </w:p>
    <w:p w:rsidR="00862255" w:rsidRDefault="00862255" w:rsidP="00522DD0">
      <w:pPr>
        <w:ind w:left="45"/>
        <w:jc w:val="center"/>
      </w:pPr>
    </w:p>
    <w:p w:rsidR="00862255" w:rsidRPr="005B79B6" w:rsidRDefault="00862255" w:rsidP="00522DD0">
      <w:pPr>
        <w:ind w:left="45"/>
        <w:jc w:val="center"/>
      </w:pPr>
      <w:r w:rsidRPr="00862255">
        <w:rPr>
          <w:b/>
        </w:rPr>
        <w:lastRenderedPageBreak/>
        <w:t xml:space="preserve">SECCIÓN SEGUNDA DE LOS PRINCIPIOS EN MATERIA DE TRANSPARENCIA Y ACCESO A LA </w:t>
      </w:r>
      <w:r w:rsidRPr="005B79B6">
        <w:t>INFORMACIÓN PÚBLICA</w:t>
      </w:r>
    </w:p>
    <w:p w:rsidR="005B79B6" w:rsidRDefault="00862255" w:rsidP="00522DD0">
      <w:pPr>
        <w:ind w:left="45"/>
        <w:jc w:val="center"/>
      </w:pPr>
      <w:r w:rsidRPr="005B79B6">
        <w:t xml:space="preserve"> Artículo 9</w:t>
      </w:r>
      <w:r>
        <w:t>. En el ejercicio, tramitación e interpretación de la presente Ley, las correspondientes de la Federación, de las Entidades Federativas y demás normatividad aplicable, los sujetos obligados, el Instituto y los Organismos garantes deberán atender a los principios señalados en la presente sección. Artículo</w:t>
      </w:r>
    </w:p>
    <w:p w:rsidR="005B79B6" w:rsidRDefault="00862255" w:rsidP="00522DD0">
      <w:pPr>
        <w:ind w:left="45"/>
        <w:jc w:val="center"/>
      </w:pPr>
      <w:r w:rsidRPr="005B79B6">
        <w:rPr>
          <w:b/>
        </w:rPr>
        <w:t xml:space="preserve"> 10.</w:t>
      </w:r>
      <w:r>
        <w:t xml:space="preserve"> Es obligación de los Organismos garantes otorgar las medidas pertinentes para asegurar el acceso a la información de todas las personas en igualdad de condiciones con las demás. Está prohibida toda discriminación que menoscabe o anule la transparencia o acceso a la información pública en posesión de los sujetos obligados. Artículo</w:t>
      </w:r>
    </w:p>
    <w:p w:rsidR="005B79B6" w:rsidRDefault="00862255" w:rsidP="00522DD0">
      <w:pPr>
        <w:ind w:left="45"/>
        <w:jc w:val="center"/>
      </w:pPr>
      <w:r w:rsidRPr="005B79B6">
        <w:rPr>
          <w:b/>
        </w:rPr>
        <w:t xml:space="preserve"> 11.</w:t>
      </w:r>
      <w:r>
        <w:t xml:space="preserve"> Toda la información en posesión de los sujetos obligados será pública, completa, oportuna y accesible, sujeta a un claro régimen de excepciones que deberán estar definidas y ser además legítimas y estrictamente necesarias en una sociedad democrática. Artículo</w:t>
      </w:r>
    </w:p>
    <w:p w:rsidR="005B79B6" w:rsidRDefault="00862255" w:rsidP="00522DD0">
      <w:pPr>
        <w:ind w:left="45"/>
        <w:jc w:val="center"/>
      </w:pPr>
      <w:r w:rsidRPr="005B79B6">
        <w:rPr>
          <w:b/>
        </w:rPr>
        <w:t xml:space="preserve"> 12.</w:t>
      </w:r>
      <w:r>
        <w:t xml:space="preserve">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Federal y las correspondientes de las Entidades Federativas, así como demás normas aplicables. Artículo</w:t>
      </w:r>
    </w:p>
    <w:p w:rsidR="005B79B6" w:rsidRDefault="00862255" w:rsidP="00522DD0">
      <w:pPr>
        <w:ind w:left="45"/>
        <w:jc w:val="center"/>
      </w:pPr>
      <w:r>
        <w:t xml:space="preserve"> </w:t>
      </w:r>
      <w:r w:rsidRPr="005B79B6">
        <w:rPr>
          <w:b/>
        </w:rPr>
        <w:t>13.</w:t>
      </w:r>
      <w:r>
        <w:t xml:space="preserve">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 y se procurará, en la medida de lo posible, su accesibilidad y traducción a lenguas indígenas. Artículo</w:t>
      </w:r>
    </w:p>
    <w:p w:rsidR="005B79B6" w:rsidRDefault="00862255" w:rsidP="00522DD0">
      <w:pPr>
        <w:ind w:left="45"/>
        <w:jc w:val="center"/>
      </w:pPr>
      <w:r>
        <w:t xml:space="preserve"> 14. Los Organismos garantes, en el ámbito de sus atribuciones, deberán suplir cualquier deficiencia para garantizar el ejercicio del derecho de acceso a la información. Artículo </w:t>
      </w:r>
    </w:p>
    <w:p w:rsidR="005B79B6" w:rsidRDefault="00862255" w:rsidP="00522DD0">
      <w:pPr>
        <w:ind w:left="45"/>
        <w:jc w:val="center"/>
      </w:pPr>
      <w:r w:rsidRPr="005B79B6">
        <w:rPr>
          <w:b/>
        </w:rPr>
        <w:t>15.</w:t>
      </w:r>
      <w:r>
        <w:t xml:space="preserve"> Toda persona tiene derecho de acceso a la información, sin discriminación, por motivo alguno. Artículo </w:t>
      </w:r>
    </w:p>
    <w:p w:rsidR="005B79B6" w:rsidRDefault="00862255" w:rsidP="00522DD0">
      <w:pPr>
        <w:ind w:left="45"/>
        <w:jc w:val="center"/>
      </w:pPr>
      <w:r w:rsidRPr="005B79B6">
        <w:rPr>
          <w:b/>
        </w:rPr>
        <w:t>16.</w:t>
      </w:r>
      <w:r>
        <w:t xml:space="preserve"> El ejercicio del derecho de acceso a la información no estará condicionado a que el solicitante acredite interés alguno o justifique su utilización, ni podrá condicionarse el mismo por motivos de discapacidad. Artículo</w:t>
      </w:r>
    </w:p>
    <w:p w:rsidR="005B79B6" w:rsidRDefault="00862255" w:rsidP="00522DD0">
      <w:pPr>
        <w:ind w:left="45"/>
        <w:jc w:val="center"/>
      </w:pPr>
      <w:r w:rsidRPr="005B79B6">
        <w:rPr>
          <w:b/>
        </w:rPr>
        <w:t xml:space="preserve"> 17.</w:t>
      </w:r>
      <w:r>
        <w:t xml:space="preserve"> El ejercicio del derecho de acceso a la información es gratuito y sólo podrá requerirse el cobro correspondiente a la modalidad de reproducción y entrega solicitada. En ningún caso los Ajustes Razonables que se realicen para el acceso de la información de solicitantes con discapacidad, será con costo a los mismos. Artículo </w:t>
      </w:r>
    </w:p>
    <w:p w:rsidR="005B79B6" w:rsidRDefault="00862255" w:rsidP="00522DD0">
      <w:pPr>
        <w:ind w:left="45"/>
        <w:jc w:val="center"/>
      </w:pPr>
      <w:r w:rsidRPr="005B79B6">
        <w:rPr>
          <w:b/>
        </w:rPr>
        <w:lastRenderedPageBreak/>
        <w:t>18.</w:t>
      </w:r>
      <w:r>
        <w:t xml:space="preserve"> Los sujetos obligados deberán documentar todo acto que derive del ejercicio de sus facultades, competencias o funciones</w:t>
      </w:r>
      <w:r w:rsidRPr="005B79B6">
        <w:rPr>
          <w:b/>
        </w:rPr>
        <w:t>. LEY GENERAL DE TRANSPARENCIA Y ACCESO A LA INFORMACIÓN PÚBLICA CÁMARA DE DIPUTADOS DEL H. CONGRESO DE LA UNIÓN</w:t>
      </w:r>
      <w:r>
        <w:t xml:space="preserve"> Secretaría General Secretaría de Servicios Parlamentarios Última Reforma DOF 20-05-2021 7 de 70 Artículo </w:t>
      </w:r>
    </w:p>
    <w:p w:rsidR="005B79B6" w:rsidRDefault="00862255" w:rsidP="00522DD0">
      <w:pPr>
        <w:ind w:left="45"/>
        <w:jc w:val="center"/>
      </w:pPr>
      <w:r w:rsidRPr="005B79B6">
        <w:rPr>
          <w:b/>
        </w:rPr>
        <w:t>19.</w:t>
      </w:r>
      <w: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 Artículo</w:t>
      </w:r>
    </w:p>
    <w:p w:rsidR="005B79B6" w:rsidRDefault="00862255" w:rsidP="00522DD0">
      <w:pPr>
        <w:ind w:left="45"/>
        <w:jc w:val="center"/>
      </w:pPr>
      <w:r w:rsidRPr="005B79B6">
        <w:rPr>
          <w:b/>
        </w:rPr>
        <w:t xml:space="preserve"> 20</w:t>
      </w:r>
      <w:r>
        <w:t>.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 Artículo</w:t>
      </w:r>
    </w:p>
    <w:p w:rsidR="005B79B6" w:rsidRDefault="00862255" w:rsidP="00522DD0">
      <w:pPr>
        <w:ind w:left="45"/>
        <w:jc w:val="center"/>
      </w:pPr>
      <w:r w:rsidRPr="005B79B6">
        <w:rPr>
          <w:b/>
        </w:rPr>
        <w:t xml:space="preserve"> 21.</w:t>
      </w:r>
      <w:r>
        <w:t xml:space="preserve"> Todo procedimiento en materia de derecho de acceso a la información deberá sustanciarse de manera sencilla y expedita, de conformidad con las bases de esta Ley. Artículo </w:t>
      </w:r>
    </w:p>
    <w:p w:rsidR="00862255" w:rsidRPr="00522DD0" w:rsidRDefault="00862255" w:rsidP="00522DD0">
      <w:pPr>
        <w:ind w:left="45"/>
        <w:jc w:val="center"/>
        <w:rPr>
          <w:b/>
          <w:sz w:val="24"/>
        </w:rPr>
      </w:pPr>
      <w:r w:rsidRPr="005B79B6">
        <w:rPr>
          <w:b/>
        </w:rPr>
        <w:t>22.</w:t>
      </w:r>
      <w:r>
        <w:t xml:space="preserve"> En el procedimiento de acceso, entrega y publicación de la información se propiciarán las condiciones necesarias para que ésta sea accesible a cualquier persona, de conformidad con el artículo 1o. de la Constitución Política de los Estados Unidos Me</w:t>
      </w:r>
      <w:bookmarkStart w:id="0" w:name="_GoBack"/>
      <w:bookmarkEnd w:id="0"/>
      <w:r>
        <w:t>xicanos</w:t>
      </w:r>
    </w:p>
    <w:sectPr w:rsidR="00862255" w:rsidRPr="00522DD0">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26B3" w:rsidRDefault="008926B3" w:rsidP="0022536F">
      <w:pPr>
        <w:spacing w:after="0" w:line="240" w:lineRule="auto"/>
      </w:pPr>
      <w:r>
        <w:separator/>
      </w:r>
    </w:p>
  </w:endnote>
  <w:endnote w:type="continuationSeparator" w:id="0">
    <w:p w:rsidR="008926B3" w:rsidRDefault="008926B3" w:rsidP="00225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82F" w:rsidRDefault="004A782F" w:rsidP="004A782F">
    <w:pPr>
      <w:pStyle w:val="Piedepgina"/>
      <w:pBdr>
        <w:top w:val="single" w:sz="24" w:space="5" w:color="9BBB59" w:themeColor="accent3"/>
      </w:pBdr>
      <w:jc w:val="center"/>
      <w:rPr>
        <w:i/>
        <w:iCs/>
        <w:color w:val="8C8C8C" w:themeColor="background1" w:themeShade="8C"/>
      </w:rPr>
    </w:pPr>
    <w:sdt>
      <w:sdtPr>
        <w:rPr>
          <w:i/>
          <w:iCs/>
          <w:color w:val="8C8C8C" w:themeColor="background1" w:themeShade="8C"/>
        </w:rPr>
        <w:alias w:val="Compañía"/>
        <w:id w:val="270665196"/>
        <w:placeholder>
          <w:docPart w:val="53ACF0CF79954FE49B05677DB2398AD5"/>
        </w:placeholder>
        <w:showingPlcHdr/>
        <w:dataBinding w:prefixMappings="xmlns:ns0='http://schemas.openxmlformats.org/officeDocument/2006/extended-properties'" w:xpath="/ns0:Properties[1]/ns0:Company[1]" w:storeItemID="{6668398D-A668-4E3E-A5EB-62B293D839F1}"/>
        <w:text/>
      </w:sdtPr>
      <w:sdtContent>
        <w:r>
          <w:rPr>
            <w:i/>
            <w:iCs/>
            <w:color w:val="8C8C8C" w:themeColor="background1" w:themeShade="8C"/>
            <w:lang w:val="es-ES"/>
          </w:rPr>
          <w:t>[Escriba el nombre de la compañía]</w:t>
        </w:r>
      </w:sdtContent>
    </w:sdt>
    <w:r>
      <w:rPr>
        <w:i/>
        <w:iCs/>
        <w:color w:val="8C8C8C" w:themeColor="background1" w:themeShade="8C"/>
      </w:rPr>
      <w:t xml:space="preserve">, San Luis Potosí, Aldama #31, Zona Centro, C.P. </w:t>
    </w:r>
    <w:r w:rsidRPr="004976D6">
      <w:rPr>
        <w:i/>
        <w:iCs/>
        <w:color w:val="1F497D" w:themeColor="text2"/>
      </w:rPr>
      <w:t>78850</w:t>
    </w:r>
    <w:r>
      <w:rPr>
        <w:i/>
        <w:iCs/>
        <w:color w:val="8C8C8C" w:themeColor="background1" w:themeShade="8C"/>
      </w:rPr>
      <w:t xml:space="preserve"> </w:t>
    </w:r>
  </w:p>
  <w:p w:rsidR="0022536F" w:rsidRDefault="004A782F" w:rsidP="004A782F">
    <w:pPr>
      <w:pStyle w:val="Piedepgina"/>
    </w:pPr>
    <w:hyperlink r:id="rId1" w:history="1">
      <w:r w:rsidRPr="00CD45E1">
        <w:rPr>
          <w:rStyle w:val="Hipervnculo"/>
          <w:i/>
          <w:iCs/>
        </w:rPr>
        <w:t>Tel:014868555185</w:t>
      </w:r>
    </w:hyperlink>
    <w:r>
      <w:rPr>
        <w:i/>
        <w:iCs/>
        <w:color w:val="8C8C8C" w:themeColor="background1" w:themeShade="8C"/>
      </w:rPr>
      <w:t>, e-mail:</w:t>
    </w:r>
    <w:r w:rsidRPr="00D60761">
      <w:rPr>
        <w:i/>
        <w:iCs/>
        <w:color w:val="8C8C8C" w:themeColor="background1" w:themeShade="8C"/>
      </w:rPr>
      <w:t xml:space="preserve"> </w:t>
    </w:r>
    <w:r>
      <w:rPr>
        <w:i/>
        <w:iCs/>
        <w:color w:val="8C8C8C" w:themeColor="background1" w:themeShade="8C"/>
      </w:rPr>
      <w:t>MVGSMDIF20212024@outlook.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26B3" w:rsidRDefault="008926B3" w:rsidP="0022536F">
      <w:pPr>
        <w:spacing w:after="0" w:line="240" w:lineRule="auto"/>
      </w:pPr>
      <w:r>
        <w:separator/>
      </w:r>
    </w:p>
  </w:footnote>
  <w:footnote w:type="continuationSeparator" w:id="0">
    <w:p w:rsidR="008926B3" w:rsidRDefault="008926B3" w:rsidP="002253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36F" w:rsidRDefault="0022536F" w:rsidP="0022536F">
    <w:pPr>
      <w:pStyle w:val="Encabezado"/>
      <w:tabs>
        <w:tab w:val="clear" w:pos="4419"/>
        <w:tab w:val="clear" w:pos="8838"/>
        <w:tab w:val="left" w:pos="1395"/>
      </w:tabs>
      <w:rPr>
        <w:rFonts w:ascii="Bradley Hand ITC" w:hAnsi="Bradley Hand ITC"/>
      </w:rPr>
    </w:pPr>
    <w:r>
      <w:rPr>
        <w:noProof/>
        <w:lang w:eastAsia="es-MX"/>
      </w:rPr>
      <w:drawing>
        <wp:anchor distT="0" distB="0" distL="114300" distR="114300" simplePos="0" relativeHeight="251658240" behindDoc="0" locked="0" layoutInCell="1" allowOverlap="1" wp14:anchorId="3E653228" wp14:editId="4B420DC2">
          <wp:simplePos x="0" y="0"/>
          <wp:positionH relativeFrom="column">
            <wp:posOffset>-832485</wp:posOffset>
          </wp:positionH>
          <wp:positionV relativeFrom="paragraph">
            <wp:posOffset>-335280</wp:posOffset>
          </wp:positionV>
          <wp:extent cx="1495425" cy="971550"/>
          <wp:effectExtent l="0" t="0" r="9525" b="0"/>
          <wp:wrapTopAndBottom/>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DIF.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95425" cy="971550"/>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noProof/>
        <w:sz w:val="24"/>
        <w:szCs w:val="24"/>
        <w:lang w:eastAsia="es-MX"/>
      </w:rPr>
      <w:drawing>
        <wp:anchor distT="0" distB="0" distL="114300" distR="114300" simplePos="0" relativeHeight="251659264" behindDoc="0" locked="0" layoutInCell="1" allowOverlap="1" wp14:anchorId="456F23D2" wp14:editId="53BE162A">
          <wp:simplePos x="0" y="0"/>
          <wp:positionH relativeFrom="column">
            <wp:posOffset>5425440</wp:posOffset>
          </wp:positionH>
          <wp:positionV relativeFrom="paragraph">
            <wp:posOffset>-335280</wp:posOffset>
          </wp:positionV>
          <wp:extent cx="895350" cy="1133475"/>
          <wp:effectExtent l="0" t="0" r="0" b="9525"/>
          <wp:wrapTopAndBottom/>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LLA DE GPE.png"/>
                  <pic:cNvPicPr/>
                </pic:nvPicPr>
                <pic:blipFill>
                  <a:blip r:embed="rId2">
                    <a:extLst>
                      <a:ext uri="{28A0092B-C50C-407E-A947-70E740481C1C}">
                        <a14:useLocalDpi xmlns:a14="http://schemas.microsoft.com/office/drawing/2010/main" val="0"/>
                      </a:ext>
                    </a:extLst>
                  </a:blip>
                  <a:stretch>
                    <a:fillRect/>
                  </a:stretch>
                </pic:blipFill>
                <pic:spPr>
                  <a:xfrm>
                    <a:off x="0" y="0"/>
                    <a:ext cx="895350" cy="1133475"/>
                  </a:xfrm>
                  <a:prstGeom prst="rect">
                    <a:avLst/>
                  </a:prstGeom>
                </pic:spPr>
              </pic:pic>
            </a:graphicData>
          </a:graphic>
          <wp14:sizeRelH relativeFrom="page">
            <wp14:pctWidth>0</wp14:pctWidth>
          </wp14:sizeRelH>
          <wp14:sizeRelV relativeFrom="page">
            <wp14:pctHeight>0</wp14:pctHeight>
          </wp14:sizeRelV>
        </wp:anchor>
      </w:drawing>
    </w:r>
    <w:r>
      <w:tab/>
      <w:t xml:space="preserve">    </w:t>
    </w:r>
    <w:r w:rsidRPr="0022536F">
      <w:rPr>
        <w:rFonts w:ascii="Bradley Hand ITC" w:hAnsi="Bradley Hand ITC"/>
      </w:rPr>
      <w:t xml:space="preserve">   “2022 AÑO DE LAS Y LOS MIGRANTES DE SAN LUIS POTOSI”</w:t>
    </w:r>
  </w:p>
  <w:p w:rsidR="0022536F" w:rsidRDefault="0022536F" w:rsidP="0022536F">
    <w:pPr>
      <w:pStyle w:val="Encabezado"/>
      <w:tabs>
        <w:tab w:val="clear" w:pos="4419"/>
        <w:tab w:val="clear" w:pos="8838"/>
        <w:tab w:val="left" w:pos="3120"/>
      </w:tabs>
      <w:jc w:val="center"/>
      <w:rPr>
        <w:rFonts w:cstheme="minorHAnsi"/>
        <w:b/>
        <w:sz w:val="24"/>
        <w:szCs w:val="24"/>
      </w:rPr>
    </w:pPr>
    <w:r>
      <w:rPr>
        <w:rFonts w:cstheme="minorHAnsi"/>
        <w:b/>
        <w:sz w:val="24"/>
        <w:szCs w:val="24"/>
      </w:rPr>
      <w:t>“</w:t>
    </w:r>
    <w:r w:rsidRPr="0022536F">
      <w:rPr>
        <w:rFonts w:cstheme="minorHAnsi"/>
        <w:b/>
        <w:sz w:val="24"/>
        <w:szCs w:val="24"/>
      </w:rPr>
      <w:t>SISTEMA MUNICIPAL PARA EL DESARROLLO</w:t>
    </w:r>
  </w:p>
  <w:p w:rsidR="0022536F" w:rsidRPr="0022536F" w:rsidRDefault="0022536F" w:rsidP="0022536F">
    <w:pPr>
      <w:pStyle w:val="Encabezado"/>
      <w:tabs>
        <w:tab w:val="clear" w:pos="4419"/>
        <w:tab w:val="clear" w:pos="8838"/>
        <w:tab w:val="left" w:pos="3120"/>
      </w:tabs>
      <w:jc w:val="center"/>
      <w:rPr>
        <w:rFonts w:cstheme="minorHAnsi"/>
        <w:b/>
        <w:sz w:val="24"/>
        <w:szCs w:val="24"/>
      </w:rPr>
    </w:pPr>
    <w:r w:rsidRPr="0022536F">
      <w:rPr>
        <w:rFonts w:cstheme="minorHAnsi"/>
        <w:b/>
        <w:sz w:val="24"/>
        <w:szCs w:val="24"/>
      </w:rPr>
      <w:t xml:space="preserve">INTEGRAL </w:t>
    </w:r>
    <w:r>
      <w:rPr>
        <w:rFonts w:cstheme="minorHAnsi"/>
        <w:b/>
        <w:sz w:val="24"/>
        <w:szCs w:val="24"/>
      </w:rPr>
      <w:t xml:space="preserve">     </w:t>
    </w:r>
    <w:r w:rsidRPr="0022536F">
      <w:rPr>
        <w:rFonts w:cstheme="minorHAnsi"/>
        <w:b/>
        <w:sz w:val="24"/>
        <w:szCs w:val="24"/>
      </w:rPr>
      <w:t>DE LA FAMILIA</w:t>
    </w:r>
    <w:r>
      <w:rPr>
        <w:rFonts w:cstheme="minorHAnsi"/>
        <w:b/>
        <w:sz w:val="24"/>
        <w:szCs w:val="24"/>
      </w:rPr>
      <w:t>”</w:t>
    </w:r>
  </w:p>
  <w:p w:rsidR="0022536F" w:rsidRDefault="0022536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63588C"/>
    <w:multiLevelType w:val="hybridMultilevel"/>
    <w:tmpl w:val="451A806A"/>
    <w:lvl w:ilvl="0" w:tplc="0E80B1E6">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
    <w:nsid w:val="411513BD"/>
    <w:multiLevelType w:val="hybridMultilevel"/>
    <w:tmpl w:val="A82E80E8"/>
    <w:lvl w:ilvl="0" w:tplc="24D2DD48">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2">
    <w:nsid w:val="71C57610"/>
    <w:multiLevelType w:val="hybridMultilevel"/>
    <w:tmpl w:val="68D8B382"/>
    <w:lvl w:ilvl="0" w:tplc="7B701ED6">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36F"/>
    <w:rsid w:val="0022536F"/>
    <w:rsid w:val="003056E8"/>
    <w:rsid w:val="004A782F"/>
    <w:rsid w:val="00522DD0"/>
    <w:rsid w:val="005B79B6"/>
    <w:rsid w:val="00616C41"/>
    <w:rsid w:val="006F6CEE"/>
    <w:rsid w:val="0070677E"/>
    <w:rsid w:val="00862255"/>
    <w:rsid w:val="008926B3"/>
    <w:rsid w:val="00EB73D6"/>
    <w:rsid w:val="00EC66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2536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2536F"/>
  </w:style>
  <w:style w:type="paragraph" w:styleId="Piedepgina">
    <w:name w:val="footer"/>
    <w:basedOn w:val="Normal"/>
    <w:link w:val="PiedepginaCar"/>
    <w:uiPriority w:val="99"/>
    <w:unhideWhenUsed/>
    <w:rsid w:val="0022536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2536F"/>
  </w:style>
  <w:style w:type="paragraph" w:styleId="Textodeglobo">
    <w:name w:val="Balloon Text"/>
    <w:basedOn w:val="Normal"/>
    <w:link w:val="TextodegloboCar"/>
    <w:uiPriority w:val="99"/>
    <w:semiHidden/>
    <w:unhideWhenUsed/>
    <w:rsid w:val="0022536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2536F"/>
    <w:rPr>
      <w:rFonts w:ascii="Tahoma" w:hAnsi="Tahoma" w:cs="Tahoma"/>
      <w:sz w:val="16"/>
      <w:szCs w:val="16"/>
    </w:rPr>
  </w:style>
  <w:style w:type="character" w:styleId="Hipervnculo">
    <w:name w:val="Hyperlink"/>
    <w:basedOn w:val="Fuentedeprrafopredeter"/>
    <w:uiPriority w:val="99"/>
    <w:unhideWhenUsed/>
    <w:rsid w:val="004A782F"/>
    <w:rPr>
      <w:color w:val="0000FF" w:themeColor="hyperlink"/>
      <w:u w:val="single"/>
    </w:rPr>
  </w:style>
  <w:style w:type="paragraph" w:styleId="Prrafodelista">
    <w:name w:val="List Paragraph"/>
    <w:basedOn w:val="Normal"/>
    <w:uiPriority w:val="34"/>
    <w:qFormat/>
    <w:rsid w:val="006F6C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2536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2536F"/>
  </w:style>
  <w:style w:type="paragraph" w:styleId="Piedepgina">
    <w:name w:val="footer"/>
    <w:basedOn w:val="Normal"/>
    <w:link w:val="PiedepginaCar"/>
    <w:uiPriority w:val="99"/>
    <w:unhideWhenUsed/>
    <w:rsid w:val="0022536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2536F"/>
  </w:style>
  <w:style w:type="paragraph" w:styleId="Textodeglobo">
    <w:name w:val="Balloon Text"/>
    <w:basedOn w:val="Normal"/>
    <w:link w:val="TextodegloboCar"/>
    <w:uiPriority w:val="99"/>
    <w:semiHidden/>
    <w:unhideWhenUsed/>
    <w:rsid w:val="0022536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2536F"/>
    <w:rPr>
      <w:rFonts w:ascii="Tahoma" w:hAnsi="Tahoma" w:cs="Tahoma"/>
      <w:sz w:val="16"/>
      <w:szCs w:val="16"/>
    </w:rPr>
  </w:style>
  <w:style w:type="character" w:styleId="Hipervnculo">
    <w:name w:val="Hyperlink"/>
    <w:basedOn w:val="Fuentedeprrafopredeter"/>
    <w:uiPriority w:val="99"/>
    <w:unhideWhenUsed/>
    <w:rsid w:val="004A782F"/>
    <w:rPr>
      <w:color w:val="0000FF" w:themeColor="hyperlink"/>
      <w:u w:val="single"/>
    </w:rPr>
  </w:style>
  <w:style w:type="paragraph" w:styleId="Prrafodelista">
    <w:name w:val="List Paragraph"/>
    <w:basedOn w:val="Normal"/>
    <w:uiPriority w:val="34"/>
    <w:qFormat/>
    <w:rsid w:val="006F6C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Tel:014868555185"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3ACF0CF79954FE49B05677DB2398AD5"/>
        <w:category>
          <w:name w:val="General"/>
          <w:gallery w:val="placeholder"/>
        </w:category>
        <w:types>
          <w:type w:val="bbPlcHdr"/>
        </w:types>
        <w:behaviors>
          <w:behavior w:val="content"/>
        </w:behaviors>
        <w:guid w:val="{175FE969-D3FD-4C0E-AD54-0A8780D273B7}"/>
      </w:docPartPr>
      <w:docPartBody>
        <w:p w:rsidR="00000000" w:rsidRDefault="00072D5C" w:rsidP="00072D5C">
          <w:pPr>
            <w:pStyle w:val="53ACF0CF79954FE49B05677DB2398AD5"/>
          </w:pPr>
          <w:r>
            <w:rPr>
              <w:i/>
              <w:iCs/>
              <w:color w:val="8C8C8C" w:themeColor="background1" w:themeShade="8C"/>
              <w:lang w:val="es-ES"/>
            </w:rPr>
            <w:t>[Escriba el nombre de la compañía]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D5C"/>
    <w:rsid w:val="00072D5C"/>
    <w:rsid w:val="002C066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53ACF0CF79954FE49B05677DB2398AD5">
    <w:name w:val="53ACF0CF79954FE49B05677DB2398AD5"/>
    <w:rsid w:val="00072D5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53ACF0CF79954FE49B05677DB2398AD5">
    <w:name w:val="53ACF0CF79954FE49B05677DB2398AD5"/>
    <w:rsid w:val="00072D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2342</Words>
  <Characters>12887</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dcterms:created xsi:type="dcterms:W3CDTF">2022-01-14T20:34:00Z</dcterms:created>
  <dcterms:modified xsi:type="dcterms:W3CDTF">2022-01-14T20:34:00Z</dcterms:modified>
</cp:coreProperties>
</file>