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0E6B34" w14:textId="77777777" w:rsidR="00894E5F" w:rsidRDefault="00D53C52">
      <w:r>
        <w:t>De acuerdo a lo establecido en el artículo 50, 51 de la Ley General de Partidos Políticos además del 135 fracción XV de la Ley Electoral del Estado; la aplicación del financiamiento público será específicamente para lo señalado en los artículos que anteceden, razón por la cual no hay acuerdo que determine la aplicación del mismo</w:t>
      </w:r>
    </w:p>
    <w:sectPr w:rsidR="00894E5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C52"/>
    <w:rsid w:val="00894E5F"/>
    <w:rsid w:val="00D53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3BAAE"/>
  <w15:chartTrackingRefBased/>
  <w15:docId w15:val="{9F668564-36FE-4D64-89EC-3333DBEBD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281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2020-12-10T06:00:00Z</dcterms:created>
  <dcterms:modified xsi:type="dcterms:W3CDTF">2020-12-10T06:00:00Z</dcterms:modified>
</cp:coreProperties>
</file>