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1828" w:rsidRDefault="003D3B27">
      <w:bookmarkStart w:id="0" w:name="_GoBack"/>
      <w:r>
        <w:rPr>
          <w:noProof/>
          <w:lang w:eastAsia="es-MX"/>
        </w:rPr>
        <w:drawing>
          <wp:inline distT="0" distB="0" distL="0" distR="0">
            <wp:extent cx="5400040" cy="3615070"/>
            <wp:effectExtent l="0" t="0" r="0" b="4445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End w:id="0"/>
    </w:p>
    <w:sectPr w:rsidR="00AC182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B27"/>
    <w:rsid w:val="003D3B27"/>
    <w:rsid w:val="008F0967"/>
    <w:rsid w:val="00AC1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66AE0E-0309-4FD8-9F3D-56B773DFE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1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spc="100" baseline="0">
                <a:solidFill>
                  <a:schemeClr val="lt1">
                    <a:lumMod val="95000"/>
                  </a:schemeClr>
                </a:solidFill>
                <a:effectLst>
                  <a:outerShdw blurRad="50800" dist="38100" dir="5400000" algn="t" rotWithShape="0">
                    <a:prstClr val="black">
                      <a:alpha val="40000"/>
                    </a:prstClr>
                  </a:outerShdw>
                </a:effectLst>
                <a:latin typeface="+mn-lt"/>
                <a:ea typeface="+mn-ea"/>
                <a:cs typeface="+mn-cs"/>
              </a:defRPr>
            </a:pPr>
            <a:r>
              <a:rPr lang="en-US"/>
              <a:t>Atenciòn de Asuntos de Gobernabilidad </a:t>
            </a:r>
          </a:p>
        </c:rich>
      </c:tx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spc="100" baseline="0">
              <a:solidFill>
                <a:schemeClr val="lt1">
                  <a:lumMod val="95000"/>
                </a:schemeClr>
              </a:solidFill>
              <a:effectLst>
                <a:outerShdw blurRad="50800" dist="38100" dir="5400000" algn="t" rotWithShape="0">
                  <a:prstClr val="black">
                    <a:alpha val="40000"/>
                  </a:prstClr>
                </a:outerShdw>
              </a:effectLst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Octubre</c:v>
                </c:pt>
              </c:strCache>
            </c:strRef>
          </c:tx>
          <c:spPr>
            <a:gradFill rotWithShape="1">
              <a:gsLst>
                <a:gs pos="0">
                  <a:schemeClr val="accent1">
                    <a:satMod val="103000"/>
                    <a:lumMod val="102000"/>
                    <a:tint val="94000"/>
                  </a:schemeClr>
                </a:gs>
                <a:gs pos="50000">
                  <a:schemeClr val="accent1">
                    <a:satMod val="110000"/>
                    <a:lumMod val="100000"/>
                    <a:shade val="100000"/>
                  </a:schemeClr>
                </a:gs>
                <a:gs pos="100000">
                  <a:schemeClr val="accent1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dPt>
            <c:idx val="0"/>
            <c:invertIfNegative val="0"/>
            <c:bubble3D val="0"/>
            <c:spPr>
              <a:solidFill>
                <a:schemeClr val="accent4">
                  <a:lumMod val="75000"/>
                </a:schemeClr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3-14C2-4658-BECE-AD3DA68942F6}"/>
              </c:ext>
            </c:extLst>
          </c:dPt>
          <c:dPt>
            <c:idx val="1"/>
            <c:invertIfNegative val="0"/>
            <c:bubble3D val="0"/>
            <c:spPr>
              <a:solidFill>
                <a:srgbClr val="92D050"/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  <c:extLst xmlns:c16r2="http://schemas.microsoft.com/office/drawing/2015/06/chart">
              <c:ext xmlns:c16="http://schemas.microsoft.com/office/drawing/2014/chart" uri="{C3380CC4-5D6E-409C-BE32-E72D297353CC}">
                <c16:uniqueId val="{00000004-14C2-4658-BECE-AD3DA68942F6}"/>
              </c:ext>
            </c:extLst>
          </c:dPt>
          <c:dPt>
            <c:idx val="2"/>
            <c:invertIfNegative val="0"/>
            <c:bubble3D val="0"/>
            <c:spPr>
              <a:solidFill>
                <a:schemeClr val="accent2">
                  <a:lumMod val="75000"/>
                </a:schemeClr>
              </a:solidFill>
              <a:ln>
                <a:noFill/>
              </a:ln>
              <a:effectLst>
                <a:outerShdw blurRad="57150" dist="19050" dir="5400000" algn="ctr" rotWithShape="0">
                  <a:srgbClr val="000000">
                    <a:alpha val="63000"/>
                  </a:srgbClr>
                </a:outerShdw>
              </a:effectLst>
            </c:spPr>
          </c:dPt>
          <c:cat>
            <c:strRef>
              <c:f>Hoja1!$A$2:$A$5</c:f>
              <c:strCache>
                <c:ptCount val="3"/>
                <c:pt idx="0">
                  <c:v>Solicitudes</c:v>
                </c:pt>
                <c:pt idx="1">
                  <c:v>Atenciòn de asesores en materia politica y agraria</c:v>
                </c:pt>
                <c:pt idx="2">
                  <c:v>Audiencias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21</c:v>
                </c:pt>
                <c:pt idx="1">
                  <c:v>130</c:v>
                </c:pt>
                <c:pt idx="2">
                  <c:v>56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4C2-4658-BECE-AD3DA68942F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15"/>
        <c:overlap val="-20"/>
        <c:axId val="368557376"/>
        <c:axId val="368556256"/>
      </c:barChart>
      <c:catAx>
        <c:axId val="368557376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extTo"/>
        <c:crossAx val="368556256"/>
        <c:crosses val="autoZero"/>
        <c:auto val="1"/>
        <c:lblAlgn val="ctr"/>
        <c:lblOffset val="100"/>
        <c:noMultiLvlLbl val="0"/>
      </c:catAx>
      <c:valAx>
        <c:axId val="36855625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36855737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legendEntry>
        <c:idx val="3"/>
        <c:delete val="1"/>
      </c:legendEntry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lt1">
                  <a:lumMod val="8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2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ize="5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tx1"/>
    </cs:fontRef>
  </cs:plotArea>
  <cs:plotArea3D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Palacio</dc:creator>
  <cp:keywords/>
  <dc:description/>
  <cp:lastModifiedBy>Operadores Politicos</cp:lastModifiedBy>
  <cp:revision>2</cp:revision>
  <dcterms:created xsi:type="dcterms:W3CDTF">2021-10-28T14:31:00Z</dcterms:created>
  <dcterms:modified xsi:type="dcterms:W3CDTF">2021-10-28T19:33:00Z</dcterms:modified>
</cp:coreProperties>
</file>