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CellSpacing w:w="0" w:type="dxa"/>
        <w:tblCellMar>
          <w:left w:w="0" w:type="dxa"/>
          <w:right w:w="0" w:type="dxa"/>
        </w:tblCellMar>
        <w:tblLook w:val="04A0" w:firstRow="1" w:lastRow="0" w:firstColumn="1" w:lastColumn="0" w:noHBand="0" w:noVBand="1"/>
      </w:tblPr>
      <w:tblGrid>
        <w:gridCol w:w="2144"/>
        <w:gridCol w:w="123"/>
        <w:gridCol w:w="2534"/>
        <w:gridCol w:w="123"/>
        <w:gridCol w:w="3914"/>
      </w:tblGrid>
      <w:tr w:rsidR="0081713D" w:rsidRPr="0081713D" w:rsidTr="0081713D">
        <w:trPr>
          <w:tblCellSpacing w:w="0" w:type="dxa"/>
          <w:jc w:val="center"/>
        </w:trPr>
        <w:tc>
          <w:tcPr>
            <w:tcW w:w="13590" w:type="dxa"/>
            <w:gridSpan w:val="5"/>
            <w:shd w:val="clear" w:color="auto" w:fill="FFFFFF"/>
            <w:hideMark/>
          </w:tcPr>
          <w:p w:rsidR="0081713D" w:rsidRPr="0081713D" w:rsidRDefault="0081713D" w:rsidP="0081713D">
            <w:pPr>
              <w:spacing w:after="0" w:line="240" w:lineRule="auto"/>
              <w:jc w:val="center"/>
              <w:rPr>
                <w:rFonts w:ascii="Times New Roman" w:eastAsia="Times New Roman" w:hAnsi="Times New Roman" w:cs="Times New Roman"/>
                <w:sz w:val="24"/>
                <w:szCs w:val="24"/>
                <w:lang w:eastAsia="es-MX"/>
              </w:rPr>
            </w:pPr>
          </w:p>
        </w:tc>
      </w:tr>
      <w:tr w:rsidR="0081713D" w:rsidRPr="0081713D" w:rsidTr="0081713D">
        <w:trPr>
          <w:tblCellSpacing w:w="0" w:type="dxa"/>
          <w:jc w:val="center"/>
        </w:trPr>
        <w:tc>
          <w:tcPr>
            <w:tcW w:w="3300" w:type="dxa"/>
            <w:shd w:val="clear" w:color="auto" w:fill="FFFFFF"/>
            <w:hideMark/>
          </w:tcPr>
          <w:p w:rsidR="0081713D" w:rsidRPr="0081713D" w:rsidRDefault="0081713D" w:rsidP="0081713D">
            <w:pPr>
              <w:spacing w:after="0" w:line="240" w:lineRule="auto"/>
              <w:rPr>
                <w:rFonts w:ascii="Times New Roman" w:eastAsia="Times New Roman" w:hAnsi="Times New Roman" w:cs="Times New Roman"/>
                <w:sz w:val="24"/>
                <w:szCs w:val="24"/>
                <w:lang w:eastAsia="es-MX"/>
              </w:rPr>
            </w:pPr>
            <w:r w:rsidRPr="0081713D">
              <w:rPr>
                <w:rFonts w:ascii="Times New Roman" w:eastAsia="Times New Roman" w:hAnsi="Times New Roman" w:cs="Times New Roman"/>
                <w:noProof/>
                <w:sz w:val="24"/>
                <w:szCs w:val="24"/>
                <w:lang w:eastAsia="es-MX"/>
              </w:rPr>
              <w:drawing>
                <wp:inline distT="0" distB="0" distL="0" distR="0" wp14:anchorId="1FE4B30D" wp14:editId="23B5C3FB">
                  <wp:extent cx="10795" cy="10795"/>
                  <wp:effectExtent l="0" t="0" r="0" b="0"/>
                  <wp:docPr id="194" name="Imagen 19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p>
        </w:tc>
        <w:tc>
          <w:tcPr>
            <w:tcW w:w="180" w:type="dxa"/>
            <w:hideMark/>
          </w:tcPr>
          <w:p w:rsidR="0081713D" w:rsidRPr="0081713D" w:rsidRDefault="0081713D" w:rsidP="0081713D">
            <w:pPr>
              <w:spacing w:after="0" w:line="240" w:lineRule="auto"/>
              <w:rPr>
                <w:rFonts w:ascii="Times New Roman" w:eastAsia="Times New Roman" w:hAnsi="Times New Roman" w:cs="Times New Roman"/>
                <w:sz w:val="24"/>
                <w:szCs w:val="24"/>
                <w:lang w:eastAsia="es-MX"/>
              </w:rPr>
            </w:pPr>
            <w:r w:rsidRPr="0081713D">
              <w:rPr>
                <w:rFonts w:ascii="Times New Roman" w:eastAsia="Times New Roman" w:hAnsi="Times New Roman" w:cs="Times New Roman"/>
                <w:noProof/>
                <w:sz w:val="24"/>
                <w:szCs w:val="24"/>
                <w:lang w:eastAsia="es-MX"/>
              </w:rPr>
              <w:drawing>
                <wp:inline distT="0" distB="0" distL="0" distR="0" wp14:anchorId="0F2C27E3" wp14:editId="2C02EFAE">
                  <wp:extent cx="10795" cy="10795"/>
                  <wp:effectExtent l="0" t="0" r="0" b="0"/>
                  <wp:docPr id="195" name="Imagen 19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p>
        </w:tc>
        <w:tc>
          <w:tcPr>
            <w:tcW w:w="3900" w:type="dxa"/>
            <w:shd w:val="clear" w:color="auto" w:fill="FFFFFF"/>
            <w:hideMark/>
          </w:tcPr>
          <w:p w:rsidR="0081713D" w:rsidRPr="0081713D" w:rsidRDefault="0081713D" w:rsidP="0081713D">
            <w:pPr>
              <w:spacing w:after="0" w:line="240" w:lineRule="auto"/>
              <w:rPr>
                <w:rFonts w:ascii="Times New Roman" w:eastAsia="Times New Roman" w:hAnsi="Times New Roman" w:cs="Times New Roman"/>
                <w:sz w:val="24"/>
                <w:szCs w:val="24"/>
                <w:lang w:eastAsia="es-MX"/>
              </w:rPr>
            </w:pPr>
            <w:r w:rsidRPr="0081713D">
              <w:rPr>
                <w:rFonts w:ascii="Times New Roman" w:eastAsia="Times New Roman" w:hAnsi="Times New Roman" w:cs="Times New Roman"/>
                <w:noProof/>
                <w:sz w:val="24"/>
                <w:szCs w:val="24"/>
                <w:lang w:eastAsia="es-MX"/>
              </w:rPr>
              <w:drawing>
                <wp:inline distT="0" distB="0" distL="0" distR="0" wp14:anchorId="07B1B33E" wp14:editId="4735FA82">
                  <wp:extent cx="10795" cy="10795"/>
                  <wp:effectExtent l="0" t="0" r="0" b="0"/>
                  <wp:docPr id="196" name="Imagen 19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p>
        </w:tc>
        <w:tc>
          <w:tcPr>
            <w:tcW w:w="180" w:type="dxa"/>
            <w:hideMark/>
          </w:tcPr>
          <w:p w:rsidR="0081713D" w:rsidRPr="0081713D" w:rsidRDefault="0081713D" w:rsidP="0081713D">
            <w:pPr>
              <w:spacing w:after="0" w:line="240" w:lineRule="auto"/>
              <w:rPr>
                <w:rFonts w:ascii="Times New Roman" w:eastAsia="Times New Roman" w:hAnsi="Times New Roman" w:cs="Times New Roman"/>
                <w:sz w:val="24"/>
                <w:szCs w:val="24"/>
                <w:lang w:eastAsia="es-MX"/>
              </w:rPr>
            </w:pPr>
            <w:r w:rsidRPr="0081713D">
              <w:rPr>
                <w:rFonts w:ascii="Times New Roman" w:eastAsia="Times New Roman" w:hAnsi="Times New Roman" w:cs="Times New Roman"/>
                <w:noProof/>
                <w:sz w:val="24"/>
                <w:szCs w:val="24"/>
                <w:lang w:eastAsia="es-MX"/>
              </w:rPr>
              <w:drawing>
                <wp:inline distT="0" distB="0" distL="0" distR="0" wp14:anchorId="7CD834C6" wp14:editId="0D6D912F">
                  <wp:extent cx="10795" cy="10795"/>
                  <wp:effectExtent l="0" t="0" r="0" b="0"/>
                  <wp:docPr id="197" name="Imagen 19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p>
        </w:tc>
        <w:tc>
          <w:tcPr>
            <w:tcW w:w="6015" w:type="dxa"/>
            <w:shd w:val="clear" w:color="auto" w:fill="FFFFFF"/>
            <w:hideMark/>
          </w:tcPr>
          <w:p w:rsidR="0081713D" w:rsidRPr="0081713D" w:rsidRDefault="0081713D" w:rsidP="0081713D">
            <w:pPr>
              <w:spacing w:after="0" w:line="240" w:lineRule="auto"/>
              <w:rPr>
                <w:rFonts w:ascii="Times New Roman" w:eastAsia="Times New Roman" w:hAnsi="Times New Roman" w:cs="Times New Roman"/>
                <w:sz w:val="24"/>
                <w:szCs w:val="24"/>
                <w:lang w:eastAsia="es-MX"/>
              </w:rPr>
            </w:pPr>
            <w:r w:rsidRPr="0081713D">
              <w:rPr>
                <w:rFonts w:ascii="Times New Roman" w:eastAsia="Times New Roman" w:hAnsi="Times New Roman" w:cs="Times New Roman"/>
                <w:noProof/>
                <w:sz w:val="24"/>
                <w:szCs w:val="24"/>
                <w:lang w:eastAsia="es-MX"/>
              </w:rPr>
              <w:drawing>
                <wp:inline distT="0" distB="0" distL="0" distR="0" wp14:anchorId="3F67784A" wp14:editId="7F7E7BE8">
                  <wp:extent cx="10795" cy="10795"/>
                  <wp:effectExtent l="0" t="0" r="0" b="0"/>
                  <wp:docPr id="198" name="Imagen 19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p>
        </w:tc>
      </w:tr>
    </w:tbl>
    <w:p w:rsidR="0081713D" w:rsidRPr="0081713D" w:rsidRDefault="0081713D" w:rsidP="0081713D">
      <w:pPr>
        <w:spacing w:after="0" w:line="240" w:lineRule="auto"/>
        <w:rPr>
          <w:rFonts w:ascii="Times New Roman" w:eastAsia="Times New Roman" w:hAnsi="Times New Roman" w:cs="Times New Roman"/>
          <w:vanish/>
          <w:sz w:val="24"/>
          <w:szCs w:val="24"/>
          <w:lang w:eastAsia="es-MX"/>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8838"/>
      </w:tblGrid>
      <w:tr w:rsidR="0081713D" w:rsidRPr="0081713D" w:rsidTr="00B51E44">
        <w:trPr>
          <w:tblCellSpacing w:w="0" w:type="dxa"/>
        </w:trPr>
        <w:tc>
          <w:tcPr>
            <w:tcW w:w="5000" w:type="pct"/>
            <w:shd w:val="clear" w:color="auto" w:fill="FFFFFF"/>
            <w:hideMark/>
          </w:tcPr>
          <w:p w:rsidR="0081713D" w:rsidRPr="0081713D" w:rsidRDefault="0081713D" w:rsidP="0081713D">
            <w:pPr>
              <w:spacing w:after="0" w:line="240" w:lineRule="auto"/>
              <w:rPr>
                <w:rFonts w:ascii="Times New Roman" w:eastAsia="Times New Roman" w:hAnsi="Times New Roman" w:cs="Times New Roman"/>
                <w:sz w:val="24"/>
                <w:szCs w:val="24"/>
                <w:lang w:eastAsia="es-MX"/>
              </w:rPr>
            </w:pPr>
            <w:r w:rsidRPr="0081713D">
              <w:rPr>
                <w:rFonts w:ascii="Times New Roman" w:eastAsia="Times New Roman" w:hAnsi="Times New Roman" w:cs="Times New Roman"/>
                <w:noProof/>
                <w:sz w:val="24"/>
                <w:szCs w:val="24"/>
                <w:lang w:eastAsia="es-MX"/>
              </w:rPr>
              <w:drawing>
                <wp:inline distT="0" distB="0" distL="0" distR="0" wp14:anchorId="326468FF" wp14:editId="511CBFE6">
                  <wp:extent cx="10795" cy="10795"/>
                  <wp:effectExtent l="0" t="0" r="0" b="0"/>
                  <wp:docPr id="199" name="Imagen 19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p>
        </w:tc>
      </w:tr>
    </w:tbl>
    <w:tbl>
      <w:tblPr>
        <w:tblpPr w:leftFromText="141" w:rightFromText="141" w:vertAnchor="text" w:horzAnchor="margin" w:tblpY="6069"/>
        <w:tblOverlap w:val="never"/>
        <w:tblW w:w="5000" w:type="pct"/>
        <w:tblCellSpacing w:w="0" w:type="dxa"/>
        <w:tblCellMar>
          <w:left w:w="0" w:type="dxa"/>
          <w:right w:w="0" w:type="dxa"/>
        </w:tblCellMar>
        <w:tblLook w:val="04A0" w:firstRow="1" w:lastRow="0" w:firstColumn="1" w:lastColumn="0" w:noHBand="0" w:noVBand="1"/>
      </w:tblPr>
      <w:tblGrid>
        <w:gridCol w:w="1847"/>
        <w:gridCol w:w="2722"/>
        <w:gridCol w:w="962"/>
        <w:gridCol w:w="2337"/>
        <w:gridCol w:w="970"/>
      </w:tblGrid>
      <w:tr w:rsidR="00B51E44" w:rsidRPr="0081713D" w:rsidTr="00B51E44">
        <w:trPr>
          <w:tblCellSpacing w:w="0" w:type="dxa"/>
        </w:trPr>
        <w:tc>
          <w:tcPr>
            <w:tcW w:w="5000" w:type="pct"/>
            <w:gridSpan w:val="5"/>
          </w:tcPr>
          <w:p w:rsidR="00B51E44" w:rsidRPr="0081713D" w:rsidRDefault="00B51E44" w:rsidP="00B51E44">
            <w:pPr>
              <w:spacing w:after="0" w:line="240" w:lineRule="auto"/>
              <w:jc w:val="center"/>
              <w:rPr>
                <w:rFonts w:ascii="Times New Roman" w:eastAsia="Times New Roman" w:hAnsi="Times New Roman" w:cs="Times New Roman"/>
                <w:sz w:val="24"/>
                <w:szCs w:val="24"/>
                <w:lang w:eastAsia="es-MX"/>
              </w:rPr>
            </w:pPr>
          </w:p>
        </w:tc>
      </w:tr>
      <w:tr w:rsidR="00B51E44" w:rsidRPr="0081713D" w:rsidTr="00B51E44">
        <w:trPr>
          <w:tblCellSpacing w:w="0" w:type="dxa"/>
        </w:trPr>
        <w:tc>
          <w:tcPr>
            <w:tcW w:w="1045"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540"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4"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871" w:type="pct"/>
            <w:gridSpan w:val="2"/>
            <w:shd w:val="clear" w:color="auto" w:fill="FFFFFF"/>
          </w:tcPr>
          <w:p w:rsidR="00B51E44" w:rsidRPr="0081713D" w:rsidRDefault="00B51E44" w:rsidP="00B51E44">
            <w:pPr>
              <w:spacing w:after="0" w:line="240" w:lineRule="auto"/>
              <w:jc w:val="right"/>
              <w:rPr>
                <w:rFonts w:ascii="Times New Roman" w:eastAsia="Times New Roman" w:hAnsi="Times New Roman" w:cs="Times New Roman"/>
                <w:sz w:val="24"/>
                <w:szCs w:val="24"/>
                <w:lang w:eastAsia="es-MX"/>
              </w:rPr>
            </w:pPr>
          </w:p>
        </w:tc>
      </w:tr>
      <w:tr w:rsidR="00B51E44" w:rsidRPr="0081713D" w:rsidTr="00B51E44">
        <w:trPr>
          <w:tblCellSpacing w:w="0" w:type="dxa"/>
        </w:trPr>
        <w:tc>
          <w:tcPr>
            <w:tcW w:w="1045"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540"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4"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322"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9"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r>
      <w:tr w:rsidR="00B51E44" w:rsidRPr="0081713D" w:rsidTr="00B51E44">
        <w:trPr>
          <w:tblCellSpacing w:w="0" w:type="dxa"/>
        </w:trPr>
        <w:tc>
          <w:tcPr>
            <w:tcW w:w="1045"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540"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4"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322"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9"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r>
      <w:tr w:rsidR="00B51E44" w:rsidRPr="0081713D" w:rsidTr="00B51E44">
        <w:trPr>
          <w:tblCellSpacing w:w="0" w:type="dxa"/>
        </w:trPr>
        <w:tc>
          <w:tcPr>
            <w:tcW w:w="1045"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540"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4"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322"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9"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r>
      <w:tr w:rsidR="00B51E44" w:rsidRPr="0081713D" w:rsidTr="00B51E44">
        <w:trPr>
          <w:tblCellSpacing w:w="0" w:type="dxa"/>
        </w:trPr>
        <w:tc>
          <w:tcPr>
            <w:tcW w:w="1045" w:type="pct"/>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540"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4"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322"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9"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r>
      <w:tr w:rsidR="00B51E44" w:rsidRPr="0081713D" w:rsidTr="00B51E44">
        <w:trPr>
          <w:tblCellSpacing w:w="0" w:type="dxa"/>
        </w:trPr>
        <w:tc>
          <w:tcPr>
            <w:tcW w:w="1045"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540"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4"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322"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9"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r>
      <w:tr w:rsidR="00B51E44" w:rsidRPr="0081713D" w:rsidTr="00B51E44">
        <w:trPr>
          <w:tblCellSpacing w:w="0" w:type="dxa"/>
        </w:trPr>
        <w:tc>
          <w:tcPr>
            <w:tcW w:w="5000" w:type="pct"/>
            <w:gridSpan w:val="5"/>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r>
      <w:tr w:rsidR="00B51E44" w:rsidRPr="0081713D" w:rsidTr="00B51E44">
        <w:trPr>
          <w:tblCellSpacing w:w="0" w:type="dxa"/>
        </w:trPr>
        <w:tc>
          <w:tcPr>
            <w:tcW w:w="1045"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540"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4"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322"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9"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r>
      <w:tr w:rsidR="00B51E44" w:rsidRPr="0081713D" w:rsidTr="00B51E44">
        <w:trPr>
          <w:tblCellSpacing w:w="0" w:type="dxa"/>
        </w:trPr>
        <w:tc>
          <w:tcPr>
            <w:tcW w:w="1045"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540"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4"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322"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9"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r>
      <w:tr w:rsidR="00B51E44" w:rsidRPr="0081713D" w:rsidTr="00B51E44">
        <w:trPr>
          <w:tblCellSpacing w:w="0" w:type="dxa"/>
        </w:trPr>
        <w:tc>
          <w:tcPr>
            <w:tcW w:w="1045"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540"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544" w:type="pct"/>
            <w:shd w:val="clear" w:color="auto" w:fill="FFFFFF"/>
          </w:tcPr>
          <w:p w:rsidR="00B51E44" w:rsidRPr="0081713D" w:rsidRDefault="00B51E44" w:rsidP="00B51E44">
            <w:pPr>
              <w:spacing w:after="0" w:line="240" w:lineRule="auto"/>
              <w:rPr>
                <w:rFonts w:ascii="Times New Roman" w:eastAsia="Times New Roman" w:hAnsi="Times New Roman" w:cs="Times New Roman"/>
                <w:sz w:val="24"/>
                <w:szCs w:val="24"/>
                <w:lang w:eastAsia="es-MX"/>
              </w:rPr>
            </w:pPr>
          </w:p>
        </w:tc>
        <w:tc>
          <w:tcPr>
            <w:tcW w:w="1322" w:type="pct"/>
          </w:tcPr>
          <w:p w:rsidR="00B51E44" w:rsidRPr="0081713D" w:rsidRDefault="00B51E44" w:rsidP="00B51E44">
            <w:pPr>
              <w:spacing w:after="0" w:line="240" w:lineRule="auto"/>
              <w:rPr>
                <w:rFonts w:ascii="Times New Roman" w:eastAsia="Times New Roman" w:hAnsi="Times New Roman" w:cs="Times New Roman"/>
                <w:sz w:val="20"/>
                <w:szCs w:val="20"/>
                <w:lang w:eastAsia="es-MX"/>
              </w:rPr>
            </w:pPr>
          </w:p>
        </w:tc>
        <w:tc>
          <w:tcPr>
            <w:tcW w:w="549" w:type="pct"/>
          </w:tcPr>
          <w:p w:rsidR="00B51E44" w:rsidRPr="0081713D" w:rsidRDefault="00B51E44" w:rsidP="00B51E44">
            <w:pPr>
              <w:spacing w:after="0" w:line="240" w:lineRule="auto"/>
              <w:rPr>
                <w:rFonts w:ascii="Times New Roman" w:eastAsia="Times New Roman" w:hAnsi="Times New Roman" w:cs="Times New Roman"/>
                <w:sz w:val="20"/>
                <w:szCs w:val="20"/>
                <w:lang w:eastAsia="es-MX"/>
              </w:rPr>
            </w:pPr>
          </w:p>
        </w:tc>
      </w:tr>
    </w:tbl>
    <w:p w:rsidR="00B51E44" w:rsidRPr="00D467E7" w:rsidRDefault="00B51E44" w:rsidP="00B51E44">
      <w:pPr>
        <w:jc w:val="center"/>
        <w:rPr>
          <w:b/>
          <w:u w:val="single"/>
        </w:rPr>
      </w:pPr>
      <w:r w:rsidRPr="00D467E7">
        <w:rPr>
          <w:b/>
          <w:u w:val="single"/>
        </w:rPr>
        <w:t>PRESIDENTE MUNICIPAL</w:t>
      </w:r>
    </w:p>
    <w:p w:rsidR="00B51E44" w:rsidRDefault="00B51E44" w:rsidP="00B51E44">
      <w:r>
        <w:t>TITULO QUINTO DE LAS AUTORIDADES MUNICIPALES CAPITULO I De las Facultades y Obligaciones del Presidente Municipal ARTICULO 70. El Presidente Municipal es el ejecutivo de las determinaciones del Ayuntamiento; tendrá las siguientes facultades y obligaciones: (REFORMADA, P.O. 03 DE ABRIL DE 2007) I. Cumplir y hacer cumplir la Ley Orgánica del Municipio Libre, el Bando de Policía y Gobierno, los reglamentos y demás ordenamientos del Municipio, y las resoluciones del Cabildo que estén apegadas a derecho; II. Promulgar y ordenar conforme lo establece la presente Ley, la publicación de los reglamentos y disposiciones de observancia general aprobadas por el Cabildo;</w:t>
      </w:r>
    </w:p>
    <w:p w:rsidR="00B51E44" w:rsidRPr="00D467E7" w:rsidRDefault="00B51E44" w:rsidP="00B51E44">
      <w:pPr>
        <w:jc w:val="center"/>
        <w:rPr>
          <w:b/>
          <w:u w:val="single"/>
        </w:rPr>
      </w:pPr>
      <w:r w:rsidRPr="00D467E7">
        <w:rPr>
          <w:b/>
          <w:u w:val="single"/>
        </w:rPr>
        <w:t>REGIDORES</w:t>
      </w:r>
    </w:p>
    <w:p w:rsidR="00B51E44" w:rsidRDefault="00B51E44" w:rsidP="00B51E44">
      <w:r>
        <w:t>(REFORMADA, P.O. 03 DE ABRIL DE 2007) I. Asistir puntualmente a las sesiones del Cabildo participando en las discusiones con voz y voto; (REFORMADA, P.O. 03 DE ABRIL DE 2007) (REFORMADA, P.O.28 DE DICIEMBRE DE 2010) II. Desempeñar las comisiones que les encomiende el cabildo, informando a más tardar cada dos meses en sesión ordinaria, del trabajo realizado y de los resultados obtenidos; (REFORMADA, P.O. 03 DE ABRIL DE 2007) III. Proponer al cabildo los acuerdos que deban dictarse para la eficaz prestación de los servicios públicos, o el mejor ejercicio de las funciones municipales cuya vigilancia les haya sido encomendada; (REFORMADA, P.O. 03 DE ABRIL DE 2007) IV. Vigilar los ramos de la administración municipal que les correspondan, para lo cual contarán con la información suficiente y expedita de las dependencias municipales, informando periódicamente de ello al Cabildo; V. Suplir al Presidente en sus faltas temporales en la forma prevista en esta Ley; VI. Concurrir a las ceremonias oficiales y a los demás actos que fueren citados por el Presidente Municipal; VII. Solicitar se convoque a sesiones ordinarias y extraordinarias al Cabildo. Cuando se rehusare el Presidente Municipal a convocar a sesión sin causa justificada, o cuando por cualquier motivo no se encontrare en posibilidad de hacerlo, los regidores podrán convocar en los términos del último párrafo del artículo 21 de la presente Ley;</w:t>
      </w:r>
    </w:p>
    <w:p w:rsidR="00B51E44" w:rsidRPr="00D467E7" w:rsidRDefault="00B51E44" w:rsidP="00B51E44">
      <w:pPr>
        <w:jc w:val="center"/>
        <w:rPr>
          <w:b/>
          <w:u w:val="single"/>
        </w:rPr>
      </w:pPr>
      <w:r w:rsidRPr="00D467E7">
        <w:rPr>
          <w:b/>
          <w:u w:val="single"/>
        </w:rPr>
        <w:t>SINDICO</w:t>
      </w:r>
    </w:p>
    <w:p w:rsidR="00B51E44" w:rsidRDefault="00B51E44" w:rsidP="00B51E44">
      <w:r>
        <w:t xml:space="preserve">REFORMADA, P.O. 21 DE DICIEMBRE DE 2010) II. La representación jurídica del Ayuntamiento en los asuntos en que éste sea parte, y en la gestión de los negocios de la hacienda municipal, con </w:t>
      </w:r>
      <w:r>
        <w:lastRenderedPageBreak/>
        <w:t xml:space="preserve">todas las facultades de un apoderado general para pleitos y cobranzas, pudiendo además nombrar ante los tribunales, delegados, representantes legales, apoderados, coadyuvantes, según sea el caso, ello en los términos que establezca la ley que rija la materia en cuyo procedimiento comparezca; III. Vigilar la correcta aplicación del presupuesto municipal; IV. Asistir en coordinación con el Contralor Interno, a las visitas de inspección que se hagan a la Tesorería Municipal; V. Vigilar con la oportunidad necesaria, que se presente al Congreso del Estado en tiempo y forma la cuenta pública anual; asimismo, cerciorarse de que se ordene la publicación de los estados financieros mensuales, previo conocimiento del Ayuntamiento; VI. Legalizar la propiedad de los bienes municipales e intervenir en la formulación y actualización de los inventarios de bienes muebles e inmuebles del Municipio, en coordinación con la Oficialía Mayor o Tesorería, procurando que se establezcan los registros administrativos necesarios para su control y vigilancia; (REFORMADA, P.O. 03 DE ABRIL DE 2007) VII. Asistir puntualmente a las sesiones del Cabildo y participar en las discusiones con voz y voto; (REFORMADA, P.O. 03 DE ABRIL DE 2007) VIII. Refrendar con su firma, conjuntamente con las del Presidente Municipal y del Secretario, los contratos, concesiones y convenios que autorice el cabildo, responsabilizándose de que los documentos se apeguen a la ley; IX. Presidir las comisiones para las cuales fuere </w:t>
      </w:r>
      <w:proofErr w:type="gramStart"/>
      <w:r>
        <w:t>designado</w:t>
      </w:r>
      <w:proofErr w:type="gramEnd"/>
      <w:r>
        <w:t>;</w:t>
      </w:r>
    </w:p>
    <w:p w:rsidR="00B51E44" w:rsidRPr="00D467E7" w:rsidRDefault="00B51E44" w:rsidP="00B51E44">
      <w:pPr>
        <w:jc w:val="center"/>
        <w:rPr>
          <w:b/>
          <w:u w:val="single"/>
        </w:rPr>
      </w:pPr>
      <w:r w:rsidRPr="00D467E7">
        <w:rPr>
          <w:b/>
          <w:u w:val="single"/>
        </w:rPr>
        <w:t>CONTRALORIA</w:t>
      </w:r>
    </w:p>
    <w:p w:rsidR="00B51E44" w:rsidRDefault="00B51E44" w:rsidP="00B51E44">
      <w:r>
        <w:t xml:space="preserve">El Contralor Interno debe acreditar al momento de su nombramiento, el siguiente perfil: I. Tener título y cédula profesional de, licenciado en, derecho; contador público; administrador público; o economista, o cualquiera otra relacionada con las actividades de fiscalización, con antigüedad mínima de cinco años; II. Contar con por lo menos treinta años de edad; III. No haber sido condenado por sentencia ejecutoriada por la comisión de delitos patrimoniales que hayan ameritado pena privativa de libertad, y IV. Demostrar trayectoria, formación académica, actualización profesional, y experiencia laboral. (ADICIONADA, P.O. 23 DE JULIO DE 2015) ARTICULO 85 Ter. El Contralor Interno podrá ser removido de su cargo en cualquier momento, por el voto de cuando menos las dos terceras partes del cabildo, siempre que se actualice algunos de los motivos siguientes: I. Falta de probidad u honradez; II. Notoria Insuficiencia, negligencia e impericia en el desempeño del cargo; III. Comisión de faltas administrativas o delitos graves; IV. Incumplir cualquiera de las causas de responsabilidad como servidor público que establece el artículo 56 de la Ley de Responsabilidades de los Servidores Públicos del Estado y Municipios de San Luis Potosí, y V. Las demás que le señalen las leyes y reglamentos municipales. ARTICULO 86. Son facultades y obligaciones del Contralor Interno: I. Planear, programar, organizar y coordinar el sistema de control y evaluación municipal; II. Fiscalizar el ingreso y ejercicio del gasto público municipal, y su congruencia con el presupuesto de egresos; III. Vigilar que los recursos y aportaciones federales y estatales asignados al municipio, se apliquen en los términos estipulados en las leyes, reglamentos y convenios respectivos; (REFORMADA, P.O. 21 DE MARZO DE 2009) IV. Coordinarse con la Contraloría del Gobierno del Estado, y la Auditoria Superior del Estado, para el cumplimiento de sus atribuciones; (REFORMADA, P.O. 23 DE JULIO DE 2015) V. Programar y practicar auditorías a las dependencias y entidades de la administración pública municipal, informando el resultado y las conclusiones de las mismas al Cabildo. En caso de encontrar </w:t>
      </w:r>
      <w:r>
        <w:lastRenderedPageBreak/>
        <w:t>responsabilidades o inconsistencias derivadas de las auditorías realizadas, deberá informar de inmediato a la Auditoria Superior del Estado para que, en el ámbito de su competencia, ésta realice las actuaciones correspondientes;</w:t>
      </w:r>
    </w:p>
    <w:p w:rsidR="00B51E44" w:rsidRPr="00C17980" w:rsidRDefault="00B51E44" w:rsidP="00B51E44">
      <w:pPr>
        <w:jc w:val="center"/>
        <w:rPr>
          <w:b/>
          <w:u w:val="single"/>
        </w:rPr>
      </w:pPr>
      <w:r w:rsidRPr="00C17980">
        <w:rPr>
          <w:b/>
          <w:u w:val="single"/>
        </w:rPr>
        <w:t>TESORERIA</w:t>
      </w:r>
    </w:p>
    <w:p w:rsidR="00B51E44" w:rsidRDefault="00B51E44" w:rsidP="00B51E44">
      <w:r>
        <w:t>Para el control del erario municipal cada Ayuntamiento contará con un Tesorero, mismo que no deberá guardar parentesco con ninguno de los integrantes del Ayuntamiento, conforme a lo establecido por la legislación de responsabilidades de los servidores públicos aplicable. (REFORMADO, P.O. 25 DE MARZO DE 2010) El tesorero y todos los empleados que manejen fondos y valores, están obligados a caucionar su manejo de manera honrada y responsable, debiéndose fijar una fianza de por lo menos el equivalente a un mes de los ingresos propios, misma que deberá depositarse para su resguardo en la tesorería municipal; no podrá ejercerse el cargo sin que se haya otorgado dicha garantía, además de cumplir con todas las obligaciones y responsabilidades previstas por el Reglamento Interior Municipal; el presidente municipal, y el propio tesorero, serán responsables de que se realice dicho depósito. (REFORMADO, P.O. 05 DE JUNIO DE 2014) ARTICULO 80. Para ser Tesorero del Ayuntamiento es necesario cumplir con los requisitos siguientes: I. Contar con título profesional a nivel licenciatura en el área contable, y II. No haber sido condenado por sentencia ejecutoriada por la comisión de delitos patrimoniales que hayan ameritado pena privativa de libertad. ARTICULO 81. Son facultades y obligaciones del Tesorero: I. Intervenir en la elaboración de los proyectos de leyes, reglamentos y demás disposiciones relacionadas con el manejo de los asuntos financieros del Municipio; II. Asumir bajo su estricta responsabilidad lo relativo a las erogaciones que realice fuera de los presupuestos y programas aprobados por el Ayuntamiento; III. Determinar, liquidar y recaudar los impuestos, contribuciones de mejoras, derechos, productos y aprovechamientos que correspondan al Municipio conforme a la respectiva ley de ingresos municipal y demás leyes fiscales; así como administrar las participaciones y transferencias en contribuciones federales y estatales; (REFORMADA, P.O. 06 DE DICIEMBRE DE 2012) IV. Resguardar los ingresos que en efectivo recaude por los conceptos enunciados en la fracción anterior que correspondan al municipio, en términos de la ley de ingresos respectiva, y realizar el depósito bancario de los mismos al día hábil siguiente de su recaudación</w:t>
      </w:r>
    </w:p>
    <w:p w:rsidR="00B51E44" w:rsidRPr="00C17980" w:rsidRDefault="00B51E44" w:rsidP="00B51E44">
      <w:pPr>
        <w:jc w:val="center"/>
        <w:rPr>
          <w:b/>
          <w:u w:val="single"/>
        </w:rPr>
      </w:pPr>
      <w:r w:rsidRPr="00C17980">
        <w:rPr>
          <w:b/>
          <w:u w:val="single"/>
        </w:rPr>
        <w:t>CRONISTA MUICIPAL</w:t>
      </w:r>
    </w:p>
    <w:p w:rsidR="00B51E44" w:rsidRDefault="00B51E44" w:rsidP="00B51E44">
      <w:r>
        <w:t xml:space="preserve">El nombramiento de cronista municipal, o regional, recaerá en un ciudadano que se distinga por su labor y conocimiento de la historia y la cultura del municipio; y que tenga además la vocación de registrar y difundir los valores y tradiciones de la localidad. Este nombramiento podrá ser ejercido durante el tiempo que determine el o los gobiernos municipales, según se trate, o hasta los setenta años de edad del Cronista Municipal o Regional, considerando que haya cumplido con las siguientes actividades: I. Investigación de asuntos históricos y su difusión en los diferentes medios de comunicación: II. Actualización de la monografía del municipio; III. Colaboración en el rescate del patrimonio documental e histórico del municipio, así como en la conformación de archivos, hemerotecas, museos y bibliotecas para el servicio público; IV. Elaboración de biografías de </w:t>
      </w:r>
      <w:r>
        <w:lastRenderedPageBreak/>
        <w:t xml:space="preserve">personajes importantes del municipio; V. Promoción de eventos artísticos, deportivos y culturales, así como homenajes a personas distinguidas del municipio; VI. Apego de su labor a la verdad histórica, apolítico, y alejado de lisonjas que desvirtúen su labor, y VII. Colaboración en eventos cívicos, desfiles y conformación de un calendario de fechas históricas locales. Una vez alcanzada la edad referida, y habiendo cumplido con estas actividades, durante diez años ininterrumpidos se nombrará al cronista municipal, o regional, Cronista Emérito, y se procederá al nombramiento de un nuevo cronista municipal, o regional, según se trate. H. CONGRESO DEL ESTADO DE SAN LUIS POTOSI INSTITUTO DE INVESTIGACIONES LEGISLATIVAS </w:t>
      </w:r>
      <w:proofErr w:type="spellStart"/>
      <w:r>
        <w:t>Descargala</w:t>
      </w:r>
      <w:proofErr w:type="spellEnd"/>
      <w:r>
        <w:t xml:space="preserve"> en: www.congresoslp.gob.mx 48 (ADICIONADO, P.O.22 DE OCTUBRE DE 2011) ARTICULO 100 TER. Para el cumplimiento de sus funciones y atribuciones, el cronista municipal, o regional, contará dentro del ayuntamiento con las herramientas básicas para el desempeño de las mismas, así como con los recursos que se deriven del trabajo coordinado con las instituciones públicas y privadas, que tengan injerencia en la investigación, acervo y difusión de las culturas populares. El cronista municipal, o regional, percibirá una remuneración adecuada e irrenunciable por el desempeño de su función, la cual deberá ser directamente proporcional a sus responsabilidades. Tratándose de un cronista regional, los gobiernos municipales deberán acordar los aspectos establecidos en los párrafos anteriores a este artículo. (ADICIONADO, P.O.22 DE OCTUBRE DE 2011) ARTICULO 100 QUATER. Son funciones y atribuciones del cronista municipal, las siguientes: I. Registrar literaria y documentalmente los personajes y acontecimientos relevantes de la comunidad; II. Elaborar escritos referentes a la vida e historia de la comunidad; III. Colaborar en la sistematización y difusión del acervo documental del archivo general del ayuntamiento; IV. Fungir como investigador, asesor, promotor, y expositor de la cultura de la comunidad municipal; V. Elaborar una monografía de la vida institucional del municipio, para crear conciencia cívica, fortalecer la identidad y el arraigo local de los ciudadanos; VI. Coadyuvar en el fomento y difusión de eventos culturales, tradiciones y costumbres locales o regionales, y VII. Promover la inserción en los medios de comunicación de noticias, boletines, reportajes sobre el municipio y sus instituciones.</w:t>
      </w:r>
    </w:p>
    <w:p w:rsidR="00B51E44" w:rsidRPr="00C17980" w:rsidRDefault="00B51E44" w:rsidP="00B51E44">
      <w:pPr>
        <w:jc w:val="center"/>
        <w:rPr>
          <w:b/>
          <w:u w:val="single"/>
        </w:rPr>
      </w:pPr>
      <w:r w:rsidRPr="00C17980">
        <w:rPr>
          <w:b/>
          <w:u w:val="single"/>
        </w:rPr>
        <w:t>SCERTARIA</w:t>
      </w:r>
    </w:p>
    <w:p w:rsidR="00B51E44" w:rsidRDefault="00B51E44" w:rsidP="00B51E44">
      <w:r>
        <w:t>(REFORMADO, P.O. 23 DE SEPTIEMBRE DE 2000) ARTICULO 77. Para el despacho de los asuntos y para auxiliar al Presidente en sus funciones, cada Ayuntamiento contará con un Secretario, mismo que deberá reunir los siguientes requisitos: I. Ser ciudadano potosino en pleno uso de sus derechos civiles y políticos; II. Haber concluido la educación preparatoria o su equivalente, tratándose de municipios que tengan menos de cincuenta mil habitantes; III. Contar con título profesional de nivel licenciatura, en municipios cuya población sea mayor de cincuenta mil habitantes; IV. No ser pariente consanguíneo o por afinidad hasta el cuarto grado de los integrantes del Ayuntamiento; y V. No haber sido condenado por sentencia firme por la comisión de delitos dolosos que hayan ameritado pena de prisión. ARTICULO 78. Son facultades y obligaciones del Secretario: (REFORMADA, P.O. 03 DE ABRIL DE 2007)</w:t>
      </w:r>
      <w:r w:rsidRPr="00AA6DD4">
        <w:t xml:space="preserve"> </w:t>
      </w:r>
      <w:r>
        <w:t xml:space="preserve">I. Tener bajo su responsabilidad la recepción, organización, sistematización de su contenido, conservación y dirección del Archivo General del Ayuntamiento; II. Controlar la correspondencia y dar cuenta diaria de todos los asuntos al Presidente Municipal, para acordar el trámite correspondiente; III. </w:t>
      </w:r>
      <w:r>
        <w:lastRenderedPageBreak/>
        <w:t>Citar por escrito a los miembros del Ayuntamiento a las sesiones de Cabildo, formando el orden del día para cada sesión; (REFORMADA, P.O. 03 DE ABRIL DE 2007) IV. Estar presente en todas las sesiones de Cabildo con voz informativa, disponiendo de los antecedentes necesarios para el mejor conocimiento de los negocios que se deban resolver; (REFORMADA, P.O. 03 DE ABRIL DE 2007) V. Levantar las actas al término de cada sesión y recabar las firmas de los miembros del Ayuntamiento presentes, así como de aquellos funcionarios municipales que deban hacerlo; (REFORMADA, P.O. 03 DE ABRIL DE 2007) VI. Vigilar que oportunamente en los términos de ley se den a conocer a quienes corresponda, los acuerdos del Cabildo y del Presidente Municipal, autentificándolos con su firma; (REFORMADA, P.O. 03 DE ABRIL DE 2007) VII. Expedir cuando proceda, las copias, credenciales y demás certificaciones que acuerden el Cabildo y el Presidente Municipal; (REFORMADA, P.O. 03 DE ABRIL DE 2007) VIII. Autentificar con su firma las actas y documentos emanados del Cabildo y del Presidente Municipal; (REFORMADA, P.O. 23 DE JULIO DE 2015) IX. Suscribir las pólizas de pago de la Tesorería, así como los títulos de crédito que se emitan por el Ayuntamiento, en unión del Presidente Municipal, y del Tesorero, previa revisión del Contralor Interno; X. Distribuir entre los departamentos o secciones en que se divida la administración municipal los asuntos que les correspondan, cuidando proporcionar la documentación y datos necesarios para el mejor despacho de los asuntos;</w:t>
      </w:r>
    </w:p>
    <w:p w:rsidR="00B51E44" w:rsidRPr="00C17980" w:rsidRDefault="00B51E44" w:rsidP="00B51E44">
      <w:pPr>
        <w:jc w:val="center"/>
        <w:rPr>
          <w:b/>
          <w:u w:val="single"/>
        </w:rPr>
      </w:pPr>
      <w:r w:rsidRPr="00C17980">
        <w:rPr>
          <w:b/>
          <w:u w:val="single"/>
        </w:rPr>
        <w:t>PLANEACION</w:t>
      </w:r>
    </w:p>
    <w:p w:rsidR="00B51E44" w:rsidRDefault="00B51E44" w:rsidP="00B51E44">
      <w:r>
        <w:t>Los ayuntamientos con apoyo, en su caso, del organismo referido en el artículo 104 BIS de este Ordenamiento, planearán sus actividades en un Plan Municipal de Desarrollo, que deberá elaborarse y publicarse en un plazo no mayor de cuatro meses a partir de la instalación del ayuntamiento. (REFORMADO, P.O. 29 DE AGOSTO DE 2002) La vigencia del Plan no excederá del período constitucional que le corresponde; este programa debe ser congruente con el Plan Estatal de Desarrollo. (REFORMADO, P.O. 29 DE AGOSTO DE 2002) (REFORMADO, P.O. 01 DE NOVIEMBRE DE 2005) Dentro de los dos meses siguientes a su toma de posesión, los ayuntamientos convocarán a foros de consulta popular y, tomando en consideración sus resultados, propondrán a través del Comité de Planeación del Desarrollo Estatal, los objetivos y prioridades municipales que deban incorporarse al Plan Estatal de Desarrollo. En lo aplicable, los ayuntamientos deberán sujetarse a lo dispuesto por la Ley de Planeación del Estado y Municipios de San Luis Potosí</w:t>
      </w:r>
    </w:p>
    <w:p w:rsidR="00B51E44" w:rsidRPr="00C17980" w:rsidRDefault="00B51E44" w:rsidP="00B51E44">
      <w:pPr>
        <w:jc w:val="center"/>
        <w:rPr>
          <w:b/>
          <w:u w:val="single"/>
        </w:rPr>
      </w:pPr>
      <w:r w:rsidRPr="00C17980">
        <w:rPr>
          <w:b/>
          <w:u w:val="single"/>
        </w:rPr>
        <w:t>SERVICIOS PUBLICOS MUNICIPALES</w:t>
      </w:r>
    </w:p>
    <w:p w:rsidR="00B51E44" w:rsidRDefault="00B51E44" w:rsidP="00B51E44">
      <w:r>
        <w:t xml:space="preserve">Los municipios organizarán y reglamentarán la administración, prestación, conservación y explotación en su caso, de los servicios públicos y funciones municipales, considerándose que tienen este carácter los siguientes: I. Agua potable, drenaje, alcantarillado, tratamiento y disposición de aguas residuales; II. Alumbrado público; III. Limpia, recolección, traslado, tratamiento y disposición final de residuos; IV. Mercados y centrales de abasto; V. Panteones; VI. Rastros; VII. Calles, parques y jardines, y su equipamiento; VIII. Seguridad pública en los términos del artículo 21 de la Constitución Política de los Estados Unidos Mexicanos, policía preventiva municipal y tránsito; IX. Cultura, recreación y deporte, y X. Los demás que el Congreso del Estado determine, según las condiciones territoriales y socioeconómicas de los municipios, y en atención </w:t>
      </w:r>
      <w:r>
        <w:lastRenderedPageBreak/>
        <w:t xml:space="preserve">a su capacidad administrativa y financiera, pudiendo tener el concurso del Estado respecto de los mismos cuando así fuere necesario y lo determinen las leyes. H. CONGRESO DEL ESTADO DE SAN LUIS POTOSI INSTITUTO DE INVESTIGACIONES LEGISLATIVAS </w:t>
      </w:r>
      <w:proofErr w:type="spellStart"/>
      <w:r>
        <w:t>Descargala</w:t>
      </w:r>
      <w:proofErr w:type="spellEnd"/>
      <w:r>
        <w:t xml:space="preserve"> en: www.congresoslp.gob.mx 57 En el desempeño de las funciones y la prestación de los servicios públicos a su cargo, los municipios deberán observar lo dispuesto en las leyes federales y estatales, sin perjuicio de su competencia constitucional. ARTICULO 142. La prestación de los servicios públicos y funciones municipales será responsabilidad de los ayuntamientos, y podrá ser realizada por sí o a través de organismos paramunicipales o intermunicipales, y de concesionarios o contratistas. ARTICULO 143. Cuando las funciones y servicios públicos municipales sean prestados en forma parcial o total, por organismos paramunicipales o intermunicipales, o concesionarios o contratistas, se sujetarán a las disposiciones legales aplicables. ARTICULO 144. Cuando un Ayuntamiento no pueda proporcionar los servicios que esta Ley determina, el Ejecutivo del Estado podrá asumir, mediante la celebración de convenio respectivo y por el tiempo estrictamente necesario, la prestación de los mismos en forma total o parcial, según sea el caso. ARTICULO 145. Los convenios a que se refiere el artículo anterior, así como los demás que se celebren entre el Gobierno del Estado y los municipios en los diversos casos que establecen las fracciones III y IV del artículo 114 de la Constitución del Estado y el segundo párrafo del artículo 116 de la Constitución Política de los Estados Unidos Mexicanos, atenderán a las siguientes normas generales: I. Se incluirá la fecha y trascripción de los puntos de acuerdo consignados en el Acta de Cabildo en la que se apruebe por el voto de por lo menos las dos terceras partes de sus integrantes la celebración del convenio y la determinación precisa del servicio o función de que se trate; II. Deberá acreditarse conforme a derecho la personalidad de los funcionarios que celebran el convenio, y se establecerán los antecedentes y la justificación de la imposibilidad parcial o total para la prestación del servicio o función de que se trate; III. Se consignará la duración del convenio, incluyendo cláusula de terminación natural, anticipada o de ratificación anual según sea el caso, así como causales de nulidad y rescisión administrativa. Los convenios que excedan el término constitucional de una administración municipal deberán ser aprobados por Congreso del Estado; IV. Se establecerán las obligaciones y responsabilidades que adquiere el Estado o el municipio según sea el caso, con la asunción del servicio o función de que se trate; V. Se fijarán las condiciones en las que deberá prestarse el servicio o desarrollarse la función que se asuma; VI. En los casos en que se amerite, se incluirá un programa de capacitación para personal municipal que atienda la operación de los servicios públicos en administración, para que cuando las condiciones lo permitan, se reasuma la operación del servicio público por los municipios en condiciones</w:t>
      </w:r>
    </w:p>
    <w:p w:rsidR="00C17980" w:rsidRPr="0081713D" w:rsidRDefault="00C17980" w:rsidP="0081713D">
      <w:bookmarkStart w:id="0" w:name="_GoBack"/>
      <w:bookmarkEnd w:id="0"/>
    </w:p>
    <w:sectPr w:rsidR="00C17980" w:rsidRPr="0081713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7E7"/>
    <w:rsid w:val="007538B5"/>
    <w:rsid w:val="0081713D"/>
    <w:rsid w:val="00B51E44"/>
    <w:rsid w:val="00B91B6F"/>
    <w:rsid w:val="00C17980"/>
    <w:rsid w:val="00D467E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67E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1713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1713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67E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1713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1713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293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788BE7-EF2F-43A6-8CE7-FACB0D2DD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6</Pages>
  <Words>3036</Words>
  <Characters>16698</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 RECEPCION</dc:creator>
  <cp:lastModifiedBy>RH RECEPCION</cp:lastModifiedBy>
  <cp:revision>4</cp:revision>
  <dcterms:created xsi:type="dcterms:W3CDTF">2020-03-10T19:46:00Z</dcterms:created>
  <dcterms:modified xsi:type="dcterms:W3CDTF">2021-08-02T18:19:00Z</dcterms:modified>
</cp:coreProperties>
</file>