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0"/>
          <w:szCs w:val="20"/>
          <w:lang w:eastAsia="en-US"/>
        </w:rPr>
      </w:pPr>
      <w:bookmarkStart w:id="0" w:name="_GoBack"/>
      <w:bookmarkEnd w:id="0"/>
    </w:p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0"/>
          <w:szCs w:val="20"/>
          <w:lang w:eastAsia="en-US"/>
        </w:rPr>
      </w:pPr>
    </w:p>
    <w:p w:rsidR="004D2B25" w:rsidRPr="00721B6A" w:rsidRDefault="004D2B25" w:rsidP="00723D3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721B6A">
        <w:rPr>
          <w:rFonts w:asciiTheme="minorHAnsi" w:hAnsiTheme="minorHAnsi" w:cstheme="minorHAnsi"/>
          <w:b/>
          <w:bCs/>
          <w:sz w:val="24"/>
          <w:szCs w:val="24"/>
        </w:rPr>
        <w:t>Coordinación General</w:t>
      </w: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bCs/>
        </w:rPr>
      </w:pPr>
    </w:p>
    <w:p w:rsidR="004D2B25" w:rsidRPr="00721B6A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721B6A">
        <w:rPr>
          <w:rFonts w:asciiTheme="minorHAnsi" w:eastAsiaTheme="minorHAnsi" w:hAnsiTheme="minorHAnsi" w:cstheme="minorHAnsi"/>
          <w:bCs/>
          <w:color w:val="000000"/>
          <w:sz w:val="20"/>
          <w:szCs w:val="20"/>
          <w:lang w:eastAsia="en-US"/>
        </w:rPr>
        <w:t>De acuerdo  con el a</w:t>
      </w:r>
      <w:r w:rsidRPr="004F5E0E">
        <w:rPr>
          <w:rFonts w:asciiTheme="minorHAnsi" w:eastAsiaTheme="minorHAnsi" w:hAnsiTheme="minorHAnsi" w:cstheme="minorHAnsi"/>
          <w:bCs/>
          <w:color w:val="000000"/>
          <w:sz w:val="20"/>
          <w:szCs w:val="20"/>
          <w:lang w:eastAsia="en-US"/>
        </w:rPr>
        <w:t>rtículo 17</w:t>
      </w:r>
      <w:r w:rsidRPr="00721B6A">
        <w:rPr>
          <w:rFonts w:asciiTheme="minorHAnsi" w:eastAsiaTheme="minorHAnsi" w:hAnsiTheme="minorHAnsi" w:cstheme="minorHAnsi"/>
          <w:bCs/>
          <w:color w:val="000000"/>
          <w:sz w:val="20"/>
          <w:szCs w:val="20"/>
          <w:lang w:eastAsia="en-US"/>
        </w:rPr>
        <w:t xml:space="preserve"> de la Ley de la Defensoría Pública del Estado,  c</w:t>
      </w:r>
      <w:r w:rsidRPr="004F5E0E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orresponde al Coordinador o Coordinadora General de la Defensoría Pública del Estado, el ejercicio de las siguientes atribuciones: </w:t>
      </w:r>
    </w:p>
    <w:p w:rsidR="004D2B25" w:rsidRPr="004F5E0E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Representar legalmente a la Defensoría Pública en los términos de Ley; </w:t>
      </w:r>
    </w:p>
    <w:p w:rsidR="004D2B25" w:rsidRPr="00885E22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Planear, organizar, dirigir, coordinar, controlar, supervisar y evaluar los servicios de defensa, patrocinio y asesoría jurídica que se establecen en la Ley;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Vigilar y proveer conforme a la presente Ley, que se cumpla con todo cuanto se refiera a lo ordenado por el artículo 18 de la Constitución Política del Estado, en relación a la gestión, defensa, patrocinio y asesoría profesional y gratuita, para aquellas personas que por su condición socioeconómica o por disposición de la ley lo requieran, así como con lo establecido en el artículo 20 de la Constitución Política de los Estados Unidos Mexicanos; </w:t>
      </w:r>
    </w:p>
    <w:p w:rsidR="004D2B25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Proponer al Ejecutivo a los asesores que integren el Consejo Asesor Honorifico;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Establecer el calendario de sesiones del Consejo Asesor Honorifico;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Coordinar las actividades que realicen los peritos y trabajadores sociales, para el mejor desempeño en materia penal y las diversas a ésta que requieran de su apoyo;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Delegar en sus subalternos para la mejor distribución y despacho de los asuntos de su competencia las facultades que le son propias, siempre que no se trate de aquellas cuyo ejercicio le corresponde directamente;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Expedir las circulares, formatos, lineamientos, criterios, metodologías, instructivos, manuales y demás disposiciones internas necesarias para la debida prestación del servicio y el correcto funcionamiento de la Defensoría;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Administrar y coordinar los recursos humanos, financieros y materiales con que cuente la defensoría, para el ejercicio de sus atribuciones;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Realizar visitas de inspección a las áreas y adscripciones, para informarse del estado que guardan los asuntos en que participa la Defensoría, a fin de cerciorarse del debido y honesto ejercicio del servicio; </w:t>
      </w:r>
    </w:p>
    <w:p w:rsidR="004D2B25" w:rsidRPr="00C65FF8" w:rsidRDefault="004D2B25" w:rsidP="004D2B25">
      <w:pPr>
        <w:pStyle w:val="Prrafodelista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Operar y aplicar las disposiciones de la presente Ley y su Reglamento en lo referente al Servicio Profesional de Carrera; </w:t>
      </w:r>
    </w:p>
    <w:p w:rsidR="004D2B25" w:rsidRDefault="004D2B25" w:rsidP="004D2B25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Definir las relaciones de la Coordinación General de la Defensoría Pública con las demás Dependencias del Ejec</w:t>
      </w:r>
      <w:r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utivo y autoridades del Estado;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Comparecer ante el Congreso del Estado cuando éste o sus comisiones lo soliciten, contando para ello con el acuerdo del Gobernador del Estado;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Revisar y autorizar del Programa Operativo Anual de Capacitación, actualización y especialización de los defensores públicos y demás personal de la Defensoría; </w:t>
      </w:r>
    </w:p>
    <w:p w:rsidR="004D2B25" w:rsidRPr="00C65FF8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Proponer al Ejecutivo los proyectos de iniciativa de ley, reformas o adiciones legislativas que considere necesarias para la satisfacción de los fines de la Coordinación General de la Defensoría; </w:t>
      </w:r>
    </w:p>
    <w:p w:rsidR="004D2B25" w:rsidRPr="00885E22" w:rsidRDefault="004D2B25" w:rsidP="004D2B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Proponer al Ejecutivo para su aprobación y publicación, los proyectos de reglamentos internos, acuerdos administrativos, circulares, manuales de operación y procedimientos, así como de servicios al público, de la Coordinación General de la Defensoría Pública; </w:t>
      </w:r>
    </w:p>
    <w:p w:rsidR="004D2B25" w:rsidRPr="00885E22" w:rsidRDefault="004D2B25" w:rsidP="004D2B25">
      <w:pPr>
        <w:pStyle w:val="Prrafodelista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Designar a las o los directores de área; subdirectores regionales; defensoras y defensores públicos; visitadores; peritos, y demás personal de la Defensoría, y </w:t>
      </w:r>
    </w:p>
    <w:p w:rsidR="004D2B25" w:rsidRPr="00885E22" w:rsidRDefault="004D2B25" w:rsidP="004D2B25">
      <w:pPr>
        <w:pStyle w:val="Prrafodelista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</w:p>
    <w:p w:rsidR="004D2B25" w:rsidRPr="00885E22" w:rsidRDefault="004D2B25" w:rsidP="004D2B25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85E22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Las que expresamente le encomiende el titular del Poder Ejecutivo; le señalen la presente Ley y su Reglamento; y los demás ordenamientos legales aplicables. </w:t>
      </w: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4D2B25" w:rsidRPr="00721B6A" w:rsidRDefault="004D2B25" w:rsidP="004D2B25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225" w:rsidRDefault="00E17225">
      <w:pPr>
        <w:spacing w:after="0" w:line="240" w:lineRule="auto"/>
      </w:pPr>
      <w:r>
        <w:separator/>
      </w:r>
    </w:p>
  </w:endnote>
  <w:endnote w:type="continuationSeparator" w:id="0">
    <w:p w:rsidR="00E17225" w:rsidRDefault="00E17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B066F66-CF55-43FB-A834-D6A98A2722C1}"/>
    <w:embedBold r:id="rId2" w:fontKey="{B0729E45-BCA5-4EE6-B3F6-BE0A07DD714D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09FA7A0-679F-4CC4-B740-1232865EDE9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225" w:rsidRDefault="00E17225">
      <w:pPr>
        <w:spacing w:after="0" w:line="240" w:lineRule="auto"/>
      </w:pPr>
      <w:r>
        <w:separator/>
      </w:r>
    </w:p>
  </w:footnote>
  <w:footnote w:type="continuationSeparator" w:id="0">
    <w:p w:rsidR="00E17225" w:rsidRDefault="00E172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D2B25"/>
    <w:rsid w:val="004E32B0"/>
    <w:rsid w:val="004F1DEC"/>
    <w:rsid w:val="004F258E"/>
    <w:rsid w:val="004F4F9A"/>
    <w:rsid w:val="004F5FA1"/>
    <w:rsid w:val="00516F1E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23D31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C3267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9300F"/>
    <w:rsid w:val="00DA2AB9"/>
    <w:rsid w:val="00DB449B"/>
    <w:rsid w:val="00DC44D3"/>
    <w:rsid w:val="00DD27C2"/>
    <w:rsid w:val="00DE3B40"/>
    <w:rsid w:val="00DE6E6E"/>
    <w:rsid w:val="00E17225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690C75C-F3BB-49CE-8275-B96E24D4A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4D2B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1BE69-E6D0-47F7-8438-EAE7F2DBE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522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2020-03-05T14:41:00Z</dcterms:modified>
</cp:coreProperties>
</file>