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2D48" w:rsidRPr="007C5605" w:rsidRDefault="004E2D48" w:rsidP="004E2D48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bookmarkStart w:id="0" w:name="_Hlk52372662"/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RECURSO DE REVISIÓN </w:t>
      </w:r>
      <w:r w:rsidR="00F43251">
        <w:rPr>
          <w:rFonts w:ascii="AvantGarde Bk BT" w:hAnsi="AvantGarde Bk BT" w:cs="Arial"/>
          <w:b/>
          <w:color w:val="000000" w:themeColor="text1"/>
          <w:sz w:val="24"/>
          <w:szCs w:val="24"/>
        </w:rPr>
        <w:t>2132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/2020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-1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SICOM</w:t>
      </w:r>
    </w:p>
    <w:p w:rsidR="004E2D48" w:rsidRPr="007C5605" w:rsidRDefault="004E2D48" w:rsidP="004E2D48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4E2D48" w:rsidRPr="007C5605" w:rsidRDefault="004E2D48" w:rsidP="004E2D48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COMISIONADO PONENTE: </w:t>
      </w:r>
    </w:p>
    <w:p w:rsidR="004E2D48" w:rsidRDefault="004E2D48" w:rsidP="004E2D48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E552D5">
        <w:rPr>
          <w:rFonts w:ascii="AvantGarde Bk BT" w:hAnsi="AvantGarde Bk BT" w:cs="Arial"/>
          <w:b/>
          <w:color w:val="000000" w:themeColor="text1"/>
          <w:sz w:val="24"/>
          <w:szCs w:val="24"/>
        </w:rPr>
        <w:t>LIC. DAVID ENRIQUE MENCHACA ZÚÑIGA</w:t>
      </w:r>
    </w:p>
    <w:p w:rsidR="004E2D48" w:rsidRPr="007C5605" w:rsidRDefault="004E2D48" w:rsidP="004E2D48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:rsidR="004E2D48" w:rsidRPr="007C5605" w:rsidRDefault="004E2D48" w:rsidP="004E2D48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MATERIA:</w:t>
      </w:r>
    </w:p>
    <w:p w:rsidR="004E2D48" w:rsidRPr="007C5605" w:rsidRDefault="004E2D48" w:rsidP="004E2D48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ACCESO A LA INFO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RMACIÓN PÚBLICA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</w:p>
    <w:p w:rsidR="004E2D48" w:rsidRPr="007C5605" w:rsidRDefault="004E2D48" w:rsidP="004E2D48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:rsidR="004E2D48" w:rsidRPr="007C5605" w:rsidRDefault="004E2D48" w:rsidP="004E2D48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SUJETO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OBLIGADO:</w:t>
      </w:r>
    </w:p>
    <w:p w:rsidR="004E2D48" w:rsidRDefault="004E2D48" w:rsidP="004E2D48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bookmarkStart w:id="1" w:name="_Hlk55303561"/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HOSPITAL CENTRAL “DR. IGNACIO MORONES PRIETO”</w:t>
      </w:r>
    </w:p>
    <w:p w:rsidR="004E2D48" w:rsidRDefault="004E2D48" w:rsidP="004E2D48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color w:val="000000" w:themeColor="text1"/>
          <w:sz w:val="24"/>
          <w:szCs w:val="24"/>
        </w:rPr>
      </w:pPr>
    </w:p>
    <w:bookmarkEnd w:id="1"/>
    <w:p w:rsidR="004E2D48" w:rsidRPr="007C5605" w:rsidRDefault="004E2D48" w:rsidP="004E2D48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4E2D48" w:rsidRPr="007C5605" w:rsidRDefault="004E2D48" w:rsidP="004E2D48">
      <w:pPr>
        <w:pStyle w:val="corte4fondo"/>
        <w:tabs>
          <w:tab w:val="left" w:pos="567"/>
        </w:tabs>
        <w:ind w:left="113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          San Luis Potosí, San Luis Potosí. Acuerdo del Pleno de la Comisión Estatal de Garantía de Acceso a la Información Pública, correspondiente a la sesión </w:t>
      </w:r>
      <w:r w:rsidRPr="00A432C3">
        <w:rPr>
          <w:rFonts w:ascii="AvantGarde Bk BT" w:hAnsi="AvantGarde Bk BT" w:cs="Arial"/>
          <w:color w:val="000000" w:themeColor="text1"/>
          <w:sz w:val="24"/>
          <w:szCs w:val="24"/>
        </w:rPr>
        <w:t xml:space="preserve">del </w:t>
      </w:r>
      <w:r w:rsidR="009F479E">
        <w:rPr>
          <w:rFonts w:ascii="AvantGarde Bk BT" w:hAnsi="AvantGarde Bk BT" w:cs="Arial"/>
          <w:color w:val="000000" w:themeColor="text1"/>
          <w:sz w:val="24"/>
          <w:szCs w:val="24"/>
        </w:rPr>
        <w:t>14 catorce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A432C3">
        <w:rPr>
          <w:rFonts w:ascii="AvantGarde Bk BT" w:hAnsi="AvantGarde Bk BT" w:cs="Arial"/>
          <w:color w:val="000000" w:themeColor="text1"/>
          <w:sz w:val="24"/>
          <w:szCs w:val="24"/>
        </w:rPr>
        <w:t xml:space="preserve">de </w:t>
      </w:r>
      <w:r w:rsidR="009F479E">
        <w:rPr>
          <w:rFonts w:ascii="AvantGarde Bk BT" w:hAnsi="AvantGarde Bk BT" w:cs="Arial"/>
          <w:color w:val="000000" w:themeColor="text1"/>
          <w:sz w:val="24"/>
          <w:szCs w:val="24"/>
        </w:rPr>
        <w:t>enero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</w:t>
      </w:r>
      <w:r w:rsidR="009F479E">
        <w:rPr>
          <w:rFonts w:ascii="AvantGarde Bk BT" w:hAnsi="AvantGarde Bk BT" w:cs="Arial"/>
          <w:color w:val="000000" w:themeColor="text1"/>
          <w:sz w:val="24"/>
          <w:szCs w:val="24"/>
        </w:rPr>
        <w:t>21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proofErr w:type="gramStart"/>
      <w:r>
        <w:rPr>
          <w:rFonts w:ascii="AvantGarde Bk BT" w:hAnsi="AvantGarde Bk BT" w:cs="Arial"/>
          <w:color w:val="000000" w:themeColor="text1"/>
          <w:sz w:val="24"/>
          <w:szCs w:val="24"/>
        </w:rPr>
        <w:t>dos mil</w:t>
      </w:r>
      <w:r w:rsidR="009F479E">
        <w:rPr>
          <w:rFonts w:ascii="AvantGarde Bk BT" w:hAnsi="AvantGarde Bk BT" w:cs="Arial"/>
          <w:color w:val="000000" w:themeColor="text1"/>
          <w:sz w:val="24"/>
          <w:szCs w:val="24"/>
        </w:rPr>
        <w:t xml:space="preserve"> veintiuno</w:t>
      </w:r>
      <w:proofErr w:type="gramEnd"/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.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</w:p>
    <w:p w:rsidR="004E2D48" w:rsidRPr="007C5605" w:rsidRDefault="004E2D48" w:rsidP="004E2D48">
      <w:pPr>
        <w:pStyle w:val="corte4fondo"/>
        <w:tabs>
          <w:tab w:val="left" w:pos="567"/>
        </w:tabs>
        <w:ind w:left="454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4E2D48" w:rsidRPr="007C5605" w:rsidRDefault="004E2D48" w:rsidP="004E2D48">
      <w:pPr>
        <w:pStyle w:val="corte4fondo"/>
        <w:tabs>
          <w:tab w:val="left" w:pos="567"/>
        </w:tabs>
        <w:ind w:left="113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          VISTOS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, para resolver, los autos del recurso de revisión identificado al rubro; y</w:t>
      </w:r>
    </w:p>
    <w:p w:rsidR="004E2D48" w:rsidRPr="007C5605" w:rsidRDefault="004E2D48" w:rsidP="004E2D48">
      <w:pPr>
        <w:pStyle w:val="corte4fondo"/>
        <w:tabs>
          <w:tab w:val="left" w:pos="567"/>
        </w:tabs>
        <w:spacing w:line="240" w:lineRule="auto"/>
        <w:ind w:left="454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4E2D48" w:rsidRPr="007C5605" w:rsidRDefault="004E2D48" w:rsidP="004E2D48">
      <w:pPr>
        <w:pStyle w:val="corte4fondo"/>
        <w:tabs>
          <w:tab w:val="left" w:pos="567"/>
        </w:tabs>
        <w:ind w:left="454"/>
        <w:jc w:val="center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RESULTANDO:</w:t>
      </w:r>
    </w:p>
    <w:p w:rsidR="004E2D48" w:rsidRPr="007C5605" w:rsidRDefault="004E2D48" w:rsidP="004E2D48">
      <w:pPr>
        <w:pStyle w:val="corte4fondo"/>
        <w:tabs>
          <w:tab w:val="left" w:pos="567"/>
        </w:tabs>
        <w:ind w:left="454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4E2D48" w:rsidRDefault="004E2D48" w:rsidP="004E2D48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PRIMERO.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Solicitud de acceso a la información pública.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</w:t>
      </w:r>
      <w:r w:rsidR="009F479E">
        <w:rPr>
          <w:rFonts w:ascii="AvantGarde Bk BT" w:hAnsi="AvantGarde Bk BT" w:cs="Arial"/>
          <w:color w:val="000000" w:themeColor="text1"/>
          <w:sz w:val="24"/>
          <w:szCs w:val="24"/>
        </w:rPr>
        <w:t>22 veintidós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de </w:t>
      </w:r>
      <w:r w:rsidR="009F479E">
        <w:rPr>
          <w:rFonts w:ascii="AvantGarde Bk BT" w:hAnsi="AvantGarde Bk BT" w:cs="Arial"/>
          <w:color w:val="000000" w:themeColor="text1"/>
          <w:sz w:val="24"/>
          <w:szCs w:val="24"/>
        </w:rPr>
        <w:t>junio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2020 dos mil veinte al </w:t>
      </w:r>
      <w:r w:rsidR="009F479E">
        <w:rPr>
          <w:rFonts w:ascii="AvantGarde Bk BT" w:hAnsi="AvantGarde Bk BT" w:cs="Arial"/>
          <w:b/>
          <w:color w:val="000000" w:themeColor="text1"/>
          <w:sz w:val="24"/>
          <w:szCs w:val="24"/>
        </w:rPr>
        <w:t>HOSPITAL CENTRAL “DR. IGNACIO MORONES PRIETO”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,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recibió una solicitud de información a través de la Plataforma Nacional de Transparencia, misma que quedó registrada con número de folio 0</w:t>
      </w:r>
      <w:r w:rsidR="009F479E">
        <w:rPr>
          <w:rFonts w:ascii="AvantGarde Bk BT" w:hAnsi="AvantGarde Bk BT" w:cs="Arial"/>
          <w:color w:val="000000" w:themeColor="text1"/>
          <w:sz w:val="24"/>
          <w:szCs w:val="24"/>
        </w:rPr>
        <w:t>0807920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.</w:t>
      </w:r>
    </w:p>
    <w:p w:rsidR="004E2D48" w:rsidRPr="00207103" w:rsidRDefault="004E2D48" w:rsidP="004E2D48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4E2D48" w:rsidRPr="00B41C93" w:rsidRDefault="004E2D48" w:rsidP="004E2D48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SEGUNDO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. 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Respuesta a la solicitud de acceso a la información pública.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El </w:t>
      </w:r>
      <w:r w:rsidR="009F479E">
        <w:rPr>
          <w:rFonts w:ascii="AvantGarde Bk BT" w:hAnsi="AvantGarde Bk BT" w:cs="Arial"/>
          <w:color w:val="000000" w:themeColor="text1"/>
          <w:sz w:val="24"/>
          <w:szCs w:val="24"/>
        </w:rPr>
        <w:t>02 dos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de </w:t>
      </w:r>
      <w:r w:rsidR="009F479E">
        <w:rPr>
          <w:rFonts w:ascii="AvantGarde Bk BT" w:hAnsi="AvantGarde Bk BT" w:cs="Arial"/>
          <w:color w:val="000000" w:themeColor="text1"/>
          <w:sz w:val="24"/>
          <w:szCs w:val="24"/>
        </w:rPr>
        <w:t>julio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2020 dos mil veinte el sujeto obligado otorgó contestación a la solicitud de acceso. </w:t>
      </w:r>
    </w:p>
    <w:p w:rsidR="004E2D48" w:rsidRDefault="004E2D48" w:rsidP="004E2D48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:rsidR="004E2D48" w:rsidRDefault="004E2D48" w:rsidP="004E2D48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TERCERO. 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Interposición del recurso.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</w:t>
      </w:r>
      <w:r w:rsidR="009F479E">
        <w:rPr>
          <w:rFonts w:ascii="AvantGarde Bk BT" w:hAnsi="AvantGarde Bk BT" w:cs="Arial"/>
          <w:color w:val="000000" w:themeColor="text1"/>
          <w:sz w:val="24"/>
          <w:szCs w:val="24"/>
        </w:rPr>
        <w:t>02 dos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de </w:t>
      </w:r>
      <w:r w:rsidR="009F479E">
        <w:rPr>
          <w:rFonts w:ascii="AvantGarde Bk BT" w:hAnsi="AvantGarde Bk BT" w:cs="Arial"/>
          <w:color w:val="000000" w:themeColor="text1"/>
          <w:sz w:val="24"/>
          <w:szCs w:val="24"/>
        </w:rPr>
        <w:t>septiembre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2020 dos mil veinte el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solicitante de la información interpuso el recurso de revisión en contra de la respuesta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a la solicitud. </w:t>
      </w:r>
    </w:p>
    <w:p w:rsidR="004E2D48" w:rsidRPr="0092495A" w:rsidRDefault="004E2D48" w:rsidP="004E2D4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4E2D48" w:rsidRPr="007C5605" w:rsidRDefault="004E2D48" w:rsidP="004E2D48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CUARTO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Trámite del recurso de revisión ante esta Comisión Estatal de Garantía de Acceso a la Información Pública.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Mediante auto del </w:t>
      </w:r>
      <w:r w:rsidR="009F479E">
        <w:rPr>
          <w:rFonts w:ascii="AvantGarde Bk BT" w:hAnsi="AvantGarde Bk BT" w:cs="Arial"/>
          <w:color w:val="000000" w:themeColor="text1"/>
          <w:sz w:val="24"/>
          <w:szCs w:val="24"/>
        </w:rPr>
        <w:t>07 siete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9F479E">
        <w:rPr>
          <w:rFonts w:ascii="AvantGarde Bk BT" w:hAnsi="AvantGarde Bk BT" w:cs="Arial"/>
          <w:color w:val="000000" w:themeColor="text1"/>
          <w:sz w:val="24"/>
          <w:szCs w:val="24"/>
        </w:rPr>
        <w:t>de septiembre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2020 dos mil veinte,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la presidencia de esta Comisión de Transparencia tuvo por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lastRenderedPageBreak/>
        <w:t>recibido el recurso de revisión, que, por razón de turno, tocó conocer a la ponencia del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Lic. David Enrique Menchaca Zúñiga</w:t>
      </w:r>
      <w:r w:rsidRPr="004A18DE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para que procediera, previo su análisis, a su admisión o </w:t>
      </w:r>
      <w:proofErr w:type="spellStart"/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desechamiento</w:t>
      </w:r>
      <w:proofErr w:type="spellEnd"/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según fuera el caso.</w:t>
      </w:r>
    </w:p>
    <w:p w:rsidR="004E2D48" w:rsidRPr="007C5605" w:rsidRDefault="004E2D48" w:rsidP="004E2D48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4E2D48" w:rsidRPr="007C5605" w:rsidRDefault="004E2D48" w:rsidP="004E2D48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QUINTO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. Auto de 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admisión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Por proveído del </w:t>
      </w:r>
      <w:r w:rsidR="009F479E">
        <w:rPr>
          <w:rFonts w:ascii="AvantGarde Bk BT" w:hAnsi="AvantGarde Bk BT" w:cs="Arial"/>
          <w:color w:val="000000" w:themeColor="text1"/>
          <w:sz w:val="24"/>
          <w:szCs w:val="24"/>
        </w:rPr>
        <w:t>14 catorce de octubre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2020 dos mil veinte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el Comisionado Ponente:</w:t>
      </w:r>
    </w:p>
    <w:p w:rsidR="004E2D48" w:rsidRPr="007C5605" w:rsidRDefault="004E2D48" w:rsidP="004E2D48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4E2D48" w:rsidRPr="007C5605" w:rsidRDefault="004E2D48" w:rsidP="004E2D4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• Admitió en tiempo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y forma el medio de impugnación en atención a la hipótesis establecida en la fracción </w:t>
      </w:r>
      <w:r w:rsidR="009F479E">
        <w:rPr>
          <w:rFonts w:ascii="AvantGarde Bk BT" w:hAnsi="AvantGarde Bk BT" w:cs="Arial"/>
          <w:color w:val="000000" w:themeColor="text1"/>
          <w:sz w:val="24"/>
          <w:szCs w:val="24"/>
        </w:rPr>
        <w:t>IV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del artículo 167, de la Ley de la materia.</w:t>
      </w:r>
    </w:p>
    <w:p w:rsidR="004E2D48" w:rsidRPr="00BF7B76" w:rsidRDefault="004E2D48" w:rsidP="004E2D4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•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El ponente registró en el Libro de Gobierno el presente expediente como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recurso de revisión </w:t>
      </w:r>
      <w:r w:rsidRPr="00BF7B76">
        <w:rPr>
          <w:rFonts w:ascii="AvantGarde Bk BT" w:hAnsi="AvantGarde Bk BT" w:cs="Arial"/>
          <w:b/>
          <w:color w:val="000000" w:themeColor="text1"/>
          <w:sz w:val="24"/>
          <w:szCs w:val="24"/>
        </w:rPr>
        <w:t>RR-</w:t>
      </w:r>
      <w:r w:rsidR="009F479E">
        <w:rPr>
          <w:rFonts w:ascii="AvantGarde Bk BT" w:hAnsi="AvantGarde Bk BT" w:cs="Arial"/>
          <w:b/>
          <w:color w:val="000000" w:themeColor="text1"/>
          <w:sz w:val="24"/>
          <w:szCs w:val="24"/>
        </w:rPr>
        <w:t>2132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/2020-1</w:t>
      </w:r>
      <w:r w:rsidR="009F479E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SICOM</w:t>
      </w:r>
      <w:r w:rsidRPr="00BF7B76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</w:p>
    <w:p w:rsidR="004E2D48" w:rsidRPr="00FB0B93" w:rsidRDefault="004E2D48" w:rsidP="004E2D4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•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Tuvo como ente obligado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al</w:t>
      </w:r>
      <w:r w:rsidRPr="00952B2D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</w:t>
      </w:r>
      <w:r w:rsidR="001A6E69">
        <w:rPr>
          <w:rFonts w:ascii="AvantGarde Bk BT" w:hAnsi="AvantGarde Bk BT" w:cs="Arial"/>
          <w:b/>
          <w:color w:val="000000" w:themeColor="text1"/>
          <w:sz w:val="24"/>
          <w:szCs w:val="24"/>
        </w:rPr>
        <w:t>HOSPITAL CENTRAL “</w:t>
      </w:r>
      <w:r w:rsidR="00D74DB4">
        <w:rPr>
          <w:rFonts w:ascii="AvantGarde Bk BT" w:hAnsi="AvantGarde Bk BT" w:cs="Arial"/>
          <w:b/>
          <w:color w:val="000000" w:themeColor="text1"/>
          <w:sz w:val="24"/>
          <w:szCs w:val="24"/>
        </w:rPr>
        <w:t>DR. IGNACIO MORONES PRIETO”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, por conducto de su TITULAR y de su TITULAR DE LA UNIDAD DE TRANSPARENCIA</w:t>
      </w:r>
      <w:r w:rsidRPr="005C0D06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</w:t>
      </w:r>
    </w:p>
    <w:p w:rsidR="004E2D48" w:rsidRDefault="004E2D48" w:rsidP="004E2D4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•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Se puso a disposición de las partes el expediente para que en un plazo máximo de 7 siete días manifestaran lo que a su derecho convinie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ra –ofrecer pruebas, alegar y para que rindiera un informe acerca de la información solicitada en cuanto a:</w:t>
      </w:r>
    </w:p>
    <w:p w:rsidR="004E2D48" w:rsidRDefault="004E2D48" w:rsidP="004E2D48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Su contenido, calidad y si se cuenta en la modalidad solicitada.</w:t>
      </w:r>
    </w:p>
    <w:p w:rsidR="004E2D48" w:rsidRDefault="004E2D48" w:rsidP="004E2D48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Si se encuentra en sus archivos.</w:t>
      </w:r>
    </w:p>
    <w:p w:rsidR="004E2D48" w:rsidRDefault="004E2D48" w:rsidP="004E2D48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Si tiene la obligación de generar, o si la obtuvo; y para el caso que manifieste no contar con la obligación de generarla o poseerla, fundar y motivar las circunstancias que lo acrediten.</w:t>
      </w:r>
    </w:p>
    <w:p w:rsidR="004E2D48" w:rsidRDefault="004E2D48" w:rsidP="004E2D48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Las características físicas de los documentos en los que </w:t>
      </w:r>
      <w:proofErr w:type="spellStart"/>
      <w:r>
        <w:rPr>
          <w:rFonts w:ascii="AvantGarde Bk BT" w:hAnsi="AvantGarde Bk BT" w:cs="Arial"/>
          <w:color w:val="000000" w:themeColor="text1"/>
          <w:sz w:val="24"/>
          <w:szCs w:val="24"/>
        </w:rPr>
        <w:t>conta</w:t>
      </w:r>
      <w:proofErr w:type="spellEnd"/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la información.</w:t>
      </w:r>
    </w:p>
    <w:p w:rsidR="004E2D48" w:rsidRPr="00774B90" w:rsidRDefault="004E2D48" w:rsidP="004E2D48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Si se actualiza algún supuesto de excepción de derecho de acceso a la información.</w:t>
      </w:r>
    </w:p>
    <w:p w:rsidR="004E2D48" w:rsidRDefault="004E2D48" w:rsidP="004E2D4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•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A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percibió a las autoridades de que en caso de ser omisas para manifestar lo que a su derecho conviniera respecto del presente recurso se aplicarían en su contra las medidas de apremio previstas en el artículo 190, fracción I, de la Ley de Transparencia y Acceso a la Información Pública del Estado.</w:t>
      </w:r>
    </w:p>
    <w:p w:rsidR="004E2D48" w:rsidRDefault="004E2D48" w:rsidP="004E2D4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lastRenderedPageBreak/>
        <w:t>•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O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rdenó el traslado a las autoridades con la copia simple del recurso de re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visión; las requirió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para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que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remitieran copia certificada del nombramiento que los acreditara como tales; para que señalaran personas y domicilio para oír y recibir notificaciones en esta ciudad y se les informó que una vez que fuera decretado el cierre de instrucción no se atendería la información que fuese enviada.</w:t>
      </w:r>
    </w:p>
    <w:p w:rsidR="004E2D48" w:rsidRPr="007C5605" w:rsidRDefault="004E2D48" w:rsidP="004E2D48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</w:p>
    <w:p w:rsidR="004E2D48" w:rsidRDefault="004E2D48" w:rsidP="00D74DB4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SEXTO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Rendición del informe de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l sujeto obligado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Mediante el auto del </w:t>
      </w:r>
      <w:r w:rsidR="00D74DB4">
        <w:rPr>
          <w:rFonts w:ascii="AvantGarde Bk BT" w:hAnsi="AvantGarde Bk BT" w:cs="Arial"/>
          <w:color w:val="000000" w:themeColor="text1"/>
          <w:sz w:val="24"/>
          <w:szCs w:val="24"/>
        </w:rPr>
        <w:t>24 veinticuatro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de </w:t>
      </w:r>
      <w:r w:rsidR="00D74DB4">
        <w:rPr>
          <w:rFonts w:ascii="AvantGarde Bk BT" w:hAnsi="AvantGarde Bk BT" w:cs="Arial"/>
          <w:color w:val="000000" w:themeColor="text1"/>
          <w:sz w:val="24"/>
          <w:szCs w:val="24"/>
        </w:rPr>
        <w:t>noviembre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2020 dos mil veinte el ponente:</w:t>
      </w:r>
    </w:p>
    <w:p w:rsidR="004E2D48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4E2D48" w:rsidRPr="004A708B" w:rsidRDefault="004E2D48" w:rsidP="004E2D48">
      <w:pPr>
        <w:pStyle w:val="corte4fondo"/>
        <w:numPr>
          <w:ilvl w:val="0"/>
          <w:numId w:val="2"/>
        </w:numPr>
        <w:tabs>
          <w:tab w:val="left" w:pos="567"/>
        </w:tabs>
        <w:rPr>
          <w:rFonts w:ascii="AvantGarde Bk BT" w:hAnsi="AvantGarde Bk BT" w:cs="Arial"/>
          <w:color w:val="FF0000"/>
          <w:sz w:val="24"/>
          <w:szCs w:val="24"/>
        </w:rPr>
      </w:pPr>
      <w:r w:rsidRPr="0060124B">
        <w:rPr>
          <w:rFonts w:ascii="AvantGarde Bk BT" w:hAnsi="AvantGarde Bk BT" w:cs="Arial"/>
          <w:color w:val="000000" w:themeColor="text1"/>
          <w:sz w:val="24"/>
          <w:szCs w:val="24"/>
        </w:rPr>
        <w:t>Tuvo por recibido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oficio </w:t>
      </w:r>
      <w:r w:rsidR="00D74DB4">
        <w:rPr>
          <w:rFonts w:ascii="AvantGarde Bk BT" w:hAnsi="AvantGarde Bk BT" w:cs="Arial"/>
          <w:color w:val="000000" w:themeColor="text1"/>
          <w:sz w:val="24"/>
          <w:szCs w:val="24"/>
        </w:rPr>
        <w:t>980/2020/DG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,</w:t>
      </w:r>
      <w:r w:rsidRPr="000028AA">
        <w:rPr>
          <w:rFonts w:ascii="AvantGarde Bk BT" w:hAnsi="AvantGarde Bk BT" w:cs="Arial"/>
          <w:sz w:val="24"/>
          <w:szCs w:val="24"/>
        </w:rPr>
        <w:t xml:space="preserve"> signado por</w:t>
      </w:r>
      <w:r>
        <w:rPr>
          <w:rFonts w:ascii="AvantGarde Bk BT" w:hAnsi="AvantGarde Bk BT" w:cs="Arial"/>
          <w:sz w:val="24"/>
          <w:szCs w:val="24"/>
        </w:rPr>
        <w:t xml:space="preserve"> </w:t>
      </w:r>
      <w:r w:rsidR="00D74DB4">
        <w:rPr>
          <w:rFonts w:ascii="AvantGarde Bk BT" w:hAnsi="AvantGarde Bk BT" w:cs="Arial"/>
          <w:sz w:val="24"/>
          <w:szCs w:val="24"/>
        </w:rPr>
        <w:t xml:space="preserve">Francisco Alcocer </w:t>
      </w:r>
      <w:proofErr w:type="spellStart"/>
      <w:r w:rsidR="00D74DB4">
        <w:rPr>
          <w:rFonts w:ascii="AvantGarde Bk BT" w:hAnsi="AvantGarde Bk BT" w:cs="Arial"/>
          <w:sz w:val="24"/>
          <w:szCs w:val="24"/>
        </w:rPr>
        <w:t>Gouyonnet</w:t>
      </w:r>
      <w:proofErr w:type="spellEnd"/>
      <w:r w:rsidR="00D74DB4">
        <w:rPr>
          <w:rFonts w:ascii="AvantGarde Bk BT" w:hAnsi="AvantGarde Bk BT" w:cs="Arial"/>
          <w:sz w:val="24"/>
          <w:szCs w:val="24"/>
        </w:rPr>
        <w:t xml:space="preserve">, Director General del </w:t>
      </w:r>
      <w:r w:rsidR="004B485E">
        <w:rPr>
          <w:rFonts w:ascii="AvantGarde Bk BT" w:hAnsi="AvantGarde Bk BT" w:cs="Arial"/>
          <w:sz w:val="24"/>
          <w:szCs w:val="24"/>
        </w:rPr>
        <w:t>Hospital Central</w:t>
      </w:r>
      <w:r w:rsidR="00D74DB4">
        <w:rPr>
          <w:rFonts w:ascii="AvantGarde Bk BT" w:hAnsi="AvantGarde Bk BT" w:cs="Arial"/>
          <w:sz w:val="24"/>
          <w:szCs w:val="24"/>
        </w:rPr>
        <w:t xml:space="preserve"> “Dr. Ignacio Morones Prieto”</w:t>
      </w:r>
      <w:r w:rsidRPr="000028AA">
        <w:rPr>
          <w:rFonts w:ascii="AvantGarde Bk BT" w:hAnsi="AvantGarde Bk BT" w:cs="Arial"/>
          <w:sz w:val="24"/>
          <w:szCs w:val="24"/>
        </w:rPr>
        <w:t xml:space="preserve"> del sujeto obligado, </w:t>
      </w:r>
      <w:r>
        <w:rPr>
          <w:rFonts w:ascii="AvantGarde Bk BT" w:hAnsi="AvantGarde Bk BT" w:cs="Arial"/>
          <w:sz w:val="24"/>
          <w:szCs w:val="24"/>
        </w:rPr>
        <w:t xml:space="preserve">acompañado de 01 uno </w:t>
      </w:r>
      <w:r w:rsidRPr="000028AA">
        <w:rPr>
          <w:rFonts w:ascii="AvantGarde Bk BT" w:hAnsi="AvantGarde Bk BT" w:cs="Arial"/>
          <w:sz w:val="24"/>
          <w:szCs w:val="24"/>
        </w:rPr>
        <w:t>anexo</w:t>
      </w:r>
      <w:r>
        <w:rPr>
          <w:rFonts w:ascii="AvantGarde Bk BT" w:hAnsi="AvantGarde Bk BT" w:cs="Arial"/>
          <w:sz w:val="24"/>
          <w:szCs w:val="24"/>
        </w:rPr>
        <w:t>s</w:t>
      </w:r>
      <w:r w:rsidRPr="000028AA">
        <w:rPr>
          <w:rFonts w:ascii="AvantGarde Bk BT" w:hAnsi="AvantGarde Bk BT" w:cs="Arial"/>
          <w:sz w:val="24"/>
          <w:szCs w:val="24"/>
        </w:rPr>
        <w:t xml:space="preserve">, recibido en este organismo el </w:t>
      </w:r>
      <w:r w:rsidR="004B485E">
        <w:rPr>
          <w:rFonts w:ascii="AvantGarde Bk BT" w:hAnsi="AvantGarde Bk BT" w:cs="Arial"/>
          <w:sz w:val="24"/>
          <w:szCs w:val="24"/>
        </w:rPr>
        <w:t>10 diez</w:t>
      </w:r>
      <w:r>
        <w:rPr>
          <w:rFonts w:ascii="AvantGarde Bk BT" w:hAnsi="AvantGarde Bk BT" w:cs="Arial"/>
          <w:sz w:val="24"/>
          <w:szCs w:val="24"/>
        </w:rPr>
        <w:t xml:space="preserve"> </w:t>
      </w:r>
      <w:r w:rsidRPr="000028AA">
        <w:rPr>
          <w:rFonts w:ascii="AvantGarde Bk BT" w:hAnsi="AvantGarde Bk BT" w:cs="Arial"/>
          <w:sz w:val="24"/>
          <w:szCs w:val="24"/>
        </w:rPr>
        <w:t>de</w:t>
      </w:r>
      <w:r w:rsidR="004B485E">
        <w:rPr>
          <w:rFonts w:ascii="AvantGarde Bk BT" w:hAnsi="AvantGarde Bk BT" w:cs="Arial"/>
          <w:sz w:val="24"/>
          <w:szCs w:val="24"/>
        </w:rPr>
        <w:t xml:space="preserve"> noviembre</w:t>
      </w:r>
      <w:r>
        <w:rPr>
          <w:rFonts w:ascii="AvantGarde Bk BT" w:hAnsi="AvantGarde Bk BT" w:cs="Arial"/>
          <w:sz w:val="24"/>
          <w:szCs w:val="24"/>
        </w:rPr>
        <w:t xml:space="preserve"> </w:t>
      </w:r>
      <w:r w:rsidRPr="000028AA">
        <w:rPr>
          <w:rFonts w:ascii="AvantGarde Bk BT" w:hAnsi="AvantGarde Bk BT" w:cs="Arial"/>
          <w:sz w:val="24"/>
          <w:szCs w:val="24"/>
        </w:rPr>
        <w:t>de 20</w:t>
      </w:r>
      <w:r>
        <w:rPr>
          <w:rFonts w:ascii="AvantGarde Bk BT" w:hAnsi="AvantGarde Bk BT" w:cs="Arial"/>
          <w:sz w:val="24"/>
          <w:szCs w:val="24"/>
        </w:rPr>
        <w:t>20</w:t>
      </w:r>
      <w:r w:rsidRPr="000028AA">
        <w:rPr>
          <w:rFonts w:ascii="AvantGarde Bk BT" w:hAnsi="AvantGarde Bk BT" w:cs="Arial"/>
          <w:sz w:val="24"/>
          <w:szCs w:val="24"/>
        </w:rPr>
        <w:t xml:space="preserve"> dos mil </w:t>
      </w:r>
      <w:r>
        <w:rPr>
          <w:rFonts w:ascii="AvantGarde Bk BT" w:hAnsi="AvantGarde Bk BT" w:cs="Arial"/>
          <w:sz w:val="24"/>
          <w:szCs w:val="24"/>
        </w:rPr>
        <w:t>veinte</w:t>
      </w:r>
      <w:r w:rsidRPr="000028AA">
        <w:rPr>
          <w:rFonts w:ascii="AvantGarde Bk BT" w:hAnsi="AvantGarde Bk BT" w:cs="Arial"/>
          <w:sz w:val="24"/>
          <w:szCs w:val="24"/>
        </w:rPr>
        <w:t>.</w:t>
      </w:r>
    </w:p>
    <w:p w:rsidR="004E2D48" w:rsidRPr="002B7561" w:rsidRDefault="004E2D48" w:rsidP="004E2D48">
      <w:pPr>
        <w:pStyle w:val="corte4fondo"/>
        <w:numPr>
          <w:ilvl w:val="0"/>
          <w:numId w:val="2"/>
        </w:numPr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sz w:val="24"/>
          <w:szCs w:val="24"/>
        </w:rPr>
        <w:t>Le reconoció su personalidad para comparecer en este expediente.</w:t>
      </w:r>
    </w:p>
    <w:p w:rsidR="004E2D48" w:rsidRPr="002B7561" w:rsidRDefault="004E2D48" w:rsidP="004E2D48">
      <w:pPr>
        <w:pStyle w:val="corte4fondo"/>
        <w:numPr>
          <w:ilvl w:val="0"/>
          <w:numId w:val="1"/>
        </w:numPr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sz w:val="24"/>
          <w:szCs w:val="24"/>
        </w:rPr>
        <w:t>Tuvo al sujeto obligado por manifestado en tiempo y forma lo que a su derecho convino.</w:t>
      </w:r>
    </w:p>
    <w:p w:rsidR="004E2D48" w:rsidRPr="002B7561" w:rsidRDefault="004E2D48" w:rsidP="004E2D48">
      <w:pPr>
        <w:pStyle w:val="corte4fondo"/>
        <w:numPr>
          <w:ilvl w:val="0"/>
          <w:numId w:val="1"/>
        </w:numPr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sz w:val="24"/>
          <w:szCs w:val="24"/>
        </w:rPr>
        <w:t>Se le tiene por ofrecidas las pruebas y manifestando lo que a su derecho convenga.</w:t>
      </w:r>
    </w:p>
    <w:p w:rsidR="004E2D48" w:rsidRPr="002B7561" w:rsidRDefault="004E2D48" w:rsidP="004E2D48">
      <w:pPr>
        <w:pStyle w:val="corte4fondo"/>
        <w:numPr>
          <w:ilvl w:val="0"/>
          <w:numId w:val="1"/>
        </w:numPr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sz w:val="24"/>
          <w:szCs w:val="24"/>
        </w:rPr>
        <w:t>Para concluir, el ponente declaró cerrado el periodo de instrucción y procedió a elaborar el proyecto de resolución respectivo.</w:t>
      </w:r>
    </w:p>
    <w:p w:rsidR="004E2D48" w:rsidRDefault="004E2D48" w:rsidP="004E2D48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:rsidR="004E2D48" w:rsidRPr="002B7561" w:rsidRDefault="004E2D48" w:rsidP="004E2D48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sz w:val="24"/>
          <w:szCs w:val="24"/>
        </w:rPr>
      </w:pPr>
      <w:r w:rsidRPr="002B7561">
        <w:rPr>
          <w:rFonts w:ascii="AvantGarde Bk BT" w:hAnsi="AvantGarde Bk BT" w:cs="Arial"/>
          <w:b/>
          <w:sz w:val="24"/>
          <w:szCs w:val="24"/>
        </w:rPr>
        <w:t>CONSIDERANDO</w:t>
      </w:r>
    </w:p>
    <w:p w:rsidR="004E2D48" w:rsidRPr="002B7561" w:rsidRDefault="004E2D48" w:rsidP="004E2D48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sz w:val="24"/>
          <w:szCs w:val="24"/>
        </w:rPr>
      </w:pPr>
    </w:p>
    <w:p w:rsidR="004E2D48" w:rsidRPr="002B7561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b/>
          <w:sz w:val="24"/>
          <w:szCs w:val="24"/>
        </w:rPr>
        <w:t>PRIMERO. Competencia.</w:t>
      </w:r>
      <w:r w:rsidRPr="002B7561">
        <w:rPr>
          <w:rFonts w:ascii="AvantGarde Bk BT" w:hAnsi="AvantGarde Bk BT" w:cs="Arial"/>
          <w:sz w:val="24"/>
          <w:szCs w:val="24"/>
        </w:rPr>
        <w:t xml:space="preserve"> Esta Comisión Estatal de Garantía de Acceso a la Información Pública es competente para conocer del presente asunto, de acuerdo con los artículos 6, párrafo cuarto, apartado A, fracción IV, de la Constitución Política de los Estados Unidos Mexicanos; 17, fracción III, párrafo tercero, de la Constitución Política del Estado Libre y Soberano de San Luis Potosí; 27, primer párrafo, 34, fracciones I y II, 35, fracción I, y 175 de la Ley de Transparencia y Acceso a la Información Pública de este Estado. </w:t>
      </w:r>
    </w:p>
    <w:p w:rsidR="004E2D48" w:rsidRPr="002B7561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:rsidR="004E2D48" w:rsidRPr="002B7561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b/>
          <w:sz w:val="24"/>
          <w:szCs w:val="24"/>
        </w:rPr>
        <w:lastRenderedPageBreak/>
        <w:t>SEGUNDO. Procedencia.</w:t>
      </w:r>
      <w:r w:rsidRPr="002B7561">
        <w:rPr>
          <w:rFonts w:ascii="AvantGarde Bk BT" w:hAnsi="AvantGarde Bk BT" w:cs="Arial"/>
          <w:sz w:val="24"/>
          <w:szCs w:val="24"/>
        </w:rPr>
        <w:t xml:space="preserve"> El presente recurso de revisión es procedente en términos del artículo 166 y 168 de la Ley de Transparencia y Acceso a la Información Pública del Estado ya que la recurrente se inconforma por la respuesta a su solicitud de acceso a la información pública. </w:t>
      </w:r>
    </w:p>
    <w:p w:rsidR="004E2D48" w:rsidRPr="002B7561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:rsidR="004E2D48" w:rsidRPr="002B7561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b/>
          <w:sz w:val="24"/>
          <w:szCs w:val="24"/>
        </w:rPr>
        <w:t>TERCERO. Legitimación.</w:t>
      </w:r>
      <w:r w:rsidRPr="002B7561">
        <w:rPr>
          <w:rFonts w:ascii="AvantGarde Bk BT" w:hAnsi="AvantGarde Bk BT" w:cs="Arial"/>
          <w:sz w:val="24"/>
          <w:szCs w:val="24"/>
        </w:rPr>
        <w:t xml:space="preserve"> El recurrente se encuentra legitimado para interponer el recurso de revisión, ya que fue éste quien presentó la solicitud de acceso a la información pública y es precisamente a quien le pudiera deparar perjuicio la respuesta.</w:t>
      </w:r>
    </w:p>
    <w:p w:rsidR="004E2D48" w:rsidRPr="004A708B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color w:val="FF0000"/>
          <w:sz w:val="24"/>
          <w:szCs w:val="24"/>
        </w:rPr>
      </w:pPr>
    </w:p>
    <w:p w:rsidR="004E2D48" w:rsidRPr="002B7561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806969">
        <w:rPr>
          <w:rFonts w:ascii="AvantGarde Bk BT" w:hAnsi="AvantGarde Bk BT" w:cs="Arial"/>
          <w:b/>
          <w:sz w:val="24"/>
          <w:szCs w:val="24"/>
        </w:rPr>
        <w:t>CUARTO</w:t>
      </w:r>
      <w:r w:rsidRPr="002B7561">
        <w:rPr>
          <w:rFonts w:ascii="AvantGarde Bk BT" w:hAnsi="AvantGarde Bk BT" w:cs="Arial"/>
          <w:b/>
          <w:sz w:val="24"/>
          <w:szCs w:val="24"/>
        </w:rPr>
        <w:t>. Oportunidad del recurso.</w:t>
      </w:r>
      <w:r w:rsidRPr="002B7561">
        <w:rPr>
          <w:rFonts w:ascii="AvantGarde Bk BT" w:hAnsi="AvantGarde Bk BT" w:cs="Arial"/>
          <w:sz w:val="24"/>
          <w:szCs w:val="24"/>
        </w:rPr>
        <w:t xml:space="preserve"> La interposición del escrito inicial del recurso de revisión fue oportuna al presentarse dentro del plazo de quince días a que se refiere el artículo 166 de la Ley de Transparencia y Acceso a la Información Pública del Estado, como se expone a continuación:</w:t>
      </w:r>
    </w:p>
    <w:p w:rsidR="004E2D48" w:rsidRPr="004A708B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color w:val="FF0000"/>
          <w:sz w:val="24"/>
          <w:szCs w:val="24"/>
        </w:rPr>
      </w:pPr>
    </w:p>
    <w:p w:rsidR="004E2D48" w:rsidRPr="00E965A2" w:rsidRDefault="004E2D48" w:rsidP="004E2D4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  <w:r w:rsidRPr="00E965A2">
        <w:rPr>
          <w:rFonts w:ascii="AvantGarde Bk BT" w:hAnsi="AvantGarde Bk BT" w:cs="Arial"/>
          <w:sz w:val="24"/>
          <w:szCs w:val="24"/>
        </w:rPr>
        <w:t xml:space="preserve">• El </w:t>
      </w:r>
      <w:r w:rsidR="004B485E">
        <w:rPr>
          <w:rFonts w:ascii="AvantGarde Bk BT" w:hAnsi="AvantGarde Bk BT" w:cs="Arial"/>
          <w:sz w:val="24"/>
          <w:szCs w:val="24"/>
        </w:rPr>
        <w:t>02 dos de julio</w:t>
      </w:r>
      <w:r>
        <w:rPr>
          <w:rFonts w:ascii="AvantGarde Bk BT" w:hAnsi="AvantGarde Bk BT" w:cs="Arial"/>
          <w:sz w:val="24"/>
          <w:szCs w:val="24"/>
        </w:rPr>
        <w:t xml:space="preserve"> </w:t>
      </w:r>
      <w:r w:rsidRPr="00E965A2">
        <w:rPr>
          <w:rFonts w:ascii="AvantGarde Bk BT" w:hAnsi="AvantGarde Bk BT" w:cs="Arial"/>
          <w:sz w:val="24"/>
          <w:szCs w:val="24"/>
        </w:rPr>
        <w:t xml:space="preserve">de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2020 dos mil veinte </w:t>
      </w:r>
      <w:r w:rsidRPr="00E965A2">
        <w:rPr>
          <w:rFonts w:ascii="AvantGarde Bk BT" w:hAnsi="AvantGarde Bk BT" w:cs="Arial"/>
          <w:sz w:val="24"/>
          <w:szCs w:val="24"/>
        </w:rPr>
        <w:t xml:space="preserve">el solicitante de la información fue notificado de la respuesta a su solicitud de información. </w:t>
      </w:r>
    </w:p>
    <w:p w:rsidR="004E2D48" w:rsidRDefault="004E2D48" w:rsidP="004E2D4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  <w:r w:rsidRPr="00E965A2">
        <w:rPr>
          <w:rFonts w:ascii="AvantGarde Bk BT" w:hAnsi="AvantGarde Bk BT" w:cs="Arial"/>
          <w:sz w:val="24"/>
          <w:szCs w:val="24"/>
        </w:rPr>
        <w:t>• Así, los quince días hábiles para interponer el recurso de revisión transcurrieron del</w:t>
      </w:r>
      <w:r>
        <w:rPr>
          <w:rFonts w:ascii="AvantGarde Bk BT" w:hAnsi="AvantGarde Bk BT" w:cs="Arial"/>
          <w:sz w:val="24"/>
          <w:szCs w:val="24"/>
        </w:rPr>
        <w:t xml:space="preserve"> 16 dieciséis y 17 diecisiete de julio del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2020 dos mil veinte</w:t>
      </w:r>
      <w:r w:rsidR="004B485E">
        <w:rPr>
          <w:rFonts w:ascii="AvantGarde Bk BT" w:hAnsi="AvantGarde Bk BT" w:cs="Arial"/>
          <w:sz w:val="24"/>
          <w:szCs w:val="24"/>
        </w:rPr>
        <w:t xml:space="preserve"> y del 1 uno al 18 dieciocho</w:t>
      </w:r>
      <w:r>
        <w:rPr>
          <w:rFonts w:ascii="AvantGarde Bk BT" w:hAnsi="AvantGarde Bk BT" w:cs="Arial"/>
          <w:sz w:val="24"/>
          <w:szCs w:val="24"/>
        </w:rPr>
        <w:t xml:space="preserve"> de septiembre de 2020 dos mil veinte descontándose los días inhábiles relativos a la suspensión por motivos de la contingencia sanitaria COVID 19, siendo del 16 dieciséis, 18 dieciocho al 15 quince de julio del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2020 dos mil veinte.</w:t>
      </w:r>
    </w:p>
    <w:p w:rsidR="004E2D48" w:rsidRPr="00770DB4" w:rsidRDefault="004E2D48" w:rsidP="004E2D4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  <w:r w:rsidRPr="00770DB4">
        <w:rPr>
          <w:rFonts w:ascii="AvantGarde Bk BT" w:hAnsi="AvantGarde Bk BT" w:cs="Arial"/>
          <w:sz w:val="24"/>
          <w:szCs w:val="24"/>
        </w:rPr>
        <w:t xml:space="preserve">• Consecuentemente si el </w:t>
      </w:r>
      <w:r w:rsidR="004B485E">
        <w:rPr>
          <w:rFonts w:ascii="AvantGarde Bk BT" w:hAnsi="AvantGarde Bk BT" w:cs="Arial"/>
          <w:sz w:val="24"/>
          <w:szCs w:val="24"/>
        </w:rPr>
        <w:t>02 dos</w:t>
      </w:r>
      <w:r>
        <w:rPr>
          <w:rFonts w:ascii="AvantGarde Bk BT" w:hAnsi="AvantGarde Bk BT" w:cs="Arial"/>
          <w:sz w:val="24"/>
          <w:szCs w:val="24"/>
        </w:rPr>
        <w:t xml:space="preserve"> de </w:t>
      </w:r>
      <w:r w:rsidR="004B485E">
        <w:rPr>
          <w:rFonts w:ascii="AvantGarde Bk BT" w:hAnsi="AvantGarde Bk BT" w:cs="Arial"/>
          <w:sz w:val="24"/>
          <w:szCs w:val="24"/>
        </w:rPr>
        <w:t>septiembre</w:t>
      </w:r>
      <w:r>
        <w:rPr>
          <w:rFonts w:ascii="AvantGarde Bk BT" w:hAnsi="AvantGarde Bk BT" w:cs="Arial"/>
          <w:sz w:val="24"/>
          <w:szCs w:val="24"/>
        </w:rPr>
        <w:t xml:space="preserve"> del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2020 dos mil veinte </w:t>
      </w:r>
      <w:r w:rsidRPr="00770DB4">
        <w:rPr>
          <w:rFonts w:ascii="AvantGarde Bk BT" w:hAnsi="AvantGarde Bk BT" w:cs="Arial"/>
          <w:sz w:val="24"/>
          <w:szCs w:val="24"/>
        </w:rPr>
        <w:t>el recurrente interpuso el citado medio de impugnación ante esta Comisión de Transparencia, resulta claro que es oportuna su presentación.</w:t>
      </w:r>
    </w:p>
    <w:p w:rsidR="004E2D48" w:rsidRPr="004A708B" w:rsidRDefault="004E2D48" w:rsidP="004E2D48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FF0000"/>
          <w:sz w:val="24"/>
          <w:szCs w:val="24"/>
        </w:rPr>
      </w:pPr>
    </w:p>
    <w:p w:rsidR="004E2D48" w:rsidRPr="004A708B" w:rsidRDefault="004E2D48" w:rsidP="004E2D4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color w:val="FF0000"/>
          <w:sz w:val="24"/>
          <w:szCs w:val="24"/>
        </w:rPr>
      </w:pPr>
      <w:r w:rsidRPr="004A708B">
        <w:rPr>
          <w:rFonts w:ascii="AvantGarde Bk BT" w:hAnsi="AvantGarde Bk BT" w:cs="Arial"/>
          <w:b/>
          <w:color w:val="FF0000"/>
          <w:sz w:val="24"/>
          <w:szCs w:val="24"/>
        </w:rPr>
        <w:t xml:space="preserve"> </w:t>
      </w:r>
      <w:r w:rsidRPr="00D70BF2">
        <w:rPr>
          <w:rFonts w:ascii="AvantGarde Bk BT" w:hAnsi="AvantGarde Bk BT" w:cs="Arial"/>
          <w:b/>
          <w:sz w:val="24"/>
          <w:szCs w:val="24"/>
        </w:rPr>
        <w:t>QUINTO. Causales de improcedencia.</w:t>
      </w:r>
      <w:r w:rsidRPr="00D70BF2">
        <w:rPr>
          <w:rFonts w:ascii="AvantGarde Bk BT" w:hAnsi="AvantGarde Bk BT" w:cs="Arial"/>
          <w:sz w:val="24"/>
          <w:szCs w:val="24"/>
        </w:rPr>
        <w:t xml:space="preserve"> Las causales de improcedencia previstas en el artículo 179 de la Ley de Transparencia son de estudio oficioso y preferente a cualquier otra cuestión planteada; en el caso, al no existir causa de improcedencia señalada por la autoridad o advertida por este órgano colegiado se estudia de fondo la cuestión planteada.</w:t>
      </w:r>
    </w:p>
    <w:p w:rsidR="004E2D48" w:rsidRPr="004A708B" w:rsidRDefault="004E2D48" w:rsidP="004E2D4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b/>
          <w:color w:val="FF0000"/>
          <w:sz w:val="24"/>
          <w:szCs w:val="24"/>
        </w:rPr>
      </w:pPr>
    </w:p>
    <w:p w:rsidR="004E2D48" w:rsidRDefault="004E2D48" w:rsidP="004E2D4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 w:rsidRPr="000D2352">
        <w:rPr>
          <w:rFonts w:ascii="AvantGarde Bk BT" w:hAnsi="AvantGarde Bk BT" w:cs="Arial"/>
          <w:b/>
          <w:sz w:val="24"/>
          <w:szCs w:val="24"/>
        </w:rPr>
        <w:lastRenderedPageBreak/>
        <w:t>SEXTO.</w:t>
      </w:r>
      <w:r w:rsidRPr="00E0750B">
        <w:rPr>
          <w:rFonts w:ascii="AvantGarde Bk BT" w:hAnsi="AvantGarde Bk BT" w:cs="Arial"/>
          <w:b/>
          <w:sz w:val="24"/>
          <w:szCs w:val="24"/>
        </w:rPr>
        <w:t xml:space="preserve"> Estudio de fondo.</w:t>
      </w:r>
      <w:r w:rsidRPr="00E0750B">
        <w:rPr>
          <w:rFonts w:ascii="AvantGarde Bk BT" w:hAnsi="AvantGarde Bk BT" w:cs="Arial"/>
          <w:sz w:val="24"/>
          <w:szCs w:val="24"/>
        </w:rPr>
        <w:t xml:space="preserve">  Esta Comisión Estatal de Garantía de Acceso a la Información Pública entra al estudio de fondo del presente asunto de conformidad con lo siguiente:</w:t>
      </w:r>
    </w:p>
    <w:p w:rsidR="004E2D48" w:rsidRDefault="004E2D48" w:rsidP="004E2D4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:rsidR="004E2D48" w:rsidRPr="009E57BD" w:rsidRDefault="004E2D48" w:rsidP="004E2D4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b/>
          <w:sz w:val="24"/>
          <w:szCs w:val="24"/>
        </w:rPr>
      </w:pPr>
      <w:r w:rsidRPr="00E0750B">
        <w:rPr>
          <w:rFonts w:ascii="AvantGarde Bk BT" w:hAnsi="AvantGarde Bk BT" w:cs="Arial"/>
          <w:sz w:val="24"/>
          <w:szCs w:val="24"/>
        </w:rPr>
        <w:t>En la solicitud de información de la que se deriva el presente recurso de revisión se solicitó:</w:t>
      </w:r>
    </w:p>
    <w:p w:rsidR="004E2D48" w:rsidRPr="00905C4A" w:rsidRDefault="004E2D48" w:rsidP="00905C4A">
      <w:pPr>
        <w:pStyle w:val="corte4fondo"/>
        <w:tabs>
          <w:tab w:val="left" w:pos="567"/>
        </w:tabs>
        <w:ind w:left="680"/>
        <w:rPr>
          <w:rFonts w:ascii="AvantGarde Bk BT" w:hAnsi="AvantGarde Bk BT" w:cs="Arial"/>
          <w:sz w:val="24"/>
          <w:szCs w:val="24"/>
        </w:rPr>
      </w:pPr>
      <w:r w:rsidRPr="00E0750B">
        <w:rPr>
          <w:rFonts w:ascii="AvantGarde Bk BT" w:hAnsi="AvantGarde Bk BT" w:cs="Arial"/>
          <w:sz w:val="24"/>
          <w:szCs w:val="24"/>
        </w:rPr>
        <w:t>“</w:t>
      </w:r>
      <w:r w:rsidR="004B485E" w:rsidRPr="004B485E">
        <w:rPr>
          <w:rFonts w:ascii="AvantGarde Bk BT" w:hAnsi="AvantGarde Bk BT" w:cs="Arial"/>
          <w:sz w:val="24"/>
          <w:szCs w:val="24"/>
        </w:rPr>
        <w:t>solicito que me proporcionen los recibos de luz y agua desde enero a junio del 2020 y del mismo periodo de 2019</w:t>
      </w:r>
      <w:r w:rsidRPr="00E0750B">
        <w:rPr>
          <w:rFonts w:ascii="AvantGarde Bk BT" w:hAnsi="AvantGarde Bk BT" w:cs="Arial"/>
          <w:sz w:val="24"/>
          <w:szCs w:val="24"/>
        </w:rPr>
        <w:t xml:space="preserve">” </w:t>
      </w:r>
      <w:r w:rsidRPr="00E0750B">
        <w:rPr>
          <w:rFonts w:ascii="AvantGarde Bk BT" w:hAnsi="AvantGarde Bk BT" w:cs="Arial"/>
          <w:b/>
          <w:sz w:val="24"/>
          <w:szCs w:val="24"/>
        </w:rPr>
        <w:t>SIC.</w:t>
      </w:r>
      <w:r>
        <w:rPr>
          <w:rFonts w:ascii="AvantGarde Bk BT" w:hAnsi="AvantGarde Bk BT" w:cs="Arial"/>
          <w:sz w:val="24"/>
          <w:szCs w:val="24"/>
        </w:rPr>
        <w:t xml:space="preserve"> (Visible a foja 04 cuatro </w:t>
      </w:r>
      <w:r w:rsidRPr="00E0750B">
        <w:rPr>
          <w:rFonts w:ascii="AvantGarde Bk BT" w:hAnsi="AvantGarde Bk BT" w:cs="Arial"/>
          <w:sz w:val="24"/>
          <w:szCs w:val="24"/>
        </w:rPr>
        <w:t>de autos).</w:t>
      </w:r>
    </w:p>
    <w:p w:rsidR="004E2D48" w:rsidRPr="00E0750B" w:rsidRDefault="004E2D48" w:rsidP="004E2D48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:rsidR="004E2D48" w:rsidRDefault="004E2D48" w:rsidP="004E2D48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  <w:r w:rsidRPr="00E0750B">
        <w:rPr>
          <w:rFonts w:ascii="AvantGarde Bk BT" w:hAnsi="AvantGarde Bk BT" w:cs="Arial"/>
          <w:sz w:val="24"/>
          <w:szCs w:val="24"/>
        </w:rPr>
        <w:t>Como respuesta a la solicitud, el sujeto obligado emitió la siguiente contestación</w:t>
      </w:r>
      <w:r>
        <w:rPr>
          <w:rFonts w:ascii="AvantGarde Bk BT" w:hAnsi="AvantGarde Bk BT" w:cs="Arial"/>
          <w:sz w:val="24"/>
          <w:szCs w:val="24"/>
        </w:rPr>
        <w:t xml:space="preserve"> </w:t>
      </w:r>
      <w:r w:rsidRPr="00E0750B">
        <w:rPr>
          <w:rFonts w:ascii="AvantGarde Bk BT" w:hAnsi="AvantGarde Bk BT" w:cs="Arial"/>
          <w:sz w:val="24"/>
          <w:szCs w:val="24"/>
        </w:rPr>
        <w:t>(Visible a foja 0</w:t>
      </w:r>
      <w:r>
        <w:rPr>
          <w:rFonts w:ascii="AvantGarde Bk BT" w:hAnsi="AvantGarde Bk BT" w:cs="Arial"/>
          <w:sz w:val="24"/>
          <w:szCs w:val="24"/>
        </w:rPr>
        <w:t xml:space="preserve">3 tres </w:t>
      </w:r>
      <w:r w:rsidRPr="00E0750B">
        <w:rPr>
          <w:rFonts w:ascii="AvantGarde Bk BT" w:hAnsi="AvantGarde Bk BT" w:cs="Arial"/>
          <w:sz w:val="24"/>
          <w:szCs w:val="24"/>
        </w:rPr>
        <w:t>de autos).:</w:t>
      </w:r>
    </w:p>
    <w:p w:rsidR="004E2D48" w:rsidRDefault="004E2D48" w:rsidP="004E2D48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:rsidR="004E2D48" w:rsidRPr="008965A0" w:rsidRDefault="004E2D48" w:rsidP="004E2D48">
      <w:pPr>
        <w:pStyle w:val="corte4fondo"/>
        <w:tabs>
          <w:tab w:val="left" w:pos="567"/>
        </w:tabs>
        <w:ind w:left="680"/>
        <w:rPr>
          <w:rFonts w:ascii="AvantGarde Bk BT" w:hAnsi="AvantGarde Bk BT" w:cs="Arial"/>
          <w:sz w:val="24"/>
          <w:szCs w:val="24"/>
        </w:rPr>
      </w:pPr>
      <w:r>
        <w:rPr>
          <w:noProof/>
        </w:rPr>
        <w:t>“</w:t>
      </w:r>
      <w:r w:rsidR="00905C4A" w:rsidRPr="00905C4A">
        <w:rPr>
          <w:rFonts w:ascii="AvantGarde Bk BT" w:hAnsi="AvantGarde Bk BT" w:cs="Arial"/>
          <w:sz w:val="24"/>
          <w:szCs w:val="24"/>
        </w:rPr>
        <w:t>Se adjunta archivo PDF</w:t>
      </w:r>
      <w:r>
        <w:rPr>
          <w:rFonts w:ascii="AvantGarde Bk BT" w:hAnsi="AvantGarde Bk BT" w:cs="Arial"/>
          <w:sz w:val="24"/>
          <w:szCs w:val="24"/>
        </w:rPr>
        <w:t xml:space="preserve">” </w:t>
      </w:r>
      <w:r w:rsidRPr="00E0750B">
        <w:rPr>
          <w:rFonts w:ascii="AvantGarde Bk BT" w:hAnsi="AvantGarde Bk BT" w:cs="Arial"/>
          <w:b/>
          <w:sz w:val="24"/>
          <w:szCs w:val="24"/>
        </w:rPr>
        <w:t>SIC.</w:t>
      </w:r>
      <w:r w:rsidR="00905C4A">
        <w:rPr>
          <w:rFonts w:ascii="AvantGarde Bk BT" w:hAnsi="AvantGarde Bk BT" w:cs="Arial"/>
          <w:sz w:val="24"/>
          <w:szCs w:val="24"/>
        </w:rPr>
        <w:t xml:space="preserve"> </w:t>
      </w:r>
    </w:p>
    <w:p w:rsidR="004E2D48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:rsidR="004E2D48" w:rsidRDefault="009E0324" w:rsidP="004E2D4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61312" behindDoc="0" locked="0" layoutInCell="1" allowOverlap="1" wp14:anchorId="31EA77C0" wp14:editId="0B00CFCE">
            <wp:simplePos x="0" y="0"/>
            <wp:positionH relativeFrom="margin">
              <wp:align>center</wp:align>
            </wp:positionH>
            <wp:positionV relativeFrom="paragraph">
              <wp:posOffset>672465</wp:posOffset>
            </wp:positionV>
            <wp:extent cx="5314950" cy="2745084"/>
            <wp:effectExtent l="0" t="0" r="0" b="0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15233" r="31599" b="21966"/>
                    <a:stretch/>
                  </pic:blipFill>
                  <pic:spPr bwMode="auto">
                    <a:xfrm>
                      <a:off x="0" y="0"/>
                      <a:ext cx="5314950" cy="27450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4E2D48">
        <w:rPr>
          <w:rFonts w:ascii="AvantGarde Bk BT" w:hAnsi="AvantGarde Bk BT" w:cs="Arial"/>
          <w:sz w:val="24"/>
          <w:szCs w:val="24"/>
        </w:rPr>
        <w:t>El archivo adjunto es el siguiente, y se encuentra vi</w:t>
      </w:r>
      <w:r w:rsidR="007804E8">
        <w:rPr>
          <w:rFonts w:ascii="AvantGarde Bk BT" w:hAnsi="AvantGarde Bk BT" w:cs="Arial"/>
          <w:sz w:val="24"/>
          <w:szCs w:val="24"/>
        </w:rPr>
        <w:t xml:space="preserve">sible en el Sistema Electrónico </w:t>
      </w:r>
      <w:r w:rsidR="004E2D48">
        <w:rPr>
          <w:rFonts w:ascii="AvantGarde Bk BT" w:hAnsi="AvantGarde Bk BT" w:cs="Arial"/>
          <w:sz w:val="24"/>
          <w:szCs w:val="24"/>
        </w:rPr>
        <w:t>(INFOMEX):</w:t>
      </w:r>
    </w:p>
    <w:p w:rsidR="004E2D48" w:rsidRPr="000D2352" w:rsidRDefault="004E2D48" w:rsidP="004E2D48">
      <w:pPr>
        <w:pStyle w:val="corte4fondo"/>
        <w:tabs>
          <w:tab w:val="left" w:pos="567"/>
        </w:tabs>
        <w:ind w:firstLine="0"/>
        <w:rPr>
          <w:noProof/>
        </w:rPr>
      </w:pPr>
    </w:p>
    <w:p w:rsidR="004E2D48" w:rsidRDefault="004E2D48" w:rsidP="004E2D4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 </w:t>
      </w:r>
      <w:r w:rsidRPr="001725E4">
        <w:rPr>
          <w:rFonts w:ascii="AvantGarde Bk BT" w:hAnsi="AvantGarde Bk BT" w:cs="Arial"/>
          <w:sz w:val="24"/>
          <w:szCs w:val="24"/>
        </w:rPr>
        <w:t>Inconforme</w:t>
      </w:r>
      <w:r w:rsidRPr="00E0750B">
        <w:rPr>
          <w:rFonts w:ascii="AvantGarde Bk BT" w:hAnsi="AvantGarde Bk BT" w:cs="Arial"/>
          <w:sz w:val="24"/>
          <w:szCs w:val="24"/>
        </w:rPr>
        <w:t xml:space="preserve"> con la respuesta recaída a su solicitud de información, el hoy recurrente interpuso el recurso de revisión que nos ocupa y manifestó:</w:t>
      </w:r>
    </w:p>
    <w:p w:rsidR="004E2D48" w:rsidRDefault="004E2D48" w:rsidP="004E2D4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:rsidR="004E2D48" w:rsidRPr="00E0750B" w:rsidRDefault="009E0324" w:rsidP="004E2D4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lastRenderedPageBreak/>
        <w:t>“La información se encuentra incompleta</w:t>
      </w:r>
      <w:r w:rsidR="004E2D48">
        <w:rPr>
          <w:rFonts w:ascii="AvantGarde Bk BT" w:hAnsi="AvantGarde Bk BT" w:cs="Arial"/>
          <w:sz w:val="24"/>
          <w:szCs w:val="24"/>
        </w:rPr>
        <w:t xml:space="preserve">” </w:t>
      </w:r>
      <w:r w:rsidR="004E2D48" w:rsidRPr="00E0750B">
        <w:rPr>
          <w:rFonts w:ascii="AvantGarde Bk BT" w:hAnsi="AvantGarde Bk BT" w:cs="Arial"/>
          <w:b/>
          <w:sz w:val="24"/>
          <w:szCs w:val="24"/>
        </w:rPr>
        <w:t>SIC.</w:t>
      </w:r>
      <w:r w:rsidR="004E2D48" w:rsidRPr="00E0750B">
        <w:rPr>
          <w:rFonts w:ascii="AvantGarde Bk BT" w:hAnsi="AvantGarde Bk BT" w:cs="Arial"/>
          <w:sz w:val="24"/>
          <w:szCs w:val="24"/>
        </w:rPr>
        <w:t xml:space="preserve"> (Visible </w:t>
      </w:r>
      <w:r w:rsidR="004E2D48">
        <w:rPr>
          <w:rFonts w:ascii="AvantGarde Bk BT" w:hAnsi="AvantGarde Bk BT" w:cs="Arial"/>
          <w:sz w:val="24"/>
          <w:szCs w:val="24"/>
        </w:rPr>
        <w:t>en la</w:t>
      </w:r>
      <w:r w:rsidR="004E2D48" w:rsidRPr="00E0750B">
        <w:rPr>
          <w:rFonts w:ascii="AvantGarde Bk BT" w:hAnsi="AvantGarde Bk BT" w:cs="Arial"/>
          <w:sz w:val="24"/>
          <w:szCs w:val="24"/>
        </w:rPr>
        <w:t xml:space="preserve"> foja </w:t>
      </w:r>
      <w:r w:rsidR="004E2D48">
        <w:rPr>
          <w:rFonts w:ascii="AvantGarde Bk BT" w:hAnsi="AvantGarde Bk BT" w:cs="Arial"/>
          <w:sz w:val="24"/>
          <w:szCs w:val="24"/>
        </w:rPr>
        <w:t>01 uno</w:t>
      </w:r>
      <w:r w:rsidR="004E2D48" w:rsidRPr="00E0750B">
        <w:rPr>
          <w:rFonts w:ascii="AvantGarde Bk BT" w:hAnsi="AvantGarde Bk BT" w:cs="Arial"/>
          <w:sz w:val="24"/>
          <w:szCs w:val="24"/>
        </w:rPr>
        <w:t xml:space="preserve"> de autos).</w:t>
      </w:r>
    </w:p>
    <w:p w:rsidR="004E2D48" w:rsidRDefault="007804E8" w:rsidP="004E2D4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Pues bien, los agravios vertidos por el particular resultan procedentes conforme a las siguientes precisiones:</w:t>
      </w:r>
    </w:p>
    <w:p w:rsidR="00A85358" w:rsidRDefault="00A85358" w:rsidP="004E2D4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:rsidR="007804E8" w:rsidRDefault="00007A77" w:rsidP="004E2D4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La Ley de Transparencia prevé que toda la información pública generada obtenida, adquirida, transformada o en posesión de los Sujetos Obligados es pública y será accesible a cualquier persona por lo que los Sujetos Obligados deberán habilitar todos los medios, acciones y esfuerzos para su cumplimiento conforme a la Ley General y demás disposiciones aplicables.</w:t>
      </w:r>
      <w:r>
        <w:rPr>
          <w:rStyle w:val="Refdenotaalpie"/>
          <w:rFonts w:ascii="AvantGarde Bk BT" w:hAnsi="AvantGarde Bk BT" w:cs="Arial"/>
          <w:sz w:val="24"/>
          <w:szCs w:val="24"/>
        </w:rPr>
        <w:footnoteReference w:id="1"/>
      </w:r>
    </w:p>
    <w:p w:rsidR="00A85358" w:rsidRDefault="00A85358" w:rsidP="004E2D4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:rsidR="00007A77" w:rsidRDefault="00007A77" w:rsidP="004E2D4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Aunado a lo anterior, a efecto de robustecer el anterior precepto legal, es importante reiterar que los Sujetos Obligados se encuentran constreñidos a proporcionar la expresión documental que </w:t>
      </w:r>
      <w:r w:rsidR="00A85358">
        <w:rPr>
          <w:rFonts w:ascii="AvantGarde Bk BT" w:hAnsi="AvantGarde Bk BT" w:cs="Arial"/>
          <w:sz w:val="24"/>
          <w:szCs w:val="24"/>
        </w:rPr>
        <w:t>permita al solicitante tener la certeza de que dicha información es verificable.</w:t>
      </w:r>
    </w:p>
    <w:p w:rsidR="004E2D48" w:rsidRDefault="004E2D48" w:rsidP="00A85358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:rsidR="004E2D48" w:rsidRDefault="004E2D48" w:rsidP="00A8535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Precisado lo anterior, a efecto de contextualizar el asunto que nos ocupa, es necesario señalar que como puede corroborarse en la página que antecede de esta resolución, el sujeto obligado proporcionó un archiv</w:t>
      </w:r>
      <w:r w:rsidR="0049462A">
        <w:rPr>
          <w:rFonts w:ascii="AvantGarde Bk BT" w:hAnsi="AvantGarde Bk BT" w:cs="Arial"/>
          <w:sz w:val="24"/>
          <w:szCs w:val="24"/>
        </w:rPr>
        <w:t>o comprimido el cual consta de los recibos de luz y agua del Hospital Central</w:t>
      </w:r>
      <w:r w:rsidR="00A85358">
        <w:rPr>
          <w:rFonts w:ascii="AvantGarde Bk BT" w:hAnsi="AvantGarde Bk BT" w:cs="Arial"/>
          <w:sz w:val="24"/>
          <w:szCs w:val="24"/>
        </w:rPr>
        <w:t xml:space="preserve">, </w:t>
      </w:r>
      <w:r>
        <w:rPr>
          <w:rFonts w:ascii="AvantGarde Bk BT" w:hAnsi="AvantGarde Bk BT" w:cs="Arial"/>
          <w:sz w:val="24"/>
          <w:szCs w:val="24"/>
        </w:rPr>
        <w:t>sin embargo, del estudio de la información que obra en autos,</w:t>
      </w:r>
      <w:r w:rsidR="0049462A">
        <w:rPr>
          <w:rFonts w:ascii="AvantGarde Bk BT" w:hAnsi="AvantGarde Bk BT" w:cs="Arial"/>
          <w:sz w:val="24"/>
          <w:szCs w:val="24"/>
        </w:rPr>
        <w:t xml:space="preserve"> al momento de hacer un análisis de las fechas solicitadas y las fechas qu</w:t>
      </w:r>
      <w:r w:rsidR="00A46850">
        <w:rPr>
          <w:rFonts w:ascii="AvantGarde Bk BT" w:hAnsi="AvantGarde Bk BT" w:cs="Arial"/>
          <w:sz w:val="24"/>
          <w:szCs w:val="24"/>
        </w:rPr>
        <w:t>e se encuentran en el documento</w:t>
      </w:r>
      <w:r w:rsidR="0049462A">
        <w:rPr>
          <w:rFonts w:ascii="AvantGarde Bk BT" w:hAnsi="AvantGarde Bk BT" w:cs="Arial"/>
          <w:sz w:val="24"/>
          <w:szCs w:val="24"/>
        </w:rPr>
        <w:t xml:space="preserve">, no se encuentra el recibo de </w:t>
      </w:r>
      <w:r w:rsidR="0049462A" w:rsidRPr="00A85358">
        <w:rPr>
          <w:rFonts w:ascii="AvantGarde Bk BT" w:hAnsi="AvantGarde Bk BT" w:cs="Arial"/>
          <w:b/>
          <w:sz w:val="24"/>
          <w:szCs w:val="24"/>
        </w:rPr>
        <w:t>luz del mes de junio del año 2020 dos mil veinte</w:t>
      </w:r>
      <w:r w:rsidR="00A46850">
        <w:rPr>
          <w:rFonts w:ascii="AvantGarde Bk BT" w:hAnsi="AvantGarde Bk BT" w:cs="Arial"/>
          <w:sz w:val="24"/>
          <w:szCs w:val="24"/>
        </w:rPr>
        <w:t>,</w:t>
      </w:r>
      <w:r w:rsidR="0049462A">
        <w:rPr>
          <w:rFonts w:ascii="AvantGarde Bk BT" w:hAnsi="AvantGarde Bk BT" w:cs="Arial"/>
          <w:sz w:val="24"/>
          <w:szCs w:val="24"/>
        </w:rPr>
        <w:t xml:space="preserve"> </w:t>
      </w:r>
      <w:r w:rsidR="00A46850" w:rsidRPr="00A85358">
        <w:rPr>
          <w:rFonts w:ascii="AvantGarde Bk BT" w:hAnsi="AvantGarde Bk BT" w:cs="Arial"/>
          <w:b/>
          <w:sz w:val="24"/>
          <w:szCs w:val="24"/>
        </w:rPr>
        <w:t>así</w:t>
      </w:r>
      <w:r w:rsidR="0049462A" w:rsidRPr="00A85358">
        <w:rPr>
          <w:rFonts w:ascii="AvantGarde Bk BT" w:hAnsi="AvantGarde Bk BT" w:cs="Arial"/>
          <w:b/>
          <w:sz w:val="24"/>
          <w:szCs w:val="24"/>
        </w:rPr>
        <w:t xml:space="preserve"> como los recibos de agua de los meses </w:t>
      </w:r>
      <w:r w:rsidR="00A85358" w:rsidRPr="00A85358">
        <w:rPr>
          <w:rFonts w:ascii="AvantGarde Bk BT" w:hAnsi="AvantGarde Bk BT" w:cs="Arial"/>
          <w:b/>
          <w:sz w:val="24"/>
          <w:szCs w:val="24"/>
        </w:rPr>
        <w:t xml:space="preserve">correspondientes de </w:t>
      </w:r>
      <w:r w:rsidR="00A46850" w:rsidRPr="00A85358">
        <w:rPr>
          <w:rFonts w:ascii="AvantGarde Bk BT" w:hAnsi="AvantGarde Bk BT" w:cs="Arial"/>
          <w:b/>
          <w:sz w:val="24"/>
          <w:szCs w:val="24"/>
        </w:rPr>
        <w:t>marzo a</w:t>
      </w:r>
      <w:r w:rsidR="0049462A" w:rsidRPr="00A85358">
        <w:rPr>
          <w:rFonts w:ascii="AvantGarde Bk BT" w:hAnsi="AvantGarde Bk BT" w:cs="Arial"/>
          <w:b/>
          <w:sz w:val="24"/>
          <w:szCs w:val="24"/>
        </w:rPr>
        <w:t xml:space="preserve"> abril del año 2019 dos mil diecinueve  y mayo a junio de 2020</w:t>
      </w:r>
      <w:r w:rsidR="00F325BC" w:rsidRPr="00A85358">
        <w:rPr>
          <w:rFonts w:ascii="AvantGarde Bk BT" w:hAnsi="AvantGarde Bk BT" w:cs="Arial"/>
          <w:b/>
          <w:sz w:val="24"/>
          <w:szCs w:val="24"/>
        </w:rPr>
        <w:t xml:space="preserve"> dos mil veinte</w:t>
      </w:r>
      <w:r w:rsidR="00F325BC">
        <w:rPr>
          <w:rFonts w:ascii="AvantGarde Bk BT" w:hAnsi="AvantGarde Bk BT" w:cs="Arial"/>
          <w:sz w:val="24"/>
          <w:szCs w:val="24"/>
        </w:rPr>
        <w:t>, por lo que el sujeto obligado debe enviar nuevamente la información completa al recurrente mediante el correo electrónico establecido.</w:t>
      </w:r>
    </w:p>
    <w:p w:rsidR="00A85358" w:rsidRDefault="00A85358" w:rsidP="00A8535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:rsidR="004E2D48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lastRenderedPageBreak/>
        <w:t>Fundamentalmente, no debemos pasar por alto que el sujeto obligado se encuentra constreñido a proporcionar la información que se encuentra en su posesión, lo anterior para efecto de permitir que el derecho de acceso a la información se encuentre satisfecho,</w:t>
      </w:r>
      <w:r>
        <w:rPr>
          <w:rStyle w:val="Refdenotaalpie"/>
          <w:rFonts w:ascii="AvantGarde Bk BT" w:hAnsi="AvantGarde Bk BT" w:cs="Arial"/>
          <w:color w:val="000000" w:themeColor="text1"/>
          <w:sz w:val="24"/>
          <w:szCs w:val="24"/>
        </w:rPr>
        <w:footnoteReference w:id="2"/>
      </w:r>
      <w:r w:rsidR="00A85358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</w:p>
    <w:p w:rsidR="00A85358" w:rsidRDefault="00A85358" w:rsidP="004E2D48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A85358" w:rsidRDefault="00A85358" w:rsidP="00A8535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En ese sentido es dable determinar que el Sujeto Obligado proporciona una respuesta incompleta en virtud de las precisiones hechas en supra líneas.</w:t>
      </w:r>
    </w:p>
    <w:p w:rsidR="004E2D48" w:rsidRDefault="004E2D48" w:rsidP="004E2D48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:rsidR="004E2D48" w:rsidRDefault="004E2D48" w:rsidP="004E2D4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4E2D48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6.1.  Sentidos y efectos de esta resolución.</w:t>
      </w:r>
    </w:p>
    <w:p w:rsidR="004E2D48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4E2D48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Por las consideraciones expuestas, esta Comisión Estatal de Garantía de Acceso a la Información Pública de conformidad con el artículo 175, fracción III de la Ley de Transparencia y Acceso a la Información Pública del Estado </w:t>
      </w:r>
      <w:r>
        <w:rPr>
          <w:rFonts w:ascii="AvantGarde Bk BT" w:hAnsi="AvantGarde Bk BT" w:cs="Arial"/>
          <w:b/>
          <w:bCs/>
          <w:color w:val="000000" w:themeColor="text1"/>
          <w:sz w:val="24"/>
          <w:szCs w:val="24"/>
        </w:rPr>
        <w:t>MODIFICA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la respuesta proporcionada por el ente obligado y lo conmina para que:</w:t>
      </w:r>
    </w:p>
    <w:p w:rsidR="004E2D48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4E2D48" w:rsidRDefault="004E2D48" w:rsidP="004E2D4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6.1.1.</w:t>
      </w:r>
    </w:p>
    <w:p w:rsidR="004E2D48" w:rsidRDefault="00A85358" w:rsidP="00A85358">
      <w:pPr>
        <w:pStyle w:val="corte4fondo"/>
        <w:numPr>
          <w:ilvl w:val="0"/>
          <w:numId w:val="5"/>
        </w:numPr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Proporcione</w:t>
      </w:r>
      <w:r w:rsidR="00D842F6">
        <w:rPr>
          <w:rFonts w:ascii="AvantGarde Bk BT" w:hAnsi="AvantGarde Bk BT" w:cs="Arial"/>
          <w:color w:val="000000" w:themeColor="text1"/>
          <w:sz w:val="24"/>
          <w:szCs w:val="24"/>
        </w:rPr>
        <w:t xml:space="preserve"> los recibos de luz del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periodo de </w:t>
      </w:r>
      <w:r w:rsidR="00D842F6">
        <w:rPr>
          <w:rFonts w:ascii="AvantGarde Bk BT" w:hAnsi="AvantGarde Bk BT" w:cs="Arial"/>
          <w:color w:val="000000" w:themeColor="text1"/>
          <w:sz w:val="24"/>
          <w:szCs w:val="24"/>
        </w:rPr>
        <w:t>mes de junio del año 2020 y los recibos de agua de los meses marzo a abril del año 2019 así como mayo a junio del año 2020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.</w:t>
      </w:r>
    </w:p>
    <w:p w:rsidR="004E2D48" w:rsidRPr="00464055" w:rsidRDefault="004E2D48" w:rsidP="004E2D48">
      <w:pPr>
        <w:pStyle w:val="corte4fondo"/>
        <w:tabs>
          <w:tab w:val="left" w:pos="567"/>
        </w:tabs>
        <w:ind w:left="1470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4E2D48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6.2. Modalidad de la información.</w:t>
      </w:r>
    </w:p>
    <w:p w:rsidR="004E2D48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:rsidR="004E2D48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En virtud de que el recurrente realizó su solicitud de información a través de la Plataforma Nacional de Transparencia y, dada la imposibilidad entregar la información por ese mismo medio, el sujeto obligado deberá dar respuesta a través del correo electrónico señalado por el particular para oír y recibir notificaciones.</w:t>
      </w:r>
    </w:p>
    <w:p w:rsidR="004E2D48" w:rsidRDefault="004E2D48" w:rsidP="004E2D48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4E2D48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lastRenderedPageBreak/>
        <w:t xml:space="preserve">6.3. Plazo para el cumplimento de esta resolución e informe sobre el cumplimento a la misma. </w:t>
      </w:r>
    </w:p>
    <w:p w:rsidR="004E2D48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:rsidR="004E2D48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Con fundamento en el artículo 175 de la Ley de Transparencia y Acceso a la Información Pública se concede un término de </w:t>
      </w:r>
      <w:r>
        <w:rPr>
          <w:rFonts w:ascii="AvantGarde Bk BT" w:hAnsi="AvantGarde Bk BT" w:cs="Arial"/>
          <w:color w:val="000000" w:themeColor="text1"/>
          <w:sz w:val="24"/>
          <w:szCs w:val="24"/>
          <w:u w:val="single"/>
        </w:rPr>
        <w:t>10 diez días para la entrega de la información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, contados a partir de la fecha de notificación de esta resolución, plazo que esta Comisión de Transparencia considera que es suficiente para la entrega de la información por parte del ente obligado y vencido este término, de conformidad con el artículo 177, segundo párrafo de la Ley de la materia, el ente obligado deberá informar a esta Comisión de Transparencia el cumplimento al presente fallo en un plazo que no deberá de exceder de tres días hábiles, en donde justificará con los documentos necesarios el cumplimento a lo aquí ordenado.</w:t>
      </w:r>
    </w:p>
    <w:p w:rsidR="004E2D48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4E2D48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6.4. Medida de apremio en caso de incumplimiento a la resolución.</w:t>
      </w:r>
    </w:p>
    <w:p w:rsidR="004E2D48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:rsidR="004E2D48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Esta Comisión Estatal de Garantía de Acceso a la Información Pública apercibe al ente obligado que, en caso de no acatar la presente resolución, se le impondrá una medida de apremio conforme a lo establecido en el artículo 190 fracción I de la Ley de Transparencia, consistente en una amonestación privada, lo anterior en virtud de que este órgano colegiado debe garantizar el debido cumplimiento al derecho humano de acceso a la información pública.</w:t>
      </w:r>
    </w:p>
    <w:p w:rsidR="004E2D48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4E2D48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6.5. Medio de impugnación.</w:t>
      </w:r>
    </w:p>
    <w:p w:rsidR="004E2D48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:rsidR="004E2D48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Por último,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Transparencia, Acceso a la Información y Protección de Datos Personales o ante el Poder Judicial de la Federación.</w:t>
      </w:r>
    </w:p>
    <w:p w:rsidR="004E2D48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4E2D48" w:rsidRDefault="004E2D48" w:rsidP="004E2D48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RESOLUTIVO</w:t>
      </w:r>
    </w:p>
    <w:p w:rsidR="004E2D48" w:rsidRDefault="004E2D48" w:rsidP="004E2D48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:rsidR="004E2D48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Por lo expuesto y fundado, 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SE RESUELVE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:</w:t>
      </w:r>
    </w:p>
    <w:p w:rsidR="004E2D48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4E2D48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ÚNICO.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Esta Comisión Estatal de Garantía de Acceso a la Información Pública de conformidad con el artículo 175, fracción III de la Ley de Transparencia y Acceso a la Información Pública del Estado </w:t>
      </w:r>
      <w:r>
        <w:rPr>
          <w:rFonts w:ascii="AvantGarde Bk BT" w:hAnsi="AvantGarde Bk BT" w:cs="Arial"/>
          <w:b/>
          <w:bCs/>
          <w:color w:val="000000" w:themeColor="text1"/>
          <w:sz w:val="24"/>
          <w:szCs w:val="24"/>
        </w:rPr>
        <w:t>MODIFICA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la respuesta proporcionada por el ente obligado por los fundamentos y las razones desarrolladas en el considerando sexto de la presente resolución.</w:t>
      </w:r>
    </w:p>
    <w:p w:rsidR="004E2D48" w:rsidRPr="00E0750B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:rsidR="004E2D48" w:rsidRPr="00E0750B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E0750B">
        <w:rPr>
          <w:rFonts w:ascii="AvantGarde Bk BT" w:hAnsi="AvantGarde Bk BT" w:cs="Arial"/>
          <w:b/>
          <w:sz w:val="24"/>
          <w:szCs w:val="24"/>
        </w:rPr>
        <w:t>Notifíquese</w:t>
      </w:r>
      <w:r w:rsidRPr="00E0750B">
        <w:rPr>
          <w:rFonts w:ascii="AvantGarde Bk BT" w:hAnsi="AvantGarde Bk BT" w:cs="Arial"/>
          <w:sz w:val="24"/>
          <w:szCs w:val="24"/>
        </w:rPr>
        <w:t>; por oficio a las autoridades y al recurrente por el medio que designó.</w:t>
      </w:r>
    </w:p>
    <w:p w:rsidR="004E2D48" w:rsidRPr="00E0750B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:rsidR="004E2D48" w:rsidRPr="009E154A" w:rsidRDefault="004E2D48" w:rsidP="004E2D48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A67C98">
        <w:rPr>
          <w:rFonts w:ascii="AvantGarde Bk BT" w:hAnsi="AvantGarde Bk BT" w:cs="Arial"/>
          <w:sz w:val="24"/>
          <w:szCs w:val="24"/>
        </w:rPr>
        <w:t>Así l</w:t>
      </w:r>
      <w:r w:rsidRPr="009E154A">
        <w:rPr>
          <w:rFonts w:ascii="AvantGarde Bk BT" w:hAnsi="AvantGarde Bk BT" w:cs="Arial"/>
          <w:sz w:val="24"/>
          <w:szCs w:val="24"/>
        </w:rPr>
        <w:t>o resolvieron por</w:t>
      </w:r>
      <w:r>
        <w:rPr>
          <w:rFonts w:ascii="AvantGarde Bk BT" w:hAnsi="AvantGarde Bk BT" w:cs="Arial"/>
          <w:sz w:val="24"/>
          <w:szCs w:val="24"/>
        </w:rPr>
        <w:t xml:space="preserve"> unanimidad de votos en Sesión ordinaria</w:t>
      </w:r>
      <w:r w:rsidRPr="009E154A">
        <w:rPr>
          <w:rFonts w:ascii="AvantGarde Bk BT" w:hAnsi="AvantGarde Bk BT" w:cs="Arial"/>
          <w:sz w:val="24"/>
          <w:szCs w:val="24"/>
        </w:rPr>
        <w:t xml:space="preserve"> de Consejo el</w:t>
      </w:r>
      <w:r>
        <w:rPr>
          <w:rFonts w:ascii="AvantGarde Bk BT" w:hAnsi="AvantGarde Bk BT" w:cs="Arial"/>
          <w:sz w:val="24"/>
          <w:szCs w:val="24"/>
        </w:rPr>
        <w:t xml:space="preserve"> </w:t>
      </w:r>
      <w:r w:rsidR="00D842F6">
        <w:rPr>
          <w:rFonts w:ascii="AvantGarde Bk BT" w:hAnsi="AvantGarde Bk BT" w:cs="Arial"/>
          <w:color w:val="000000" w:themeColor="text1"/>
          <w:sz w:val="24"/>
          <w:szCs w:val="24"/>
        </w:rPr>
        <w:t>14 catorce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A432C3">
        <w:rPr>
          <w:rFonts w:ascii="AvantGarde Bk BT" w:hAnsi="AvantGarde Bk BT" w:cs="Arial"/>
          <w:color w:val="000000" w:themeColor="text1"/>
          <w:sz w:val="24"/>
          <w:szCs w:val="24"/>
        </w:rPr>
        <w:t xml:space="preserve">de </w:t>
      </w:r>
      <w:r w:rsidR="00D842F6">
        <w:rPr>
          <w:rFonts w:ascii="AvantGarde Bk BT" w:hAnsi="AvantGarde Bk BT" w:cs="Arial"/>
          <w:color w:val="000000" w:themeColor="text1"/>
          <w:sz w:val="24"/>
          <w:szCs w:val="24"/>
        </w:rPr>
        <w:t xml:space="preserve">enero de 2021 </w:t>
      </w:r>
      <w:proofErr w:type="gramStart"/>
      <w:r w:rsidR="00D842F6">
        <w:rPr>
          <w:rFonts w:ascii="AvantGarde Bk BT" w:hAnsi="AvantGarde Bk BT" w:cs="Arial"/>
          <w:color w:val="000000" w:themeColor="text1"/>
          <w:sz w:val="24"/>
          <w:szCs w:val="24"/>
        </w:rPr>
        <w:t>dos mil veintiuno</w:t>
      </w:r>
      <w:proofErr w:type="gramEnd"/>
      <w:r w:rsidRPr="009E154A">
        <w:rPr>
          <w:rFonts w:ascii="AvantGarde Bk BT" w:hAnsi="AvantGarde Bk BT" w:cs="Arial"/>
          <w:sz w:val="24"/>
          <w:szCs w:val="24"/>
        </w:rPr>
        <w:t xml:space="preserve">, </w:t>
      </w:r>
      <w:r w:rsidRPr="00A67C98">
        <w:rPr>
          <w:rFonts w:ascii="AvantGarde Bk BT" w:hAnsi="AvantGarde Bk BT" w:cs="Arial"/>
          <w:sz w:val="24"/>
          <w:szCs w:val="24"/>
        </w:rPr>
        <w:t xml:space="preserve">los Comisionados </w:t>
      </w:r>
      <w:r w:rsidRPr="00A24EB3">
        <w:rPr>
          <w:rFonts w:ascii="AvantGarde Bk BT" w:hAnsi="AvantGarde Bk BT" w:cs="Arial"/>
          <w:b/>
          <w:sz w:val="24"/>
          <w:szCs w:val="24"/>
        </w:rPr>
        <w:t>LIC. DAVID ENRIQUE MENCHACA ZÚÑIGA</w:t>
      </w:r>
      <w:r w:rsidRPr="00A67C98">
        <w:rPr>
          <w:rFonts w:ascii="AvantGarde Bk BT" w:hAnsi="AvantGarde Bk BT" w:cs="Arial"/>
          <w:sz w:val="24"/>
          <w:szCs w:val="24"/>
        </w:rPr>
        <w:t xml:space="preserve">, Lic. Paulina Sánchez Pérez del Pozo y </w:t>
      </w:r>
      <w:proofErr w:type="spellStart"/>
      <w:r w:rsidRPr="00A67C98">
        <w:rPr>
          <w:rFonts w:ascii="AvantGarde Bk BT" w:hAnsi="AvantGarde Bk BT" w:cs="Arial"/>
          <w:sz w:val="24"/>
          <w:szCs w:val="24"/>
        </w:rPr>
        <w:t>Mariajosé</w:t>
      </w:r>
      <w:proofErr w:type="spellEnd"/>
      <w:r w:rsidRPr="00A67C98">
        <w:rPr>
          <w:rFonts w:ascii="AvantGarde Bk BT" w:hAnsi="AvantGarde Bk BT" w:cs="Arial"/>
          <w:sz w:val="24"/>
          <w:szCs w:val="24"/>
        </w:rPr>
        <w:t xml:space="preserve"> González Zarzosa, </w:t>
      </w:r>
      <w:r w:rsidRPr="009E154A">
        <w:rPr>
          <w:rFonts w:ascii="AvantGarde Bk BT" w:hAnsi="AvantGarde Bk BT" w:cs="Arial"/>
          <w:sz w:val="24"/>
          <w:szCs w:val="24"/>
        </w:rPr>
        <w:t>siendo ponente el primero de los nombrados, quienes firman con la Licenciada Rosa María Motilla García, quien autoriza y da fe.</w:t>
      </w:r>
    </w:p>
    <w:p w:rsidR="004E2D48" w:rsidRDefault="004E2D48" w:rsidP="004E2D48">
      <w:pPr>
        <w:pStyle w:val="NormalWeb"/>
        <w:rPr>
          <w:rFonts w:ascii="AvantGarde Bk BT" w:hAnsi="AvantGarde Bk BT" w:cs="Arial"/>
          <w:b/>
          <w:lang w:val="es-MX"/>
        </w:rPr>
      </w:pPr>
      <w:r>
        <w:rPr>
          <w:rFonts w:ascii="AvantGarde Bk BT" w:hAnsi="AvantGarde Bk BT" w:cs="Arial"/>
          <w:b/>
          <w:lang w:val="es-MX"/>
        </w:rPr>
        <w:t xml:space="preserve">             COMISIONADO PRESIDENTE</w:t>
      </w:r>
      <w:r w:rsidRPr="00A67C98">
        <w:rPr>
          <w:rFonts w:ascii="AvantGarde Bk BT" w:hAnsi="AvantGarde Bk BT" w:cs="Arial"/>
          <w:b/>
          <w:lang w:val="es-MX"/>
        </w:rPr>
        <w:t xml:space="preserve"> </w:t>
      </w:r>
      <w:r>
        <w:rPr>
          <w:rFonts w:ascii="AvantGarde Bk BT" w:hAnsi="AvantGarde Bk BT" w:cs="Arial"/>
          <w:b/>
          <w:lang w:val="es-MX"/>
        </w:rPr>
        <w:t xml:space="preserve">                                     COMISIONADA</w:t>
      </w:r>
      <w:r w:rsidRPr="00A67C98">
        <w:rPr>
          <w:rFonts w:ascii="AvantGarde Bk BT" w:hAnsi="AvantGarde Bk BT" w:cs="Arial"/>
          <w:b/>
          <w:lang w:val="es-MX"/>
        </w:rPr>
        <w:t xml:space="preserve">   </w:t>
      </w:r>
      <w:r>
        <w:rPr>
          <w:rFonts w:ascii="AvantGarde Bk BT" w:hAnsi="AvantGarde Bk BT" w:cs="Arial"/>
          <w:b/>
          <w:lang w:val="es-MX"/>
        </w:rPr>
        <w:t xml:space="preserve">                         </w:t>
      </w:r>
      <w:r w:rsidRPr="00A67C98">
        <w:rPr>
          <w:rFonts w:ascii="AvantGarde Bk BT" w:hAnsi="AvantGarde Bk BT" w:cs="Arial"/>
          <w:b/>
          <w:lang w:val="es-MX"/>
        </w:rPr>
        <w:t xml:space="preserve"> </w:t>
      </w:r>
    </w:p>
    <w:p w:rsidR="004E2D48" w:rsidRPr="00A67C98" w:rsidRDefault="004E2D48" w:rsidP="004E2D48">
      <w:pPr>
        <w:pStyle w:val="NormalWeb"/>
        <w:jc w:val="both"/>
        <w:rPr>
          <w:rFonts w:ascii="AvantGarde Bk BT" w:hAnsi="AvantGarde Bk BT" w:cs="Arial"/>
          <w:b/>
          <w:lang w:val="es-MX"/>
        </w:rPr>
      </w:pPr>
    </w:p>
    <w:p w:rsidR="004E2D48" w:rsidRDefault="004E2D48" w:rsidP="004E2D48">
      <w:pPr>
        <w:pStyle w:val="NormalWeb"/>
        <w:rPr>
          <w:rFonts w:ascii="AvantGarde Bk BT" w:hAnsi="AvantGarde Bk BT" w:cs="Arial"/>
          <w:b/>
          <w:lang w:val="es-MX"/>
        </w:rPr>
      </w:pPr>
      <w:r w:rsidRPr="00A67C98">
        <w:rPr>
          <w:rFonts w:ascii="AvantGarde Bk BT" w:hAnsi="AvantGarde Bk BT" w:cs="Arial"/>
          <w:b/>
          <w:lang w:val="es-MX"/>
        </w:rPr>
        <w:t>LIC</w:t>
      </w:r>
      <w:r>
        <w:rPr>
          <w:rFonts w:ascii="AvantGarde Bk BT" w:hAnsi="AvantGarde Bk BT" w:cs="Arial"/>
          <w:b/>
          <w:lang w:val="es-MX"/>
        </w:rPr>
        <w:t>. DAVID ENRIQUE MENCHACA ZUÑIGA</w:t>
      </w:r>
      <w:r w:rsidRPr="00A67C98">
        <w:rPr>
          <w:rFonts w:ascii="AvantGarde Bk BT" w:hAnsi="AvantGarde Bk BT" w:cs="Arial"/>
          <w:b/>
          <w:lang w:val="es-MX"/>
        </w:rPr>
        <w:t xml:space="preserve">.   </w:t>
      </w:r>
      <w:r>
        <w:rPr>
          <w:rFonts w:ascii="AvantGarde Bk BT" w:hAnsi="AvantGarde Bk BT" w:cs="Arial"/>
          <w:b/>
          <w:lang w:val="es-MX"/>
        </w:rPr>
        <w:t xml:space="preserve">    </w:t>
      </w:r>
      <w:r w:rsidRPr="00B0059A">
        <w:rPr>
          <w:rFonts w:ascii="AvantGarde Bk BT" w:hAnsi="AvantGarde Bk BT" w:cs="Arial"/>
          <w:b/>
          <w:lang w:val="es-MX"/>
        </w:rPr>
        <w:t>LI</w:t>
      </w:r>
      <w:r>
        <w:rPr>
          <w:rFonts w:ascii="AvantGarde Bk BT" w:hAnsi="AvantGarde Bk BT" w:cs="Arial"/>
          <w:b/>
          <w:lang w:val="es-MX"/>
        </w:rPr>
        <w:t>C. PAULINA SÁNCHEZ PÉREZ DEL POZO</w:t>
      </w:r>
      <w:r w:rsidRPr="00A67C98">
        <w:rPr>
          <w:rFonts w:ascii="AvantGarde Bk BT" w:hAnsi="AvantGarde Bk BT" w:cs="Arial"/>
          <w:b/>
          <w:lang w:val="es-MX"/>
        </w:rPr>
        <w:t>.</w:t>
      </w:r>
      <w:r w:rsidRPr="00A67C98">
        <w:rPr>
          <w:rFonts w:ascii="AvantGarde Bk BT" w:hAnsi="AvantGarde Bk BT" w:cs="Arial"/>
          <w:b/>
          <w:lang w:val="es-MX"/>
        </w:rPr>
        <w:tab/>
        <w:t xml:space="preserve">     </w:t>
      </w:r>
    </w:p>
    <w:p w:rsidR="003D4AC2" w:rsidRDefault="003D4AC2" w:rsidP="004E2D48">
      <w:pPr>
        <w:pStyle w:val="NormalWeb"/>
        <w:rPr>
          <w:rFonts w:ascii="AvantGarde Bk BT" w:hAnsi="AvantGarde Bk BT" w:cs="Arial"/>
          <w:b/>
          <w:lang w:val="es-MX"/>
        </w:rPr>
      </w:pPr>
    </w:p>
    <w:p w:rsidR="003D4AC2" w:rsidRDefault="003D4AC2" w:rsidP="004E2D48">
      <w:pPr>
        <w:pStyle w:val="NormalWeb"/>
        <w:rPr>
          <w:rFonts w:ascii="AvantGarde Bk BT" w:hAnsi="AvantGarde Bk BT" w:cs="Arial"/>
          <w:b/>
          <w:lang w:val="es-MX"/>
        </w:rPr>
      </w:pPr>
    </w:p>
    <w:p w:rsidR="004E2D48" w:rsidRDefault="004E2D48" w:rsidP="004E2D48">
      <w:pPr>
        <w:pStyle w:val="NormalWeb"/>
        <w:jc w:val="center"/>
        <w:rPr>
          <w:rFonts w:ascii="AvantGarde Bk BT" w:hAnsi="AvantGarde Bk BT" w:cs="Arial"/>
          <w:b/>
          <w:lang w:val="es-MX"/>
        </w:rPr>
      </w:pPr>
      <w:r w:rsidRPr="00A67C98">
        <w:rPr>
          <w:rFonts w:ascii="AvantGarde Bk BT" w:hAnsi="AvantGarde Bk BT" w:cs="Arial"/>
          <w:b/>
          <w:lang w:val="es-MX"/>
        </w:rPr>
        <w:t>COMISIONADA                                           SECRETARIA DE PLENO</w:t>
      </w:r>
    </w:p>
    <w:p w:rsidR="003D4AC2" w:rsidRPr="00A67C98" w:rsidRDefault="003D4AC2" w:rsidP="004E2D48">
      <w:pPr>
        <w:pStyle w:val="NormalWeb"/>
        <w:jc w:val="center"/>
        <w:rPr>
          <w:rFonts w:ascii="AvantGarde Bk BT" w:hAnsi="AvantGarde Bk BT" w:cs="Arial"/>
          <w:b/>
          <w:lang w:val="es-MX"/>
        </w:rPr>
      </w:pPr>
      <w:bookmarkStart w:id="2" w:name="_GoBack"/>
      <w:bookmarkEnd w:id="2"/>
    </w:p>
    <w:p w:rsidR="004E2D48" w:rsidRPr="00A67C98" w:rsidRDefault="004E2D48" w:rsidP="004E2D48">
      <w:pPr>
        <w:pStyle w:val="NormalWeb"/>
        <w:rPr>
          <w:rFonts w:ascii="AvantGarde Bk BT" w:hAnsi="AvantGarde Bk BT" w:cs="Arial"/>
          <w:b/>
          <w:lang w:val="es-MX"/>
        </w:rPr>
      </w:pPr>
    </w:p>
    <w:p w:rsidR="004E2D48" w:rsidRDefault="004E2D48" w:rsidP="004E2D48">
      <w:pPr>
        <w:autoSpaceDE w:val="0"/>
        <w:autoSpaceDN w:val="0"/>
        <w:adjustRightInd w:val="0"/>
        <w:spacing w:after="0" w:line="480" w:lineRule="auto"/>
        <w:jc w:val="both"/>
        <w:rPr>
          <w:rFonts w:ascii="AvantGarde Bk BT" w:hAnsi="AvantGarde Bk BT" w:cs="Arial"/>
          <w:b/>
        </w:rPr>
      </w:pPr>
      <w:r>
        <w:rPr>
          <w:rFonts w:ascii="AvantGarde Bk BT" w:hAnsi="AvantGarde Bk BT" w:cs="Arial"/>
          <w:b/>
        </w:rPr>
        <w:t xml:space="preserve">           </w:t>
      </w:r>
      <w:r w:rsidRPr="00A67C98">
        <w:rPr>
          <w:rFonts w:ascii="AvantGarde Bk BT" w:hAnsi="AvantGarde Bk BT" w:cs="Arial"/>
          <w:b/>
        </w:rPr>
        <w:t xml:space="preserve">MARIAJOSÉ GONZÁLEZ ZARZOSA.              </w:t>
      </w:r>
      <w:r>
        <w:rPr>
          <w:rFonts w:ascii="AvantGarde Bk BT" w:hAnsi="AvantGarde Bk BT" w:cs="Arial"/>
          <w:b/>
        </w:rPr>
        <w:t xml:space="preserve">         </w:t>
      </w:r>
      <w:r w:rsidRPr="00A67C98">
        <w:rPr>
          <w:rFonts w:ascii="AvantGarde Bk BT" w:hAnsi="AvantGarde Bk BT" w:cs="Arial"/>
          <w:b/>
        </w:rPr>
        <w:t xml:space="preserve">  LIC. ROSA MARÍA MOTILLA GARCÍA</w:t>
      </w:r>
    </w:p>
    <w:p w:rsidR="004E2D48" w:rsidRDefault="004E2D48" w:rsidP="004E2D48">
      <w:pPr>
        <w:autoSpaceDE w:val="0"/>
        <w:autoSpaceDN w:val="0"/>
        <w:adjustRightInd w:val="0"/>
        <w:spacing w:after="0" w:line="480" w:lineRule="auto"/>
        <w:jc w:val="both"/>
        <w:rPr>
          <w:rFonts w:ascii="AvantGarde Bk BT" w:hAnsi="AvantGarde Bk BT" w:cs="Arial"/>
          <w:sz w:val="14"/>
          <w:szCs w:val="14"/>
        </w:rPr>
      </w:pPr>
      <w:r>
        <w:rPr>
          <w:rFonts w:ascii="AvantGarde Bk BT" w:hAnsi="AvantGarde Bk BT" w:cs="Arial"/>
          <w:sz w:val="14"/>
          <w:szCs w:val="14"/>
        </w:rPr>
        <w:t>RGC-MAI</w:t>
      </w:r>
      <w:bookmarkEnd w:id="0"/>
    </w:p>
    <w:p w:rsidR="00AC6AE4" w:rsidRDefault="00AC6AE4" w:rsidP="004E2D48">
      <w:pPr>
        <w:autoSpaceDE w:val="0"/>
        <w:autoSpaceDN w:val="0"/>
        <w:adjustRightInd w:val="0"/>
        <w:spacing w:after="0" w:line="480" w:lineRule="auto"/>
        <w:jc w:val="both"/>
        <w:rPr>
          <w:rFonts w:ascii="AvantGarde Bk BT" w:hAnsi="AvantGarde Bk BT" w:cs="Arial"/>
          <w:sz w:val="14"/>
          <w:szCs w:val="14"/>
        </w:rPr>
      </w:pPr>
    </w:p>
    <w:p w:rsidR="00AC6AE4" w:rsidRDefault="00AC6AE4" w:rsidP="004E2D48">
      <w:pPr>
        <w:autoSpaceDE w:val="0"/>
        <w:autoSpaceDN w:val="0"/>
        <w:adjustRightInd w:val="0"/>
        <w:spacing w:after="0" w:line="480" w:lineRule="auto"/>
        <w:jc w:val="both"/>
        <w:rPr>
          <w:rFonts w:ascii="AvantGarde Bk BT" w:hAnsi="AvantGarde Bk BT" w:cs="Arial"/>
          <w:sz w:val="14"/>
          <w:szCs w:val="14"/>
        </w:rPr>
      </w:pPr>
    </w:p>
    <w:p w:rsidR="00AC6AE4" w:rsidRDefault="00AC6AE4" w:rsidP="004E2D48">
      <w:pPr>
        <w:autoSpaceDE w:val="0"/>
        <w:autoSpaceDN w:val="0"/>
        <w:adjustRightInd w:val="0"/>
        <w:spacing w:after="0" w:line="480" w:lineRule="auto"/>
        <w:jc w:val="both"/>
        <w:rPr>
          <w:rFonts w:ascii="AvantGarde Bk BT" w:hAnsi="AvantGarde Bk BT" w:cs="Arial"/>
          <w:sz w:val="14"/>
          <w:szCs w:val="14"/>
        </w:rPr>
      </w:pPr>
    </w:p>
    <w:p w:rsidR="00AC6AE4" w:rsidRDefault="00AC6AE4" w:rsidP="004E2D48">
      <w:pPr>
        <w:autoSpaceDE w:val="0"/>
        <w:autoSpaceDN w:val="0"/>
        <w:adjustRightInd w:val="0"/>
        <w:spacing w:after="0" w:line="480" w:lineRule="auto"/>
        <w:jc w:val="both"/>
        <w:rPr>
          <w:rFonts w:ascii="AvantGarde Bk BT" w:hAnsi="AvantGarde Bk BT" w:cs="Arial"/>
          <w:sz w:val="14"/>
          <w:szCs w:val="14"/>
        </w:rPr>
      </w:pPr>
    </w:p>
    <w:p w:rsidR="00AC6AE4" w:rsidRPr="00CC38D7" w:rsidRDefault="00AC6AE4" w:rsidP="004E2D48">
      <w:pPr>
        <w:autoSpaceDE w:val="0"/>
        <w:autoSpaceDN w:val="0"/>
        <w:adjustRightInd w:val="0"/>
        <w:spacing w:after="0" w:line="480" w:lineRule="auto"/>
        <w:jc w:val="both"/>
        <w:rPr>
          <w:rFonts w:ascii="AvantGarde Bk BT" w:hAnsi="AvantGarde Bk BT" w:cs="Arial"/>
          <w:sz w:val="14"/>
          <w:szCs w:val="14"/>
        </w:rPr>
      </w:pPr>
      <w:r>
        <w:rPr>
          <w:rFonts w:ascii="AvantGarde Bk BT" w:hAnsi="AvantGarde Bk BT" w:cs="Arial"/>
          <w:sz w:val="14"/>
          <w:szCs w:val="14"/>
        </w:rPr>
        <w:t>.</w:t>
      </w:r>
    </w:p>
    <w:p w:rsidR="00DD691D" w:rsidRDefault="00DD691D"/>
    <w:sectPr w:rsidR="00DD691D" w:rsidSect="004A18DE">
      <w:headerReference w:type="default" r:id="rId9"/>
      <w:pgSz w:w="12247" w:h="19335" w:code="4636"/>
      <w:pgMar w:top="3119" w:right="851" w:bottom="198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2D48" w:rsidRDefault="004E2D48" w:rsidP="004E2D48">
      <w:pPr>
        <w:spacing w:after="0" w:line="240" w:lineRule="auto"/>
      </w:pPr>
      <w:r>
        <w:separator/>
      </w:r>
    </w:p>
  </w:endnote>
  <w:endnote w:type="continuationSeparator" w:id="0">
    <w:p w:rsidR="004E2D48" w:rsidRDefault="004E2D48" w:rsidP="004E2D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2D48" w:rsidRDefault="004E2D48" w:rsidP="004E2D48">
      <w:pPr>
        <w:spacing w:after="0" w:line="240" w:lineRule="auto"/>
      </w:pPr>
      <w:r>
        <w:separator/>
      </w:r>
    </w:p>
  </w:footnote>
  <w:footnote w:type="continuationSeparator" w:id="0">
    <w:p w:rsidR="004E2D48" w:rsidRDefault="004E2D48" w:rsidP="004E2D48">
      <w:pPr>
        <w:spacing w:after="0" w:line="240" w:lineRule="auto"/>
      </w:pPr>
      <w:r>
        <w:continuationSeparator/>
      </w:r>
    </w:p>
  </w:footnote>
  <w:footnote w:id="1">
    <w:p w:rsidR="00007A77" w:rsidRPr="00007A77" w:rsidRDefault="00007A77" w:rsidP="00007A77">
      <w:pPr>
        <w:pStyle w:val="Textonotapie"/>
        <w:rPr>
          <w:lang w:bidi="es-ES"/>
        </w:rPr>
      </w:pPr>
      <w:r>
        <w:rPr>
          <w:rStyle w:val="Refdenotaalpie"/>
        </w:rPr>
        <w:footnoteRef/>
      </w:r>
      <w:r>
        <w:t xml:space="preserve"> </w:t>
      </w:r>
      <w:r w:rsidRPr="00007A77">
        <w:rPr>
          <w:b/>
          <w:lang w:bidi="es-ES"/>
        </w:rPr>
        <w:t xml:space="preserve">ARTÍCULO 12. </w:t>
      </w:r>
      <w:r w:rsidRPr="00007A77">
        <w:rPr>
          <w:lang w:bidi="es-ES"/>
        </w:rPr>
        <w:t>Toda la información pública generada, obtenida, adquirida, transformada o en posesión de los sujetos obligados es pública y será accesible a cualquier persona, para lo que se deberán habilitar todos los medios, acciones y esfuerzos disponibles en los términos y condiciones que establezca esta Ley; la Ley General; así como demás normas aplicables.</w:t>
      </w:r>
    </w:p>
    <w:p w:rsidR="00007A77" w:rsidRPr="00007A77" w:rsidRDefault="00007A77">
      <w:pPr>
        <w:pStyle w:val="Textonotapie"/>
        <w:rPr>
          <w:lang w:val="es-ES"/>
        </w:rPr>
      </w:pPr>
    </w:p>
  </w:footnote>
  <w:footnote w:id="2">
    <w:p w:rsidR="004E2D48" w:rsidRDefault="004E2D48" w:rsidP="004E2D48">
      <w:pPr>
        <w:pStyle w:val="Textonotapie"/>
        <w:jc w:val="both"/>
        <w:rPr>
          <w:lang w:val="es-ES_tradnl"/>
        </w:rPr>
      </w:pPr>
      <w:r>
        <w:rPr>
          <w:rStyle w:val="Refdenotaalpie"/>
        </w:rPr>
        <w:footnoteRef/>
      </w:r>
      <w:r>
        <w:t xml:space="preserve"> </w:t>
      </w:r>
      <w:r>
        <w:rPr>
          <w:bCs/>
          <w:lang w:val="es-ES_tradnl"/>
        </w:rPr>
        <w:t xml:space="preserve">ARTÍCULO 61. </w:t>
      </w:r>
      <w:r>
        <w:rPr>
          <w:lang w:val="es-ES_tradnl"/>
        </w:rPr>
        <w:t xml:space="preserve">Los servidores públicos y las áreas de los sujetos obligados que formulen, produzcan, procesen, administren, archiven y resguarden información pública, son responsables de la misma y están obligados a permitir el ejercicio del derecho de acceso a la información pública en los términos de esta Ley. </w:t>
      </w:r>
    </w:p>
    <w:p w:rsidR="004E2D48" w:rsidRDefault="004E2D48" w:rsidP="004E2D48">
      <w:pPr>
        <w:pStyle w:val="Textonotapie"/>
        <w:jc w:val="both"/>
        <w:rPr>
          <w:lang w:val="es-ES_tradnl"/>
        </w:rPr>
      </w:pPr>
      <w:r>
        <w:rPr>
          <w:lang w:val="es-ES_tradnl"/>
        </w:rPr>
        <w:t xml:space="preserve">La obligación de los sujetos obligados de proporcionar información no comprende el procesamiento de la misma, ni el presentarla conforme al interés del solicitante. </w:t>
      </w:r>
    </w:p>
    <w:p w:rsidR="004E2D48" w:rsidRDefault="004E2D48" w:rsidP="004E2D48">
      <w:pPr>
        <w:pStyle w:val="Textonotapie"/>
        <w:jc w:val="both"/>
        <w:rPr>
          <w:lang w:val="es-ES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35293170"/>
      <w:docPartObj>
        <w:docPartGallery w:val="Page Numbers (Top of Page)"/>
        <w:docPartUnique/>
      </w:docPartObj>
    </w:sdtPr>
    <w:sdtEndPr/>
    <w:sdtContent>
      <w:p w:rsidR="00BA01A8" w:rsidRDefault="00D842F6" w:rsidP="002C3BD5">
        <w:pPr>
          <w:pStyle w:val="Encabezado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D4AC2" w:rsidRPr="003D4AC2">
          <w:rPr>
            <w:noProof/>
            <w:lang w:val="es-ES"/>
          </w:rPr>
          <w:t>10</w:t>
        </w:r>
        <w:r>
          <w:fldChar w:fldCharType="end"/>
        </w:r>
        <w:r>
          <w:t xml:space="preserve">                                  </w:t>
        </w:r>
      </w:p>
      <w:p w:rsidR="00952B2D" w:rsidRDefault="00D842F6" w:rsidP="002C3BD5">
        <w:pPr>
          <w:pStyle w:val="Encabezado"/>
          <w:jc w:val="right"/>
        </w:pPr>
        <w:r>
          <w:t xml:space="preserve">RECURSO DE REVISIÓN </w:t>
        </w:r>
        <w:r w:rsidR="00F43251">
          <w:t>2132</w:t>
        </w:r>
        <w:r>
          <w:t xml:space="preserve">/2020-1 </w:t>
        </w:r>
        <w:r w:rsidR="004E2D48">
          <w:t>SICOM</w:t>
        </w:r>
      </w:p>
      <w:p w:rsidR="00BA01A8" w:rsidRDefault="003D4AC2" w:rsidP="002C3BD5">
        <w:pPr>
          <w:pStyle w:val="Encabezado"/>
          <w:jc w:val="right"/>
        </w:pPr>
      </w:p>
    </w:sdtContent>
  </w:sdt>
  <w:p w:rsidR="00BA01A8" w:rsidRDefault="003D4AC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A0923"/>
    <w:multiLevelType w:val="hybridMultilevel"/>
    <w:tmpl w:val="7188F848"/>
    <w:lvl w:ilvl="0" w:tplc="080A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" w15:restartNumberingAfterBreak="0">
    <w:nsid w:val="2A413A55"/>
    <w:multiLevelType w:val="hybridMultilevel"/>
    <w:tmpl w:val="D088ADCE"/>
    <w:lvl w:ilvl="0" w:tplc="A57C2312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A44245C"/>
    <w:multiLevelType w:val="hybridMultilevel"/>
    <w:tmpl w:val="97D2C346"/>
    <w:lvl w:ilvl="0" w:tplc="2DC8D114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3" w15:restartNumberingAfterBreak="0">
    <w:nsid w:val="56E43C88"/>
    <w:multiLevelType w:val="hybridMultilevel"/>
    <w:tmpl w:val="0276C546"/>
    <w:lvl w:ilvl="0" w:tplc="84DEB0C2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D87778"/>
    <w:multiLevelType w:val="hybridMultilevel"/>
    <w:tmpl w:val="2C66934E"/>
    <w:lvl w:ilvl="0" w:tplc="0C0A0001">
      <w:start w:val="1"/>
      <w:numFmt w:val="bullet"/>
      <w:lvlText w:val=""/>
      <w:lvlJc w:val="left"/>
      <w:pPr>
        <w:ind w:left="219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D48"/>
    <w:rsid w:val="00007A77"/>
    <w:rsid w:val="001A6E69"/>
    <w:rsid w:val="003D4AC2"/>
    <w:rsid w:val="0049462A"/>
    <w:rsid w:val="004B485E"/>
    <w:rsid w:val="004E2D48"/>
    <w:rsid w:val="006A6612"/>
    <w:rsid w:val="006E2D59"/>
    <w:rsid w:val="007804E8"/>
    <w:rsid w:val="00905C4A"/>
    <w:rsid w:val="00950DA4"/>
    <w:rsid w:val="009E0324"/>
    <w:rsid w:val="009F479E"/>
    <w:rsid w:val="00A46850"/>
    <w:rsid w:val="00A85358"/>
    <w:rsid w:val="00AC6AE4"/>
    <w:rsid w:val="00D74DB4"/>
    <w:rsid w:val="00D842F6"/>
    <w:rsid w:val="00DD691D"/>
    <w:rsid w:val="00F325BC"/>
    <w:rsid w:val="00F43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F9AF3"/>
  <w15:chartTrackingRefBased/>
  <w15:docId w15:val="{BD011BFD-0FE5-4988-A8F1-6C0381EA1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2D48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orte4fondo">
    <w:name w:val="corte4 fondo"/>
    <w:basedOn w:val="Normal"/>
    <w:link w:val="corte4fondoCar1"/>
    <w:qFormat/>
    <w:rsid w:val="004E2D48"/>
    <w:pPr>
      <w:spacing w:after="0" w:line="360" w:lineRule="auto"/>
      <w:ind w:firstLine="709"/>
      <w:jc w:val="both"/>
    </w:pPr>
    <w:rPr>
      <w:rFonts w:ascii="Arial" w:eastAsia="Times New Roman" w:hAnsi="Arial" w:cs="Times New Roman"/>
      <w:sz w:val="30"/>
      <w:szCs w:val="20"/>
    </w:rPr>
  </w:style>
  <w:style w:type="character" w:customStyle="1" w:styleId="corte4fondoCar1">
    <w:name w:val="corte4 fondo Car1"/>
    <w:link w:val="corte4fondo"/>
    <w:rsid w:val="004E2D48"/>
    <w:rPr>
      <w:rFonts w:ascii="Arial" w:eastAsia="Times New Roman" w:hAnsi="Arial" w:cs="Times New Roman"/>
      <w:sz w:val="30"/>
      <w:szCs w:val="20"/>
      <w:lang w:eastAsia="es-MX"/>
    </w:rPr>
  </w:style>
  <w:style w:type="paragraph" w:styleId="NormalWeb">
    <w:name w:val="Normal (Web)"/>
    <w:basedOn w:val="Normal"/>
    <w:uiPriority w:val="99"/>
    <w:rsid w:val="004E2D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E2D4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2D48"/>
    <w:rPr>
      <w:rFonts w:eastAsiaTheme="minorEastAsia"/>
      <w:lang w:eastAsia="es-MX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4E2D48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E2D48"/>
    <w:rPr>
      <w:rFonts w:eastAsiaTheme="minorEastAsia"/>
      <w:sz w:val="20"/>
      <w:szCs w:val="20"/>
      <w:lang w:eastAsia="es-MX"/>
    </w:rPr>
  </w:style>
  <w:style w:type="character" w:styleId="Refdenotaalpie">
    <w:name w:val="footnote reference"/>
    <w:basedOn w:val="Fuentedeprrafopredeter"/>
    <w:uiPriority w:val="99"/>
    <w:semiHidden/>
    <w:unhideWhenUsed/>
    <w:rsid w:val="004E2D48"/>
    <w:rPr>
      <w:vertAlign w:val="superscript"/>
    </w:rPr>
  </w:style>
  <w:style w:type="paragraph" w:styleId="Piedepgina">
    <w:name w:val="footer"/>
    <w:basedOn w:val="Normal"/>
    <w:link w:val="PiedepginaCar"/>
    <w:uiPriority w:val="99"/>
    <w:unhideWhenUsed/>
    <w:rsid w:val="004E2D4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2D48"/>
    <w:rPr>
      <w:rFonts w:eastAsiaTheme="minorEastAsia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C6A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6AE4"/>
    <w:rPr>
      <w:rFonts w:ascii="Segoe UI" w:eastAsiaTheme="minorEastAsia" w:hAnsi="Segoe UI" w:cs="Segoe UI"/>
      <w:sz w:val="18"/>
      <w:szCs w:val="18"/>
      <w:lang w:eastAsia="es-MX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007A77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007A77"/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DA70C6-B520-440E-BCCC-D03D441724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10</Pages>
  <Words>2094</Words>
  <Characters>11518</Characters>
  <Application>Microsoft Office Word</Application>
  <DocSecurity>0</DocSecurity>
  <Lines>95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</dc:creator>
  <cp:keywords/>
  <dc:description/>
  <cp:lastModifiedBy>Usuario</cp:lastModifiedBy>
  <cp:revision>5</cp:revision>
  <cp:lastPrinted>2021-08-31T19:29:00Z</cp:lastPrinted>
  <dcterms:created xsi:type="dcterms:W3CDTF">2021-07-16T15:45:00Z</dcterms:created>
  <dcterms:modified xsi:type="dcterms:W3CDTF">2021-08-31T19:30:00Z</dcterms:modified>
</cp:coreProperties>
</file>