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Pr="00BB610F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  <w:r w:rsidRPr="00BB610F">
        <w:rPr>
          <w:rFonts w:ascii="Arial" w:hAnsi="Arial" w:cs="Arial"/>
          <w:sz w:val="48"/>
          <w:szCs w:val="48"/>
        </w:rPr>
        <w:t>INFORME ANUAL DE LAS ACTIVIDADES REALIZADAS EN MATERIA DE TRANSPARENCIA Y PROTECCIÓN DE DATOS PERSONALES 2019</w:t>
      </w: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 xml:space="preserve">En el año 2019, la Unidad de Transparencia atendió un total de 23 solicitudes de acceso a la información, lo que representó un incremento del 50% respecto de las solicitudes recibidas en 2018, que fueron 12. De las solicitudes recibidas, en 12 se otorgó una respuesta completa, en 3 se otorgó información parcial, en 2 se orientó al solicitante para que presentara su petición ante el sujeto obligado competente, en 3 la información se encontraba disponible en plataforma informando por lo que se le proporcionó al solicitante el medio y la forma en que podía consultar la información, en 2 la dependencia resulto incompetente y 1 fue desechada  por no haber dado cumplimiento el solicitante al requerimiento que se le realizo para que aclarara su petición. </w:t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>Como se muestra en la siguiente gráfica:</w:t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240" w:lineRule="auto"/>
        <w:jc w:val="both"/>
        <w:rPr>
          <w:rFonts w:ascii="Arial" w:hAnsi="Arial" w:cs="Arial"/>
        </w:rPr>
      </w:pPr>
      <w:r w:rsidRPr="00926F76">
        <w:rPr>
          <w:noProof/>
        </w:rPr>
        <w:drawing>
          <wp:inline distT="0" distB="0" distL="0" distR="0" wp14:anchorId="69E18D2F" wp14:editId="0CF22423">
            <wp:extent cx="5579745" cy="3648710"/>
            <wp:effectExtent l="0" t="0" r="1905" b="8890"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bookmarkStart w:id="0" w:name="_GoBack"/>
      <w:bookmarkEnd w:id="0"/>
      <w:r w:rsidRPr="00926F76">
        <w:rPr>
          <w:rFonts w:ascii="Arial" w:hAnsi="Arial" w:cs="Arial"/>
        </w:rPr>
        <w:t>Cabe mencionar que las 23 solicitudes de información, ingresaron a través del Sistema INFOMEX, de las cuales 11 fueron presentadas por hombres, 6 por mujeres, 3 persona moral y 3 no identificados. Como se describe en la siguiente gráfica:</w:t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center"/>
        <w:rPr>
          <w:rFonts w:ascii="Arial" w:hAnsi="Arial" w:cs="Arial"/>
        </w:rPr>
      </w:pPr>
      <w:r w:rsidRPr="00926F76">
        <w:rPr>
          <w:noProof/>
        </w:rPr>
        <w:drawing>
          <wp:inline distT="0" distB="0" distL="0" distR="0" wp14:anchorId="406100F2" wp14:editId="646E2086">
            <wp:extent cx="6005593" cy="3648710"/>
            <wp:effectExtent l="0" t="0" r="14605" b="8890"/>
            <wp:docPr id="10" name="Gráfico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temas más solicitados fueron</w:t>
      </w:r>
      <w:r w:rsidRPr="00926F76">
        <w:rPr>
          <w:rFonts w:ascii="Arial" w:hAnsi="Arial" w:cs="Arial"/>
        </w:rPr>
        <w:t xml:space="preserve">: </w:t>
      </w:r>
    </w:p>
    <w:p w:rsidR="00A11A7D" w:rsidRPr="00926F76" w:rsidRDefault="00A11A7D" w:rsidP="00A11A7D">
      <w:pPr>
        <w:spacing w:after="0" w:line="360" w:lineRule="auto"/>
        <w:ind w:left="1134"/>
        <w:jc w:val="both"/>
        <w:rPr>
          <w:rFonts w:ascii="Arial" w:hAnsi="Arial" w:cs="Arial"/>
        </w:rPr>
      </w:pPr>
    </w:p>
    <w:p w:rsidR="00A11A7D" w:rsidRPr="00926F76" w:rsidRDefault="00A11A7D" w:rsidP="00A11A7D">
      <w:pPr>
        <w:pStyle w:val="Prrafodelista"/>
        <w:numPr>
          <w:ilvl w:val="0"/>
          <w:numId w:val="2"/>
        </w:numPr>
        <w:spacing w:after="0" w:line="360" w:lineRule="auto"/>
        <w:ind w:left="1134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>La remuneración bruta y neta del personal.</w:t>
      </w:r>
    </w:p>
    <w:p w:rsidR="00A11A7D" w:rsidRPr="00926F76" w:rsidRDefault="00A11A7D" w:rsidP="00A11A7D">
      <w:pPr>
        <w:pStyle w:val="Prrafodelista"/>
        <w:numPr>
          <w:ilvl w:val="0"/>
          <w:numId w:val="2"/>
        </w:numPr>
        <w:spacing w:after="0" w:line="360" w:lineRule="auto"/>
        <w:ind w:left="1134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>La plantilla de personal.</w:t>
      </w:r>
    </w:p>
    <w:p w:rsidR="00A11A7D" w:rsidRPr="00926F76" w:rsidRDefault="00A11A7D" w:rsidP="00A11A7D">
      <w:pPr>
        <w:pStyle w:val="Prrafodelista"/>
        <w:numPr>
          <w:ilvl w:val="0"/>
          <w:numId w:val="2"/>
        </w:numPr>
        <w:spacing w:after="0" w:line="360" w:lineRule="auto"/>
        <w:ind w:left="1134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>Los procesos de reclutamiento del personal</w:t>
      </w:r>
    </w:p>
    <w:p w:rsidR="00A11A7D" w:rsidRPr="00926F76" w:rsidRDefault="00A11A7D" w:rsidP="00A11A7D">
      <w:pPr>
        <w:spacing w:after="0" w:line="360" w:lineRule="auto"/>
        <w:ind w:left="1134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>En cuanto a las solicitudes de protección de datos personales (arco), se recibieron 2 peticiones de acceso las cuales resultaron procedentes y 1 de rectificación, la cual fue desechada por no haber dado cumplimiento el peticionario al requerimiento que se le formulo para que aclarara su petición.</w:t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>También, se actualizaron los avisos de privacidad a efecto de informar al titular de los datos personales, el tratamiento que va a recibir la información personal que proporcione para la realización de algún trámite o servicio que presté la Defensoría Pública, así como la posibilidad de ejercer los derechos de acceso, rectificación, cancelación y oposición (derechos arco) y la forma de ejercerlos.</w:t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 xml:space="preserve">En cuanto a la acción de elaboración de manuales de organización y procedimientos establecida en el programa de mejoramiento de la transparencia esta no se concluyó. </w:t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 xml:space="preserve">En materia de capacitación, el personal de la Unidad asistió a: </w:t>
      </w:r>
    </w:p>
    <w:p w:rsidR="00A11A7D" w:rsidRPr="00926F76" w:rsidRDefault="00A11A7D" w:rsidP="00A11A7D">
      <w:pPr>
        <w:spacing w:after="0" w:line="360" w:lineRule="auto"/>
        <w:jc w:val="both"/>
        <w:rPr>
          <w:rFonts w:ascii="Arial" w:hAnsi="Arial" w:cs="Arial"/>
        </w:rPr>
      </w:pPr>
    </w:p>
    <w:p w:rsidR="00A11A7D" w:rsidRPr="00926F76" w:rsidRDefault="00A11A7D" w:rsidP="00A11A7D">
      <w:pPr>
        <w:numPr>
          <w:ilvl w:val="0"/>
          <w:numId w:val="1"/>
        </w:numPr>
        <w:spacing w:after="160" w:line="360" w:lineRule="auto"/>
        <w:ind w:left="1134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>Tercer encuentro Regional sobre Políticas de Derechos Humanos y Transparencia efectuado en el mes de mayo de 2019.</w:t>
      </w:r>
    </w:p>
    <w:p w:rsidR="00A11A7D" w:rsidRPr="00926F76" w:rsidRDefault="00A11A7D" w:rsidP="00A11A7D">
      <w:pPr>
        <w:numPr>
          <w:ilvl w:val="0"/>
          <w:numId w:val="1"/>
        </w:numPr>
        <w:spacing w:after="160" w:line="360" w:lineRule="auto"/>
        <w:ind w:left="1134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t xml:space="preserve">Curso-Taller sobre las </w:t>
      </w:r>
      <w:r w:rsidRPr="00926F76">
        <w:rPr>
          <w:rFonts w:ascii="Arial" w:hAnsi="Arial" w:cs="Arial"/>
          <w:b/>
        </w:rPr>
        <w:t xml:space="preserve">“Obligaciones y Responsabilidades establecidas en la Ley de Transparencia y Acceso a la Información </w:t>
      </w:r>
      <w:proofErr w:type="spellStart"/>
      <w:r w:rsidRPr="00926F76">
        <w:rPr>
          <w:rFonts w:ascii="Arial" w:hAnsi="Arial" w:cs="Arial"/>
          <w:b/>
        </w:rPr>
        <w:t>Püblica</w:t>
      </w:r>
      <w:proofErr w:type="spellEnd"/>
      <w:r w:rsidRPr="00926F76">
        <w:rPr>
          <w:rFonts w:ascii="Arial" w:hAnsi="Arial" w:cs="Arial"/>
          <w:b/>
        </w:rPr>
        <w:t xml:space="preserve"> del Estado de San Luis Potosí y Ley de Protección de Datos Personales en Posesión de Sujetos Obligados del estado de San Luis Potosí”, </w:t>
      </w:r>
      <w:r w:rsidRPr="00926F76">
        <w:rPr>
          <w:rFonts w:ascii="Arial" w:hAnsi="Arial" w:cs="Arial"/>
        </w:rPr>
        <w:t xml:space="preserve">impartido por la </w:t>
      </w:r>
      <w:r w:rsidRPr="00926F76">
        <w:rPr>
          <w:rFonts w:ascii="Arial" w:hAnsi="Arial" w:cs="Arial"/>
          <w:shd w:val="clear" w:color="auto" w:fill="FFFFFF"/>
        </w:rPr>
        <w:t>Comisión Estatal de Garantía de Acceso a la Información Pública del Estado de San Luis Potosí, en el mes de octubre de 2019.</w:t>
      </w:r>
      <w:r w:rsidRPr="00926F76">
        <w:rPr>
          <w:rFonts w:ascii="Arial" w:hAnsi="Arial" w:cs="Arial"/>
          <w:b/>
        </w:rPr>
        <w:t xml:space="preserve"> </w:t>
      </w:r>
    </w:p>
    <w:p w:rsidR="00094979" w:rsidRPr="006E0B88" w:rsidRDefault="00A11A7D" w:rsidP="00A11A7D">
      <w:pPr>
        <w:spacing w:after="0" w:line="360" w:lineRule="auto"/>
        <w:jc w:val="both"/>
        <w:rPr>
          <w:rFonts w:cs="Arial"/>
          <w:sz w:val="24"/>
          <w:szCs w:val="24"/>
        </w:rPr>
      </w:pPr>
      <w:r w:rsidRPr="00926F76">
        <w:rPr>
          <w:rFonts w:ascii="Arial" w:hAnsi="Arial" w:cs="Arial"/>
        </w:rPr>
        <w:t>Por lo que hace a la publicación de las obligaciones de transparencia, se llevó a cabo una evaluación cualitativa, en esta la Comisión Estatal de Garantía de Acceso a la Información Pública del Estado (CEGAIP) revisó la información que se publicó en el mes de junio del año 2019, observándose que este sujeto obligado obtuvo un porcentaje cualitativo de 83.95%, siendo insuficiente derivado de que el porcentaje mínimo aprobatorio es de 90%, por lo que se nos requirió para solventar las inconsistencias detectadas en la verificación.</w:t>
      </w:r>
    </w:p>
    <w:sectPr w:rsidR="00094979" w:rsidRPr="006E0B88" w:rsidSect="00DE6E6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836" w:rsidRDefault="005D4836">
      <w:pPr>
        <w:spacing w:after="0" w:line="240" w:lineRule="auto"/>
      </w:pPr>
      <w:r>
        <w:separator/>
      </w:r>
    </w:p>
  </w:endnote>
  <w:endnote w:type="continuationSeparator" w:id="0">
    <w:p w:rsidR="005D4836" w:rsidRDefault="005D4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1" w:fontKey="{9C710F7C-B103-4F65-B495-767AAD7BE0D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836" w:rsidRDefault="005D4836">
      <w:pPr>
        <w:spacing w:after="0" w:line="240" w:lineRule="auto"/>
      </w:pPr>
      <w:r>
        <w:separator/>
      </w:r>
    </w:p>
  </w:footnote>
  <w:footnote w:type="continuationSeparator" w:id="0">
    <w:p w:rsidR="005D4836" w:rsidRDefault="005D48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97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34B0B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4836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11A7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B610F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76B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BD5B9B7-990D-4A44-9DDC-07FAF729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11A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NIDAD_TRANSPARENCIA.DESKTOP-0TPB2JE\Desktop\ARCHIVO\UNIDAD%20TRANSPARENCIA\05ACTAS%20COMITE%20TRANSPARENCIA\2020\SO_CT_31ENE20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NIDAD_TRANSPARENCIA.DESKTOP-0TPB2JE\Desktop\ARCHIVO\UNIDAD%20TRANSPARENCIA\05ACTAS%20COMITE%20TRANSPARENCIA\2020\SO_CT_31ENE20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600" b="1" i="0" u="none" strike="noStrike" kern="1200" spc="0" normalizeH="0" baseline="0">
                <a:solidFill>
                  <a:sysClr val="windowText" lastClr="000000">
                    <a:lumMod val="50000"/>
                    <a:lumOff val="50000"/>
                  </a:sysClr>
                </a:solidFill>
                <a:latin typeface="+mj-lt"/>
                <a:ea typeface="+mj-ea"/>
                <a:cs typeface="+mj-cs"/>
              </a:defRPr>
            </a:pPr>
            <a:r>
              <a:rPr lang="es-MX" sz="1800" b="1" i="0" baseline="0">
                <a:solidFill>
                  <a:schemeClr val="tx1"/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rPr>
              <a:t>Solicitudes respondidas, según el tipo de respuesta otorgada</a:t>
            </a:r>
            <a:endParaRPr lang="es-MX" b="1">
              <a:solidFill>
                <a:schemeClr val="tx1"/>
              </a:solidFill>
              <a:effectLst/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>
        <c:manualLayout>
          <c:xMode val="edge"/>
          <c:yMode val="edge"/>
          <c:x val="0.13610283890822833"/>
          <c:y val="3.54882136064999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600" b="1" i="0" u="none" strike="noStrike" kern="1200" spc="0" normalizeH="0" baseline="0">
              <a:solidFill>
                <a:sysClr val="windowText" lastClr="000000">
                  <a:lumMod val="50000"/>
                  <a:lumOff val="50000"/>
                </a:sysClr>
              </a:solidFill>
              <a:latin typeface="+mj-lt"/>
              <a:ea typeface="+mj-ea"/>
              <a:cs typeface="+mj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gradFill>
                <a:gsLst>
                  <a:gs pos="100000">
                    <a:schemeClr val="accent1">
                      <a:lumMod val="60000"/>
                      <a:lumOff val="40000"/>
                    </a:schemeClr>
                  </a:gs>
                  <a:gs pos="0">
                    <a:schemeClr val="accent1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gradFill>
                <a:gsLst>
                  <a:gs pos="100000">
                    <a:schemeClr val="accent2">
                      <a:lumMod val="60000"/>
                      <a:lumOff val="40000"/>
                    </a:schemeClr>
                  </a:gs>
                  <a:gs pos="0">
                    <a:schemeClr val="accent2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gradFill>
                <a:gsLst>
                  <a:gs pos="100000">
                    <a:schemeClr val="accent3">
                      <a:lumMod val="60000"/>
                      <a:lumOff val="40000"/>
                    </a:schemeClr>
                  </a:gs>
                  <a:gs pos="0">
                    <a:schemeClr val="accent3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gradFill>
                <a:gsLst>
                  <a:gs pos="100000">
                    <a:schemeClr val="accent4">
                      <a:lumMod val="60000"/>
                      <a:lumOff val="40000"/>
                    </a:schemeClr>
                  </a:gs>
                  <a:gs pos="0">
                    <a:schemeClr val="accent4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gradFill>
                <a:gsLst>
                  <a:gs pos="100000">
                    <a:schemeClr val="accent5">
                      <a:lumMod val="60000"/>
                      <a:lumOff val="40000"/>
                    </a:schemeClr>
                  </a:gs>
                  <a:gs pos="0">
                    <a:schemeClr val="accent5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gradFill>
                <a:gsLst>
                  <a:gs pos="100000">
                    <a:schemeClr val="accent6">
                      <a:lumMod val="60000"/>
                      <a:lumOff val="40000"/>
                    </a:schemeClr>
                  </a:gs>
                  <a:gs pos="0">
                    <a:schemeClr val="accent6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0.18290695206895372"/>
                  <c:y val="-1.197706662546373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8.1362893531642597E-2"/>
                  <c:y val="-0.15321325309720549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286071158359956"/>
                  <c:y val="-4.18320399887568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0.10417949959998873"/>
                  <c:y val="7.66823204919366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6.9166366201337787E-2"/>
                  <c:y val="0.1266659653402282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2.5584810880994444E-2"/>
                  <c:y val="0.13318501374983358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Hoja1!$B$11:$B$16</c:f>
              <c:strCache>
                <c:ptCount val="6"/>
                <c:pt idx="0">
                  <c:v>Otorgamiento Información Total</c:v>
                </c:pt>
                <c:pt idx="1">
                  <c:v>Otorgamiento Información Parcial</c:v>
                </c:pt>
                <c:pt idx="2">
                  <c:v>Información Disponible en Plataforma</c:v>
                </c:pt>
                <c:pt idx="3">
                  <c:v>Orientada</c:v>
                </c:pt>
                <c:pt idx="4">
                  <c:v>Incompetencia</c:v>
                </c:pt>
                <c:pt idx="5">
                  <c:v>Desechada</c:v>
                </c:pt>
              </c:strCache>
            </c:strRef>
          </c:cat>
          <c:val>
            <c:numRef>
              <c:f>Hoja1!$C$11:$C$16</c:f>
              <c:numCache>
                <c:formatCode>0%</c:formatCode>
                <c:ptCount val="6"/>
                <c:pt idx="0">
                  <c:v>0.52173913043478259</c:v>
                </c:pt>
                <c:pt idx="1">
                  <c:v>0.13043478260869565</c:v>
                </c:pt>
                <c:pt idx="2">
                  <c:v>0.13043478260869565</c:v>
                </c:pt>
                <c:pt idx="3">
                  <c:v>8.6956521739130432E-2</c:v>
                </c:pt>
                <c:pt idx="4">
                  <c:v>8.6956521739130432E-2</c:v>
                </c:pt>
                <c:pt idx="5">
                  <c:v>4.3478260869565216E-2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s-MX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Solicitantes de información según el sexo, 2019</a:t>
            </a:r>
          </a:p>
        </c:rich>
      </c:tx>
      <c:layout>
        <c:manualLayout>
          <c:xMode val="edge"/>
          <c:yMode val="edge"/>
          <c:x val="0.22713856600959897"/>
          <c:y val="3.131312965279409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gradFill>
                <a:gsLst>
                  <a:gs pos="100000">
                    <a:schemeClr val="accent1">
                      <a:lumMod val="60000"/>
                      <a:lumOff val="40000"/>
                    </a:schemeClr>
                  </a:gs>
                  <a:gs pos="0">
                    <a:schemeClr val="accent1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gradFill>
                <a:gsLst>
                  <a:gs pos="100000">
                    <a:schemeClr val="accent2">
                      <a:lumMod val="60000"/>
                      <a:lumOff val="40000"/>
                    </a:schemeClr>
                  </a:gs>
                  <a:gs pos="0">
                    <a:schemeClr val="accent2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gradFill>
                <a:gsLst>
                  <a:gs pos="100000">
                    <a:schemeClr val="accent3">
                      <a:lumMod val="60000"/>
                      <a:lumOff val="40000"/>
                    </a:schemeClr>
                  </a:gs>
                  <a:gs pos="0">
                    <a:schemeClr val="accent3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gradFill>
                <a:gsLst>
                  <a:gs pos="100000">
                    <a:schemeClr val="accent4">
                      <a:lumMod val="60000"/>
                      <a:lumOff val="40000"/>
                    </a:schemeClr>
                  </a:gs>
                  <a:gs pos="0">
                    <a:schemeClr val="accent4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9.8231092345734433E-2"/>
                  <c:y val="0.1024194118391573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3.2366404729700531E-3"/>
                  <c:y val="-0.2166216009638855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0771300411793377"/>
                  <c:y val="3.806542389430134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5.1896328603933804E-2"/>
                  <c:y val="0.1144939518813355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Hoja1!$F$11:$F$14</c:f>
              <c:strCache>
                <c:ptCount val="4"/>
                <c:pt idx="0">
                  <c:v>Mujeres</c:v>
                </c:pt>
                <c:pt idx="1">
                  <c:v>Hombres</c:v>
                </c:pt>
                <c:pt idx="2">
                  <c:v>No Identificado </c:v>
                </c:pt>
                <c:pt idx="3">
                  <c:v>Persona Moral</c:v>
                </c:pt>
              </c:strCache>
            </c:strRef>
          </c:cat>
          <c:val>
            <c:numRef>
              <c:f>Hoja1!$G$11:$G$14</c:f>
              <c:numCache>
                <c:formatCode>0%</c:formatCode>
                <c:ptCount val="4"/>
                <c:pt idx="0">
                  <c:v>0.2608695652173913</c:v>
                </c:pt>
                <c:pt idx="1">
                  <c:v>0.47826086956521741</c:v>
                </c:pt>
                <c:pt idx="2">
                  <c:v>0.13043478260869565</c:v>
                </c:pt>
                <c:pt idx="3">
                  <c:v>0.13043478260869565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E35D6-7167-4676-9A05-E64CA0AF1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510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2020-02-07T21:52:00Z</dcterms:modified>
</cp:coreProperties>
</file>