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3FD" w:rsidRPr="002D54A1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2D54A1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D54A1">
        <w:rPr>
          <w:rFonts w:asciiTheme="minorHAnsi" w:hAnsiTheme="minorHAnsi" w:cstheme="minorHAnsi"/>
          <w:color w:val="000000"/>
          <w:sz w:val="24"/>
          <w:szCs w:val="24"/>
        </w:rPr>
        <w:t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párrafo.</w:t>
      </w:r>
    </w:p>
    <w:p w:rsidR="007F13FD" w:rsidRPr="002D54A1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2D54A1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D54A1">
        <w:rPr>
          <w:rFonts w:asciiTheme="minorHAnsi" w:hAnsiTheme="minorHAnsi" w:cstheme="minorHAnsi"/>
          <w:color w:val="000000"/>
          <w:sz w:val="24"/>
          <w:szCs w:val="24"/>
        </w:rPr>
        <w:t xml:space="preserve">Nuestra </w:t>
      </w:r>
      <w:r w:rsidRPr="002D54A1">
        <w:rPr>
          <w:rFonts w:asciiTheme="minorHAnsi" w:hAnsiTheme="minorHAnsi" w:cstheme="minorHAnsi"/>
          <w:b/>
          <w:color w:val="000000"/>
          <w:sz w:val="24"/>
          <w:szCs w:val="24"/>
        </w:rPr>
        <w:t>función</w:t>
      </w:r>
      <w:r w:rsidRPr="002D54A1">
        <w:rPr>
          <w:rFonts w:asciiTheme="minorHAnsi" w:hAnsiTheme="minorHAnsi" w:cstheme="minorHAnsi"/>
          <w:color w:val="000000"/>
          <w:sz w:val="24"/>
          <w:szCs w:val="24"/>
        </w:rPr>
        <w:t xml:space="preserve"> es </w:t>
      </w:r>
      <w:r w:rsidRPr="002D54A1">
        <w:rPr>
          <w:rFonts w:asciiTheme="minorHAnsi" w:hAnsiTheme="minorHAnsi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2D54A1">
        <w:rPr>
          <w:rFonts w:asciiTheme="minorHAnsi" w:hAnsiTheme="minorHAnsi" w:cstheme="minorHAnsi"/>
          <w:color w:val="000000"/>
          <w:sz w:val="24"/>
          <w:szCs w:val="24"/>
        </w:rPr>
        <w:t xml:space="preserve">, de acuerdo a lo establecido </w:t>
      </w:r>
      <w:r w:rsidRPr="002D54A1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7F13FD" w:rsidRPr="002D54A1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2D54A1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2D54A1">
        <w:rPr>
          <w:rFonts w:asciiTheme="minorHAnsi" w:hAnsiTheme="minorHAnsi" w:cstheme="minorHAnsi"/>
          <w:b/>
          <w:sz w:val="20"/>
          <w:szCs w:val="20"/>
        </w:rPr>
        <w:t>“ARTICULO 18.</w:t>
      </w:r>
      <w:r w:rsidRPr="002D54A1">
        <w:rPr>
          <w:rFonts w:asciiTheme="minorHAnsi" w:hAnsiTheme="minorHAnsi" w:cstheme="minorHAnsi"/>
          <w:sz w:val="20"/>
          <w:szCs w:val="20"/>
        </w:rPr>
        <w:t xml:space="preserve"> </w:t>
      </w:r>
      <w:r w:rsidRPr="002D54A1">
        <w:rPr>
          <w:rFonts w:asciiTheme="minorHAnsi" w:hAnsiTheme="minorHAnsi" w:cstheme="minorHAnsi"/>
          <w:b/>
          <w:sz w:val="20"/>
          <w:szCs w:val="20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2D54A1">
        <w:rPr>
          <w:rFonts w:asciiTheme="minorHAnsi" w:hAnsiTheme="minorHAnsi" w:cstheme="minorHAnsi"/>
          <w:sz w:val="20"/>
          <w:szCs w:val="20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7F13FD" w:rsidRPr="002D54A1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2D54A1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2D54A1">
        <w:rPr>
          <w:rFonts w:asciiTheme="minorHAnsi" w:hAnsiTheme="minorHAnsi" w:cstheme="minorHAnsi"/>
          <w:sz w:val="20"/>
          <w:szCs w:val="20"/>
        </w:rPr>
        <w:t>(…)</w:t>
      </w:r>
    </w:p>
    <w:p w:rsidR="007F13FD" w:rsidRPr="002D54A1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7F13FD" w:rsidRPr="002D54A1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  <w:r w:rsidRPr="002D54A1">
        <w:rPr>
          <w:rFonts w:asciiTheme="minorHAnsi" w:hAnsiTheme="minorHAnsi" w:cstheme="minorHAnsi"/>
          <w:b/>
          <w:sz w:val="20"/>
          <w:szCs w:val="20"/>
        </w:rPr>
        <w:t>La Defensoría tendrá autonomía técnica y de gestión.</w:t>
      </w:r>
      <w:r w:rsidRPr="002D54A1">
        <w:rPr>
          <w:rFonts w:asciiTheme="minorHAnsi" w:hAnsiTheme="minorHAnsi" w:cstheme="minorHAnsi"/>
          <w:sz w:val="20"/>
          <w:szCs w:val="20"/>
        </w:rPr>
        <w:t xml:space="preserve"> Las autoridades estatales y municipales están obligadas a colaborar con las funciones de la Defensoría Pública del Estado…”</w:t>
      </w:r>
    </w:p>
    <w:p w:rsidR="007F13FD" w:rsidRPr="002D54A1" w:rsidRDefault="007F13FD" w:rsidP="00A827B5">
      <w:pPr>
        <w:spacing w:after="0" w:line="240" w:lineRule="auto"/>
        <w:ind w:left="709"/>
        <w:jc w:val="both"/>
        <w:rPr>
          <w:rFonts w:asciiTheme="minorHAnsi" w:hAnsiTheme="minorHAnsi" w:cstheme="minorHAnsi"/>
          <w:sz w:val="20"/>
          <w:szCs w:val="20"/>
        </w:rPr>
      </w:pPr>
    </w:p>
    <w:p w:rsidR="007F13FD" w:rsidRPr="002D54A1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F13FD" w:rsidRPr="002D54A1" w:rsidRDefault="007F13FD" w:rsidP="00A827B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D54A1">
        <w:rPr>
          <w:rFonts w:asciiTheme="minorHAnsi" w:hAnsiTheme="minorHAnsi" w:cstheme="minorHAnsi"/>
          <w:color w:val="000000"/>
          <w:sz w:val="24"/>
          <w:szCs w:val="24"/>
        </w:rPr>
        <w:t xml:space="preserve">Teniendo como </w:t>
      </w:r>
      <w:r w:rsidRPr="002D54A1">
        <w:rPr>
          <w:rFonts w:asciiTheme="minorHAnsi" w:hAnsiTheme="minorHAnsi" w:cstheme="minorHAnsi"/>
          <w:b/>
          <w:color w:val="000000"/>
          <w:sz w:val="24"/>
          <w:szCs w:val="24"/>
        </w:rPr>
        <w:t>facultades</w:t>
      </w:r>
      <w:r w:rsidRPr="002D54A1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  <w:r w:rsidRPr="002D54A1">
        <w:rPr>
          <w:rFonts w:asciiTheme="minorHAnsi" w:hAnsiTheme="minorHAnsi" w:cstheme="minorHAnsi"/>
          <w:color w:val="000000"/>
          <w:sz w:val="24"/>
          <w:szCs w:val="24"/>
        </w:rPr>
        <w:t xml:space="preserve">en el ámbito de la aplicación de la justicia </w:t>
      </w:r>
      <w:r w:rsidRPr="002D54A1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2D54A1">
        <w:rPr>
          <w:rFonts w:asciiTheme="minorHAnsi" w:hAnsiTheme="minorHAnsi" w:cstheme="minorHAnsi"/>
          <w:color w:val="000000"/>
          <w:sz w:val="24"/>
          <w:szCs w:val="24"/>
        </w:rPr>
        <w:t xml:space="preserve">solo tiene </w:t>
      </w:r>
      <w:r w:rsidRPr="002D54A1">
        <w:rPr>
          <w:rFonts w:asciiTheme="minorHAnsi" w:hAnsiTheme="minorHAnsi" w:cstheme="minorHAnsi"/>
          <w:sz w:val="24"/>
          <w:szCs w:val="24"/>
        </w:rPr>
        <w:t xml:space="preserve">autonomía técnica y de gestión, </w:t>
      </w:r>
      <w:r w:rsidRPr="002D54A1">
        <w:rPr>
          <w:rFonts w:asciiTheme="minorHAnsi" w:hAnsiTheme="minorHAnsi" w:cstheme="minorHAnsi"/>
          <w:color w:val="000000"/>
          <w:sz w:val="24"/>
          <w:szCs w:val="24"/>
        </w:rPr>
        <w:t>de acuerdo a lo establecido en los artículos</w:t>
      </w:r>
      <w:r w:rsidRPr="002D54A1">
        <w:rPr>
          <w:rFonts w:asciiTheme="minorHAnsi" w:hAnsiTheme="minorHAnsi" w:cstheme="minorHAnsi"/>
          <w:sz w:val="24"/>
          <w:szCs w:val="24"/>
        </w:rPr>
        <w:t xml:space="preserve"> </w:t>
      </w:r>
      <w:r w:rsidRPr="002D54A1">
        <w:rPr>
          <w:rFonts w:asciiTheme="minorHAnsi" w:hAnsiTheme="minorHAnsi" w:cstheme="minorHAnsi"/>
          <w:color w:val="000000"/>
          <w:sz w:val="24"/>
          <w:szCs w:val="24"/>
        </w:rPr>
        <w:t>1, 4, 12, 19, 22, 25, 28, 31 de la Ley de la Defensoría Pública del Estado de San Luis Potosí</w:t>
      </w:r>
      <w:r w:rsidRPr="002D54A1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9037FE" w:rsidRPr="002D54A1" w:rsidRDefault="009037FE" w:rsidP="00A827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2C55F6" w:rsidRPr="002D54A1" w:rsidRDefault="002C55F6" w:rsidP="002C55F6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D54A1">
        <w:rPr>
          <w:rFonts w:asciiTheme="minorHAnsi" w:hAnsiTheme="minorHAnsi" w:cstheme="minorHAnsi"/>
          <w:sz w:val="24"/>
          <w:szCs w:val="24"/>
        </w:rPr>
        <w:t xml:space="preserve">Conforme a lo anterior la Defensoría Pública no cuenta con facultades para emitir avisos, invitaciones o convocatorias para ocupar cargos públicos, ya que, el ingreso del personal para ocupar un cargo se efectúa a través de Oficialía Mayor del Estado, autoridad responsable del manejo integral de los recursos humanos, materiales y de los servicios generales de la administración central del Poder Ejecutivo. Siendo ésta quien cuenta con las facultades para contratar al personal que labora en las dependencias y entidades de la administración pública centralizada, a través de la emisión de avisos, invitaciones y/o </w:t>
      </w:r>
      <w:r w:rsidRPr="002D54A1">
        <w:rPr>
          <w:rFonts w:asciiTheme="minorHAnsi" w:hAnsiTheme="minorHAnsi" w:cstheme="minorHAnsi"/>
          <w:sz w:val="24"/>
          <w:szCs w:val="24"/>
        </w:rPr>
        <w:lastRenderedPageBreak/>
        <w:t>convocatorias, conforme lo dispone el artículo 41, fracciones I, IX y XIII de la Ley Orgánica de la Administración Pública del Estado y 44 del Reglamento Interno de la Defensoría Pública del Estado de San Luis Potosí.</w:t>
      </w:r>
    </w:p>
    <w:p w:rsidR="002C55F6" w:rsidRPr="002D54A1" w:rsidRDefault="002C55F6" w:rsidP="002C55F6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2D54A1" w:rsidRPr="002D54A1" w:rsidRDefault="00E46D00" w:rsidP="002D54A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D54A1">
        <w:rPr>
          <w:rFonts w:asciiTheme="minorHAnsi" w:hAnsiTheme="minorHAnsi" w:cstheme="minorHAnsi"/>
          <w:color w:val="000000"/>
          <w:sz w:val="24"/>
          <w:szCs w:val="24"/>
        </w:rPr>
        <w:t>Por lo antes expuesto, la Defensoría Pública del Estado</w:t>
      </w:r>
      <w:r w:rsidRPr="002D54A1">
        <w:rPr>
          <w:rFonts w:asciiTheme="minorHAnsi" w:hAnsiTheme="minorHAnsi" w:cstheme="minorHAnsi"/>
          <w:sz w:val="24"/>
          <w:szCs w:val="24"/>
        </w:rPr>
        <w:t xml:space="preserve"> no genera información </w:t>
      </w:r>
      <w:r w:rsidR="002375F7" w:rsidRPr="002D54A1">
        <w:rPr>
          <w:rFonts w:asciiTheme="minorHAnsi" w:hAnsiTheme="minorHAnsi" w:cstheme="minorHAnsi"/>
          <w:sz w:val="24"/>
          <w:szCs w:val="24"/>
        </w:rPr>
        <w:t xml:space="preserve">referente a </w:t>
      </w:r>
      <w:r w:rsidR="002D54A1" w:rsidRPr="002D54A1">
        <w:rPr>
          <w:rFonts w:asciiTheme="minorHAnsi" w:hAnsiTheme="minorHAnsi" w:cstheme="minorHAnsi"/>
          <w:sz w:val="24"/>
          <w:szCs w:val="24"/>
        </w:rPr>
        <w:t>avisos, invitaciones o convocatorias para ocupar cargos públicos, ya que no forma parte de</w:t>
      </w:r>
      <w:r w:rsidR="002D54A1">
        <w:rPr>
          <w:rFonts w:asciiTheme="minorHAnsi" w:hAnsiTheme="minorHAnsi" w:cstheme="minorHAnsi"/>
          <w:sz w:val="24"/>
          <w:szCs w:val="24"/>
        </w:rPr>
        <w:t xml:space="preserve"> sus facultades</w:t>
      </w:r>
      <w:r w:rsidR="002D54A1" w:rsidRPr="002D54A1">
        <w:rPr>
          <w:rFonts w:asciiTheme="minorHAnsi" w:hAnsiTheme="minorHAnsi" w:cstheme="minorHAnsi"/>
          <w:sz w:val="24"/>
          <w:szCs w:val="24"/>
        </w:rPr>
        <w:t>, competencias o funciones</w:t>
      </w:r>
      <w:bookmarkStart w:id="0" w:name="_GoBack"/>
      <w:bookmarkEnd w:id="0"/>
      <w:r w:rsidR="002D54A1" w:rsidRPr="002D54A1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E46D00" w:rsidRPr="002D54A1" w:rsidRDefault="00E46D00" w:rsidP="00E46D00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591E8B" w:rsidRPr="002D54A1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91E8B" w:rsidRPr="002D54A1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Pr="002D54A1" w:rsidRDefault="00E46D00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46D00" w:rsidRPr="002D54A1" w:rsidRDefault="00E46D00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91E8B" w:rsidRPr="002D54A1" w:rsidRDefault="00591E8B" w:rsidP="00A827B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591E8B" w:rsidRPr="002D54A1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93F" w:rsidRDefault="004C493F">
      <w:pPr>
        <w:spacing w:after="0" w:line="240" w:lineRule="auto"/>
      </w:pPr>
      <w:r>
        <w:separator/>
      </w:r>
    </w:p>
  </w:endnote>
  <w:endnote w:type="continuationSeparator" w:id="0">
    <w:p w:rsidR="004C493F" w:rsidRDefault="004C4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4C024AC-C482-4431-944F-6EDA8CF70B5E}"/>
    <w:embedBold r:id="rId2" w:fontKey="{8F1D982F-1E88-4B33-B1CC-D4880A3C064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03248850-6179-499A-84E3-62458180A62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93F" w:rsidRDefault="004C493F">
      <w:pPr>
        <w:spacing w:after="0" w:line="240" w:lineRule="auto"/>
      </w:pPr>
      <w:r>
        <w:separator/>
      </w:r>
    </w:p>
  </w:footnote>
  <w:footnote w:type="continuationSeparator" w:id="0">
    <w:p w:rsidR="004C493F" w:rsidRDefault="004C4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0C6364"/>
    <w:rsid w:val="000D1DAE"/>
    <w:rsid w:val="000F3C63"/>
    <w:rsid w:val="001041E5"/>
    <w:rsid w:val="00105AFF"/>
    <w:rsid w:val="00156E5F"/>
    <w:rsid w:val="00166C54"/>
    <w:rsid w:val="00167509"/>
    <w:rsid w:val="00176847"/>
    <w:rsid w:val="00182C35"/>
    <w:rsid w:val="001858A1"/>
    <w:rsid w:val="0018776A"/>
    <w:rsid w:val="00190A3D"/>
    <w:rsid w:val="001A53EB"/>
    <w:rsid w:val="001A6839"/>
    <w:rsid w:val="001B7BE7"/>
    <w:rsid w:val="001C734A"/>
    <w:rsid w:val="00204A9A"/>
    <w:rsid w:val="00225961"/>
    <w:rsid w:val="00232054"/>
    <w:rsid w:val="00233615"/>
    <w:rsid w:val="002375F7"/>
    <w:rsid w:val="0024361E"/>
    <w:rsid w:val="002613AA"/>
    <w:rsid w:val="00265F21"/>
    <w:rsid w:val="002844F1"/>
    <w:rsid w:val="00291740"/>
    <w:rsid w:val="002A084B"/>
    <w:rsid w:val="002B4DE1"/>
    <w:rsid w:val="002B60AB"/>
    <w:rsid w:val="002B6110"/>
    <w:rsid w:val="002C55F6"/>
    <w:rsid w:val="002D54A1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2493"/>
    <w:rsid w:val="003A65A6"/>
    <w:rsid w:val="003B6CD5"/>
    <w:rsid w:val="003C7F3D"/>
    <w:rsid w:val="004422D6"/>
    <w:rsid w:val="00455ECB"/>
    <w:rsid w:val="0045625C"/>
    <w:rsid w:val="00482E38"/>
    <w:rsid w:val="00487374"/>
    <w:rsid w:val="0049495D"/>
    <w:rsid w:val="00495821"/>
    <w:rsid w:val="004C493F"/>
    <w:rsid w:val="004D17C7"/>
    <w:rsid w:val="004E32B0"/>
    <w:rsid w:val="004F1DEC"/>
    <w:rsid w:val="004F258E"/>
    <w:rsid w:val="004F3005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1E8B"/>
    <w:rsid w:val="0059357E"/>
    <w:rsid w:val="005A0CAA"/>
    <w:rsid w:val="005A2162"/>
    <w:rsid w:val="005C4F7A"/>
    <w:rsid w:val="005D7D68"/>
    <w:rsid w:val="005E300C"/>
    <w:rsid w:val="005F5C83"/>
    <w:rsid w:val="00604DC3"/>
    <w:rsid w:val="006072FC"/>
    <w:rsid w:val="00623FD1"/>
    <w:rsid w:val="00644234"/>
    <w:rsid w:val="00647771"/>
    <w:rsid w:val="00650F3F"/>
    <w:rsid w:val="00677229"/>
    <w:rsid w:val="00677E3B"/>
    <w:rsid w:val="0069341F"/>
    <w:rsid w:val="006B5997"/>
    <w:rsid w:val="006E0B88"/>
    <w:rsid w:val="006E26CB"/>
    <w:rsid w:val="00712F62"/>
    <w:rsid w:val="0072759E"/>
    <w:rsid w:val="00745870"/>
    <w:rsid w:val="00766EED"/>
    <w:rsid w:val="0077629A"/>
    <w:rsid w:val="0077668A"/>
    <w:rsid w:val="0078691A"/>
    <w:rsid w:val="00790F33"/>
    <w:rsid w:val="007A6773"/>
    <w:rsid w:val="007B4BC0"/>
    <w:rsid w:val="007B6D22"/>
    <w:rsid w:val="007C6202"/>
    <w:rsid w:val="007D1F0F"/>
    <w:rsid w:val="007F13FD"/>
    <w:rsid w:val="007F2F6D"/>
    <w:rsid w:val="0080077E"/>
    <w:rsid w:val="0081214E"/>
    <w:rsid w:val="00812E26"/>
    <w:rsid w:val="00837B45"/>
    <w:rsid w:val="00847ED6"/>
    <w:rsid w:val="00853F4F"/>
    <w:rsid w:val="00855A4A"/>
    <w:rsid w:val="00857339"/>
    <w:rsid w:val="008602A3"/>
    <w:rsid w:val="008707A2"/>
    <w:rsid w:val="00876B5A"/>
    <w:rsid w:val="00896AF9"/>
    <w:rsid w:val="008A1A0B"/>
    <w:rsid w:val="008A2E26"/>
    <w:rsid w:val="008F76EC"/>
    <w:rsid w:val="009013DC"/>
    <w:rsid w:val="009037FE"/>
    <w:rsid w:val="00951420"/>
    <w:rsid w:val="00956FFF"/>
    <w:rsid w:val="00961354"/>
    <w:rsid w:val="00966D6A"/>
    <w:rsid w:val="009727BB"/>
    <w:rsid w:val="00981ED6"/>
    <w:rsid w:val="009C13E5"/>
    <w:rsid w:val="009D3084"/>
    <w:rsid w:val="009D6251"/>
    <w:rsid w:val="009D7A30"/>
    <w:rsid w:val="009E30ED"/>
    <w:rsid w:val="009F61A5"/>
    <w:rsid w:val="00A219E5"/>
    <w:rsid w:val="00A30FD9"/>
    <w:rsid w:val="00A31A77"/>
    <w:rsid w:val="00A532D1"/>
    <w:rsid w:val="00A77603"/>
    <w:rsid w:val="00A827B5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36D3"/>
    <w:rsid w:val="00C37E81"/>
    <w:rsid w:val="00C4615A"/>
    <w:rsid w:val="00C4682C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136D"/>
    <w:rsid w:val="00CE7107"/>
    <w:rsid w:val="00D0357D"/>
    <w:rsid w:val="00D13CD2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3346D"/>
    <w:rsid w:val="00E44F58"/>
    <w:rsid w:val="00E46D00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1D09"/>
    <w:rsid w:val="00F82999"/>
    <w:rsid w:val="00F9001A"/>
    <w:rsid w:val="00F950A2"/>
    <w:rsid w:val="00FA5D69"/>
    <w:rsid w:val="00FB757D"/>
    <w:rsid w:val="00FC0D4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7C296B6-D636-4CDD-A340-BCD7D6A3E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0F5A2-668C-4BA0-A029-DA92E4762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2</Pages>
  <Words>490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81</cp:revision>
  <cp:lastPrinted>2019-02-14T17:42:00Z</cp:lastPrinted>
  <dcterms:created xsi:type="dcterms:W3CDTF">2019-02-26T20:45:00Z</dcterms:created>
  <dcterms:modified xsi:type="dcterms:W3CDTF">2021-08-31T18:43:00Z</dcterms:modified>
</cp:coreProperties>
</file>