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D10" w:rsidRPr="00535F1A" w:rsidRDefault="00535F1A" w:rsidP="00535F1A">
      <w:pPr>
        <w:jc w:val="center"/>
        <w:rPr>
          <w:b/>
          <w:sz w:val="36"/>
        </w:rPr>
      </w:pPr>
      <w:r w:rsidRPr="00535F1A">
        <w:rPr>
          <w:b/>
          <w:sz w:val="36"/>
        </w:rPr>
        <w:t xml:space="preserve">H. Ayuntamiento de San Antonio, S.L.P., para este </w:t>
      </w:r>
      <w:r>
        <w:rPr>
          <w:b/>
          <w:sz w:val="36"/>
        </w:rPr>
        <w:t xml:space="preserve">mes </w:t>
      </w:r>
      <w:bookmarkStart w:id="0" w:name="_GoBack"/>
      <w:bookmarkEnd w:id="0"/>
      <w:r w:rsidRPr="00535F1A">
        <w:rPr>
          <w:b/>
          <w:sz w:val="36"/>
        </w:rPr>
        <w:t>del año 2021,  no se generó ningún procedimiento  de sanciones  para servidores  públicos, por tal motivo no se genera. Referente al sistema  de registro  en el art 49 y 50 de la Ley  del  Sistema Estatal anticorrupción del Estado de San Luis Potosí señala las sanciones  que deberá ser acreedor  un servidor público, y la Ley de Responsabilidades Administrativas  para el Estado y municipios de  San Luis Potosí en su art  9º  describe las facultades del contralor en caso  de que hubiera faltas administrativas.</w:t>
      </w:r>
    </w:p>
    <w:sectPr w:rsidR="00107D10" w:rsidRPr="00535F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F1A"/>
    <w:rsid w:val="00107D10"/>
    <w:rsid w:val="0053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76C817-C69C-4303-ADBA-A55867DB8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2021-08-22T22:40:00Z</dcterms:created>
  <dcterms:modified xsi:type="dcterms:W3CDTF">2021-08-22T22:42:00Z</dcterms:modified>
</cp:coreProperties>
</file>