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1CC" w:rsidRDefault="00321F22">
      <w:r>
        <w:t>COMISIÓN ESTATAL DEL AGUA</w:t>
      </w:r>
    </w:p>
    <w:p w:rsidR="00321F22" w:rsidRDefault="00321F22"/>
    <w:p w:rsidR="00321F22" w:rsidRDefault="00321F22">
      <w:r>
        <w:t>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</w:t>
      </w:r>
    </w:p>
    <w:p w:rsidR="00321F22" w:rsidRDefault="00321F22"/>
    <w:p w:rsidR="00321F22" w:rsidRDefault="00321F22"/>
    <w:p w:rsidR="00321F22" w:rsidRDefault="00321F22">
      <w:r>
        <w:t>FRACCIÓN XXX.- “…Los informes finales de resultados definitivos de las auditorías concluidas al ejercicio presupuestal de cada sujeto obligado que se realicen, en su caso, las aclaraciones que correspondan; una vez que se hayan agotado y resuelto los recursos que en su caso hubieran sido promovidos…”</w:t>
      </w:r>
    </w:p>
    <w:p w:rsidR="00321F22" w:rsidRDefault="00321F22"/>
    <w:p w:rsidR="00321F22" w:rsidRDefault="00321F22">
      <w:r>
        <w:t>NO SE GENERO INFORMACIÓN REFERENTE AL PRESENTE ARTÍCULO Y FRACCIÓN, DERIVADO A QUE EN EL MES DE OCTUBRE 2021, NO SE LLEVARON A CABO AUDITORÍAS.</w:t>
      </w:r>
      <w:bookmarkStart w:id="0" w:name="_GoBack"/>
      <w:bookmarkEnd w:id="0"/>
      <w:r>
        <w:t xml:space="preserve"> </w:t>
      </w:r>
    </w:p>
    <w:sectPr w:rsidR="00321F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F22"/>
    <w:rsid w:val="000B51CC"/>
    <w:rsid w:val="0032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4FDE4"/>
  <w15:chartTrackingRefBased/>
  <w15:docId w15:val="{B18042E9-CCC8-4649-94A2-A60AD3A2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Calvillo</dc:creator>
  <cp:keywords/>
  <dc:description/>
  <cp:lastModifiedBy>José Antonio Calvillo</cp:lastModifiedBy>
  <cp:revision>1</cp:revision>
  <dcterms:created xsi:type="dcterms:W3CDTF">2021-11-10T18:38:00Z</dcterms:created>
  <dcterms:modified xsi:type="dcterms:W3CDTF">2021-11-10T18:43:00Z</dcterms:modified>
</cp:coreProperties>
</file>