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1355" w:rsidRDefault="00451355" w:rsidP="00451355">
      <w:pPr>
        <w:spacing w:line="360" w:lineRule="auto"/>
        <w:jc w:val="both"/>
        <w:rPr>
          <w:rFonts w:ascii="Arial" w:hAnsi="Arial" w:cs="Arial"/>
          <w:b/>
          <w:bCs/>
          <w:shd w:val="clear" w:color="auto" w:fill="FFFFFF"/>
        </w:rPr>
      </w:pPr>
      <w:r>
        <w:rPr>
          <w:rFonts w:ascii="Arial" w:hAnsi="Arial" w:cs="Arial"/>
          <w:b/>
          <w:bCs/>
          <w:shd w:val="clear" w:color="auto" w:fill="FFFFFF"/>
        </w:rPr>
        <w:t>ACTA CORRESPONDIENTE A LA SESIÓN ORDINARIA DE LA COMISIÓN DE DISCIPLINA DEL CONSEJO DE LA JUDICATURA DEL DIA 26 DEL MES DE MAYO DE 2021.-</w:t>
      </w:r>
    </w:p>
    <w:p w:rsidR="00451355" w:rsidRDefault="00451355" w:rsidP="00451355">
      <w:pPr>
        <w:spacing w:line="360" w:lineRule="auto"/>
        <w:jc w:val="both"/>
        <w:rPr>
          <w:rFonts w:ascii="Arial" w:hAnsi="Arial" w:cs="Arial"/>
          <w:b/>
          <w:bCs/>
          <w:shd w:val="clear" w:color="auto" w:fill="FFFFFF"/>
        </w:rPr>
      </w:pPr>
    </w:p>
    <w:p w:rsidR="00D969B7" w:rsidRPr="006C2CEA" w:rsidRDefault="006C2CEA" w:rsidP="006C2CEA">
      <w:pPr>
        <w:spacing w:line="360" w:lineRule="auto"/>
        <w:jc w:val="both"/>
      </w:pPr>
      <w:r w:rsidRPr="006C2CEA">
        <w:rPr>
          <w:rFonts w:ascii="Arial" w:hAnsi="Arial" w:cs="Arial"/>
          <w:b/>
          <w:bCs/>
          <w:shd w:val="clear" w:color="auto" w:fill="FFFFFF"/>
        </w:rPr>
        <w:t xml:space="preserve">ACUERDO 99/05/2021.- </w:t>
      </w:r>
      <w:r w:rsidRPr="006C2CEA">
        <w:rPr>
          <w:rFonts w:ascii="Arial" w:hAnsi="Arial" w:cs="Arial"/>
          <w:bCs/>
        </w:rPr>
        <w:t xml:space="preserve">Los miembros de la Comisión de Disciplina, </w:t>
      </w:r>
      <w:r w:rsidRPr="006C2CEA">
        <w:rPr>
          <w:rFonts w:ascii="Arial" w:hAnsi="Arial" w:cs="Arial"/>
          <w:bCs/>
          <w:shd w:val="clear" w:color="auto" w:fill="FFFFFF"/>
        </w:rPr>
        <w:t xml:space="preserve">dan por visto el informe y de conformidad con lo establecido por el artículo 40, fracción  </w:t>
      </w:r>
      <w:r w:rsidRPr="006C2CEA">
        <w:rPr>
          <w:rFonts w:ascii="Arial" w:hAnsi="Arial" w:cs="Arial"/>
        </w:rPr>
        <w:t xml:space="preserve">X, del Reglamento Interior del Consejo de la Judicatura del Poder Judicial del Estado, se instruye al </w:t>
      </w:r>
      <w:r w:rsidRPr="006C2CEA">
        <w:rPr>
          <w:rFonts w:ascii="Arial" w:hAnsi="Arial" w:cs="Arial"/>
          <w:bCs/>
        </w:rPr>
        <w:t xml:space="preserve">contador José Gabriel González López, </w:t>
      </w:r>
      <w:r w:rsidRPr="006C2CEA">
        <w:rPr>
          <w:rFonts w:ascii="Arial" w:eastAsia="MS Mincho" w:hAnsi="Arial" w:cs="Arial"/>
        </w:rPr>
        <w:t>Contralor del Poder Judicial del Estado</w:t>
      </w:r>
      <w:r w:rsidRPr="006C2CEA">
        <w:rPr>
          <w:rFonts w:ascii="Arial" w:hAnsi="Arial" w:cs="Arial"/>
          <w:bCs/>
        </w:rPr>
        <w:t xml:space="preserve">, a fin de que en términos del numeral </w:t>
      </w:r>
      <w:r w:rsidRPr="006C2CEA">
        <w:rPr>
          <w:rFonts w:ascii="Arial" w:hAnsi="Arial" w:cs="Arial"/>
          <w:lang w:eastAsia="es-MX"/>
        </w:rPr>
        <w:t>62 del Manual de Normas y Procedimientos de la Contraloría del Poder Judicial del Estado, se comunique al auditor comisionado, para que elabore las cédulas de las observaciones determinadas, con el fin de darles seguimiento conforme a lo establecido en el capítulo Séptimo del Título Segundo del citado Manual</w:t>
      </w:r>
      <w:r w:rsidRPr="006C2CEA">
        <w:rPr>
          <w:rFonts w:ascii="Arial" w:hAnsi="Arial" w:cs="Arial"/>
          <w:b/>
          <w:shd w:val="clear" w:color="auto" w:fill="FFFFFF"/>
        </w:rPr>
        <w:t xml:space="preserve">. </w:t>
      </w:r>
      <w:r w:rsidR="00A930CB">
        <w:rPr>
          <w:rFonts w:ascii="Arial" w:hAnsi="Arial" w:cs="Arial"/>
          <w:b/>
          <w:shd w:val="clear" w:color="auto" w:fill="FFFFFF"/>
        </w:rPr>
        <w:t xml:space="preserve">- - - - - - - - - - - - - - - - </w:t>
      </w:r>
      <w:r w:rsidRPr="006C2CEA">
        <w:rPr>
          <w:rFonts w:ascii="Arial" w:hAnsi="Arial" w:cs="Arial"/>
          <w:b/>
          <w:bCs/>
          <w:shd w:val="clear" w:color="auto" w:fill="FFFFFF"/>
          <w:lang w:eastAsia="es-MX"/>
        </w:rPr>
        <w:t>ACUERDO 100</w:t>
      </w:r>
      <w:r w:rsidRPr="006C2CEA">
        <w:rPr>
          <w:rFonts w:ascii="Arial" w:eastAsia="Arial" w:hAnsi="Arial" w:cs="Arial"/>
          <w:b/>
          <w:color w:val="000000"/>
        </w:rPr>
        <w:t xml:space="preserve">/05/2021. </w:t>
      </w:r>
      <w:r w:rsidRPr="006C2CEA">
        <w:rPr>
          <w:rFonts w:ascii="Arial" w:eastAsia="Arial" w:hAnsi="Arial" w:cs="Arial"/>
          <w:color w:val="000000"/>
        </w:rPr>
        <w:t xml:space="preserve">Los miembros de la Comisión de Disciplina, </w:t>
      </w:r>
      <w:r w:rsidRPr="006C2CEA">
        <w:rPr>
          <w:rFonts w:ascii="Arial" w:hAnsi="Arial" w:cs="Arial"/>
          <w:bCs/>
          <w:shd w:val="clear" w:color="auto" w:fill="FFFFFF"/>
        </w:rPr>
        <w:t xml:space="preserve">determinan hacer del conocimiento al titular del </w:t>
      </w:r>
      <w:r w:rsidRPr="006C2CEA">
        <w:rPr>
          <w:rFonts w:ascii="Arial" w:eastAsia="Arial" w:hAnsi="Arial" w:cs="Arial"/>
          <w:b/>
          <w:bCs/>
          <w:color w:val="000000"/>
        </w:rPr>
        <w:t>Juzgado Tercero Mercantil</w:t>
      </w:r>
      <w:r w:rsidRPr="006C2CEA">
        <w:rPr>
          <w:rFonts w:ascii="Arial" w:hAnsi="Arial" w:cs="Arial"/>
          <w:bCs/>
          <w:shd w:val="clear" w:color="auto" w:fill="FFFFFF"/>
        </w:rPr>
        <w:t xml:space="preserve">; que derivado de la Primera Visita de Inspección Ordinaria, </w:t>
      </w:r>
      <w:r w:rsidRPr="006C2CEA">
        <w:rPr>
          <w:rFonts w:ascii="Arial" w:hAnsi="Arial" w:cs="Arial"/>
          <w:shd w:val="clear" w:color="auto" w:fill="FFFFFF"/>
        </w:rPr>
        <w:t>se emitieron las siguientes recomendaciones.</w:t>
      </w:r>
      <w:r w:rsidRPr="006C2CEA">
        <w:rPr>
          <w:rFonts w:ascii="Arial" w:hAnsi="Arial" w:cs="Arial"/>
          <w:bCs/>
          <w:shd w:val="clear" w:color="auto" w:fill="FFFFFF"/>
        </w:rPr>
        <w:t xml:space="preserve"> </w:t>
      </w:r>
      <w:r w:rsidRPr="006C2CEA">
        <w:rPr>
          <w:rFonts w:ascii="Arial" w:eastAsia="Arial" w:hAnsi="Arial" w:cs="Arial"/>
          <w:b/>
          <w:highlight w:val="white"/>
        </w:rPr>
        <w:t xml:space="preserve">- </w:t>
      </w:r>
      <w:r w:rsidRPr="006C2CEA">
        <w:rPr>
          <w:rFonts w:ascii="Arial" w:eastAsia="Arial" w:hAnsi="Arial" w:cs="Arial"/>
          <w:b/>
          <w:color w:val="000000"/>
        </w:rPr>
        <w:t>- - - - -</w:t>
      </w:r>
      <w:r w:rsidRPr="006C2CEA">
        <w:rPr>
          <w:rFonts w:ascii="Arial" w:hAnsi="Arial" w:cs="Arial"/>
          <w:b/>
          <w:bCs/>
          <w:shd w:val="clear" w:color="auto" w:fill="FFFFFF"/>
        </w:rPr>
        <w:t xml:space="preserve"> - -</w:t>
      </w:r>
      <w:r w:rsidR="00A930CB">
        <w:rPr>
          <w:rFonts w:ascii="Arial" w:hAnsi="Arial" w:cs="Arial"/>
          <w:b/>
          <w:bCs/>
          <w:shd w:val="clear" w:color="auto" w:fill="FFFFFF"/>
        </w:rPr>
        <w:t xml:space="preserve"> </w:t>
      </w:r>
      <w:r w:rsidR="00A930CB">
        <w:rPr>
          <w:rFonts w:ascii="Arial" w:hAnsi="Arial" w:cs="Arial"/>
          <w:b/>
          <w:shd w:val="clear" w:color="auto" w:fill="FFFFFF"/>
        </w:rPr>
        <w:t>- - - - - - - - - - - - - - - - - - - - - - - - - - - - - - - - - - - - - - -</w:t>
      </w:r>
      <w:r w:rsidR="00A930CB">
        <w:rPr>
          <w:rFonts w:ascii="Arial" w:hAnsi="Arial" w:cs="Arial"/>
          <w:b/>
          <w:shd w:val="clear" w:color="auto" w:fill="FFFFFF"/>
        </w:rPr>
        <w:t xml:space="preserve"> </w:t>
      </w:r>
      <w:r w:rsidRPr="006C2CEA">
        <w:rPr>
          <w:rFonts w:ascii="Arial" w:hAnsi="Arial" w:cs="Arial"/>
          <w:b/>
          <w:bCs/>
          <w:shd w:val="clear" w:color="auto" w:fill="FFFFFF"/>
        </w:rPr>
        <w:t xml:space="preserve"> a) </w:t>
      </w:r>
      <w:bookmarkStart w:id="0" w:name="_Hlk78914015"/>
      <w:r w:rsidRPr="006C2CEA">
        <w:rPr>
          <w:rFonts w:ascii="Arial" w:hAnsi="Arial" w:cs="Arial"/>
          <w:bCs/>
          <w:shd w:val="clear" w:color="auto" w:fill="FFFFFF"/>
        </w:rPr>
        <w:t xml:space="preserve">Con fundamento en el artículo 142 fracción VII, 158, 159 y 160 del Reglamento Interior del Consejo de la Judicatura del Poder Judicial del Estado, </w:t>
      </w:r>
      <w:r w:rsidRPr="006C2CEA">
        <w:rPr>
          <w:rFonts w:ascii="Arial" w:hAnsi="Arial" w:cs="Arial"/>
          <w:b/>
          <w:bCs/>
          <w:shd w:val="clear" w:color="auto" w:fill="FFFFFF"/>
        </w:rPr>
        <w:t>el Titular</w:t>
      </w:r>
      <w:r w:rsidRPr="006C2CEA">
        <w:rPr>
          <w:rFonts w:ascii="Arial" w:hAnsi="Arial" w:cs="Arial"/>
          <w:bCs/>
          <w:shd w:val="clear" w:color="auto" w:fill="FFFFFF"/>
        </w:rPr>
        <w:t xml:space="preserve"> deberá vigilar en forma constante que todos los libros electrónicos del registro SICEE se encuentren actualizados y con las debidas formalidades, toda vez de que se observó que, en el libro correspondiente a Exhortos recibidos se recibieron cuarenta y dos y en el sistema informático marcaba treinta y nueve pendientes de diligenciar, y de una revisión aleatoria de seis trámites, se observó que tres fueron devueltos durante la visita, dos ya habían sido devueltos a su lugar de origen, y uno estaba como pendiente de devolución por haber concluido el término para su </w:t>
      </w:r>
      <w:proofErr w:type="spellStart"/>
      <w:r w:rsidRPr="006C2CEA">
        <w:rPr>
          <w:rFonts w:ascii="Arial" w:hAnsi="Arial" w:cs="Arial"/>
          <w:bCs/>
          <w:shd w:val="clear" w:color="auto" w:fill="FFFFFF"/>
        </w:rPr>
        <w:t>diligenciación</w:t>
      </w:r>
      <w:proofErr w:type="spellEnd"/>
      <w:r w:rsidRPr="006C2CEA">
        <w:rPr>
          <w:rFonts w:ascii="Arial" w:hAnsi="Arial" w:cs="Arial"/>
          <w:bCs/>
          <w:shd w:val="clear" w:color="auto" w:fill="FFFFFF"/>
        </w:rPr>
        <w:t xml:space="preserve"> tratándose del envió de un oficio, por lo tanto, solamente se observó que no se registraron los datos en el sistema, es pertinente aclarar que la captura constante de datos en los libros de control, implica una veraz información estadística del quehacer del Juzgado, que en su momento permitiría al Consejo de la Judicatura tomar las decisiones correspondientes. Lo anterior es visible en el apartado </w:t>
      </w:r>
      <w:r w:rsidRPr="006C2CEA">
        <w:rPr>
          <w:rFonts w:ascii="Arial" w:hAnsi="Arial" w:cs="Arial"/>
          <w:bCs/>
          <w:shd w:val="clear" w:color="auto" w:fill="FFFFFF"/>
        </w:rPr>
        <w:lastRenderedPageBreak/>
        <w:t>correspondiente, hojas ocho, nueve y diez del acta de visita que obra en poder del Juzgado</w:t>
      </w:r>
      <w:r w:rsidRPr="006C2CEA">
        <w:rPr>
          <w:rFonts w:ascii="Arial" w:hAnsi="Arial" w:cs="Arial"/>
          <w:b/>
          <w:bCs/>
          <w:shd w:val="clear" w:color="auto" w:fill="FFFFFF"/>
        </w:rPr>
        <w:t xml:space="preserve">.- - - - - - - - - - - - - - - - - - - - - - - - - - - </w:t>
      </w:r>
      <w:r w:rsidR="00A930CB">
        <w:rPr>
          <w:rFonts w:ascii="Arial" w:hAnsi="Arial" w:cs="Arial"/>
          <w:b/>
          <w:shd w:val="clear" w:color="auto" w:fill="FFFFFF"/>
        </w:rPr>
        <w:t>- - - - - - - - - - - - - - - - - - - - - - -</w:t>
      </w:r>
      <w:r w:rsidR="00A930CB">
        <w:rPr>
          <w:rFonts w:ascii="Arial" w:hAnsi="Arial" w:cs="Arial"/>
          <w:b/>
          <w:shd w:val="clear" w:color="auto" w:fill="FFFFFF"/>
        </w:rPr>
        <w:t xml:space="preserve"> - - - - </w:t>
      </w:r>
      <w:r w:rsidRPr="006C2CEA">
        <w:rPr>
          <w:rFonts w:ascii="Arial" w:hAnsi="Arial" w:cs="Arial"/>
          <w:b/>
          <w:bCs/>
          <w:shd w:val="clear" w:color="auto" w:fill="FFFFFF"/>
        </w:rPr>
        <w:t xml:space="preserve"> b) </w:t>
      </w:r>
      <w:r w:rsidRPr="006C2CEA">
        <w:rPr>
          <w:rFonts w:ascii="Arial" w:hAnsi="Arial" w:cs="Arial"/>
          <w:bCs/>
          <w:shd w:val="clear" w:color="auto" w:fill="FFFFFF"/>
        </w:rPr>
        <w:t xml:space="preserve">Con fundamento en lo dispuesto por el artículo 51 fracciones I y IX de la Ley Orgánica del Poder Judicial, en forma general y de acuerdo a la contingencia de la pandemia por el COVID-19, en el trámite procesal, y a efecto de evitar el exceso y disminuir lo más juicioso posible de las notificaciones personales en los domicilios señalados por las partes, se insiste </w:t>
      </w:r>
      <w:r w:rsidRPr="006C2CEA">
        <w:rPr>
          <w:rFonts w:ascii="Arial" w:hAnsi="Arial" w:cs="Arial"/>
          <w:b/>
          <w:bCs/>
          <w:shd w:val="clear" w:color="auto" w:fill="FFFFFF"/>
        </w:rPr>
        <w:t>al Titular</w:t>
      </w:r>
      <w:r w:rsidRPr="006C2CEA">
        <w:rPr>
          <w:rFonts w:ascii="Arial" w:hAnsi="Arial" w:cs="Arial"/>
          <w:bCs/>
          <w:shd w:val="clear" w:color="auto" w:fill="FFFFFF"/>
        </w:rPr>
        <w:t xml:space="preserve"> en que se ordene en autos únicamente las notificaciones y citaciones personales que la ley de la materia prevé, apegándose a las formas y medios de notificación autorizados en la propia ley, priorizando las notificaciones personales por medios electrónicos, y para este caso, persuadir a los Abogados litigantes en la conveniencia de registrar su correo electrónico y con esto tratar de evitar un posible contagio del virus de referencia, dado a que se observó que se publicaron por lista mil ochocientos cuarenta y siete acuerdos, sin embargo fueron dos mil dieciséis para notificación personal, lo anterior es visible en los apartados correspondientes, de la hoja siete del acta de visita</w:t>
      </w:r>
      <w:r w:rsidRPr="006C2CEA">
        <w:rPr>
          <w:rFonts w:ascii="Arial" w:hAnsi="Arial" w:cs="Arial"/>
          <w:b/>
          <w:bCs/>
          <w:shd w:val="clear" w:color="auto" w:fill="FFFFFF"/>
        </w:rPr>
        <w:t xml:space="preserve">.- - - c) </w:t>
      </w:r>
      <w:r w:rsidRPr="006C2CEA">
        <w:rPr>
          <w:rFonts w:ascii="Arial" w:hAnsi="Arial" w:cs="Arial"/>
          <w:bCs/>
          <w:shd w:val="clear" w:color="auto" w:fill="FFFFFF"/>
        </w:rPr>
        <w:t xml:space="preserve">De conformidad con lo dispuesto por la fracción V de los artículos 142 y 208 del Reglamento Interior del Consejo de la Judicatura, </w:t>
      </w:r>
      <w:r w:rsidRPr="006C2CEA">
        <w:rPr>
          <w:rFonts w:ascii="Arial" w:hAnsi="Arial" w:cs="Arial"/>
          <w:b/>
          <w:bCs/>
          <w:shd w:val="clear" w:color="auto" w:fill="FFFFFF"/>
        </w:rPr>
        <w:t>el Titular</w:t>
      </w:r>
      <w:r w:rsidRPr="006C2CEA">
        <w:rPr>
          <w:rFonts w:ascii="Arial" w:hAnsi="Arial" w:cs="Arial"/>
          <w:bCs/>
          <w:shd w:val="clear" w:color="auto" w:fill="FFFFFF"/>
        </w:rPr>
        <w:t xml:space="preserve"> deberá vigilar que se revise y se remitan oportunamente al Tribunal de Alzada, los expedientes en los que se interponga el recurso de Apelación, en los términos del artículo 1345 bis 3, del Código de Comercio, toda vez, que se observaron tres recursos de apelación pendientes de remitir al Tribunal, en posesión de la Subsecretaria licenciada Nadia Jacqueline Gerardo Cervantes, Incidente 2/2020, expedientes 1492/2012 y 1484/2019, con turnos que datan del veinticinco de enero y diecinueve de febrero ambos del dos mil veintiuno, con requerimiento y consta de dos tomos y diecisiete de febrero del dos mil veintiuno respectivamente, sin haberse remitido al superior. Lo anterior es visible en el apartado correspondiente, hojas catorce y quince del acta de visita</w:t>
      </w:r>
      <w:r w:rsidRPr="006C2CEA">
        <w:rPr>
          <w:rFonts w:ascii="Arial" w:hAnsi="Arial" w:cs="Arial"/>
          <w:b/>
          <w:bCs/>
          <w:shd w:val="clear" w:color="auto" w:fill="FFFFFF"/>
        </w:rPr>
        <w:t>.- -</w:t>
      </w:r>
      <w:bookmarkEnd w:id="0"/>
      <w:r w:rsidRPr="006C2CEA">
        <w:rPr>
          <w:rFonts w:ascii="Arial" w:hAnsi="Arial" w:cs="Arial"/>
          <w:b/>
          <w:bCs/>
          <w:shd w:val="clear" w:color="auto" w:fill="FFFFFF"/>
        </w:rPr>
        <w:t xml:space="preserve"> - - - - - - - - - - - - - - - -</w:t>
      </w:r>
      <w:r w:rsidR="00A930CB">
        <w:rPr>
          <w:rFonts w:ascii="Arial" w:hAnsi="Arial" w:cs="Arial"/>
          <w:b/>
          <w:bCs/>
          <w:shd w:val="clear" w:color="auto" w:fill="FFFFFF"/>
        </w:rPr>
        <w:t xml:space="preserve"> </w:t>
      </w:r>
      <w:r w:rsidR="00A930CB">
        <w:rPr>
          <w:rFonts w:ascii="Arial" w:hAnsi="Arial" w:cs="Arial"/>
          <w:b/>
          <w:shd w:val="clear" w:color="auto" w:fill="FFFFFF"/>
        </w:rPr>
        <w:t xml:space="preserve">- - - - - - - - - - - - - - - - - - - - - - - - - - - - - - - - </w:t>
      </w:r>
      <w:r w:rsidR="00A930CB">
        <w:rPr>
          <w:rFonts w:ascii="Arial" w:hAnsi="Arial" w:cs="Arial"/>
          <w:b/>
          <w:shd w:val="clear" w:color="auto" w:fill="FFFFFF"/>
        </w:rPr>
        <w:t xml:space="preserve">- - - - </w:t>
      </w:r>
      <w:r w:rsidRPr="006C2CEA">
        <w:rPr>
          <w:rFonts w:ascii="Arial" w:hAnsi="Arial" w:cs="Arial"/>
          <w:b/>
          <w:bCs/>
          <w:shd w:val="clear" w:color="auto" w:fill="FFFFFF"/>
        </w:rPr>
        <w:t xml:space="preserve">d) </w:t>
      </w:r>
      <w:bookmarkStart w:id="1" w:name="_Hlk78914188"/>
      <w:r w:rsidRPr="006C2CEA">
        <w:rPr>
          <w:rFonts w:ascii="Arial" w:hAnsi="Arial" w:cs="Arial"/>
          <w:bCs/>
          <w:shd w:val="clear" w:color="auto" w:fill="FFFFFF"/>
        </w:rPr>
        <w:t xml:space="preserve">Con fundamento en la fracción XII del artículo 74 de la Ley Orgánica del Poder Judicial y 144 fracción IV, 158, 159 y 160 del Reglamento Interior del Consejo de la Judicatura del Poder Judicial del Estado, se recomienda a los </w:t>
      </w:r>
      <w:r w:rsidRPr="006C2CEA">
        <w:rPr>
          <w:rFonts w:ascii="Arial" w:hAnsi="Arial" w:cs="Arial"/>
          <w:b/>
          <w:bCs/>
          <w:shd w:val="clear" w:color="auto" w:fill="FFFFFF"/>
        </w:rPr>
        <w:t>Secretarios de Acuerdos</w:t>
      </w:r>
      <w:r w:rsidRPr="006C2CEA">
        <w:rPr>
          <w:rFonts w:ascii="Arial" w:hAnsi="Arial" w:cs="Arial"/>
          <w:bCs/>
          <w:shd w:val="clear" w:color="auto" w:fill="FFFFFF"/>
        </w:rPr>
        <w:t xml:space="preserve">, que todos los libros electrónicos del registro SICEE se encuentren </w:t>
      </w:r>
      <w:r w:rsidRPr="006C2CEA">
        <w:rPr>
          <w:rFonts w:ascii="Arial" w:hAnsi="Arial" w:cs="Arial"/>
          <w:bCs/>
          <w:shd w:val="clear" w:color="auto" w:fill="FFFFFF"/>
        </w:rPr>
        <w:lastRenderedPageBreak/>
        <w:t xml:space="preserve">actualizados y con las debidas formalidades, toda vez de que se observó que, en el libro correspondiente a Exhortos recibidos se recibieron cuarenta y dos y en el sistema informático marcaba treinta y nueve pendientes de diligenciar, y de una revisión aleatoria de seis trámites, se observó que tres fueron devueltos durante la visita, dos ya habían sido devueltos a su lugar de origen, y uno estaba como pendiente de devolución por haber concluido el término para su diligenciarían tratándose del envió de un oficio, por lo tanto, solamente en se observó que no se registraron los datos en el sistema, es pertinente aclarar que la captura constante de datos en los libros de control, implica una veraz información estadística del quehacer del Juzgado, que en su momento permitiría al Consejo de la Judicatura tomar las decisiones correspondientes. Lo anterior es visible en el apartado correspondiente, hojas ocho, nueve y diez, del acta de visita que obra en poder del Juzgado. </w:t>
      </w:r>
      <w:r w:rsidRPr="006C2CEA">
        <w:rPr>
          <w:rFonts w:ascii="Arial" w:hAnsi="Arial" w:cs="Arial"/>
          <w:b/>
          <w:bCs/>
          <w:shd w:val="clear" w:color="auto" w:fill="FFFFFF"/>
        </w:rPr>
        <w:t xml:space="preserve">- - - - - - - - - - - - - - - - - - - - - - - - - - </w:t>
      </w:r>
      <w:r w:rsidR="00A930CB">
        <w:rPr>
          <w:rFonts w:ascii="Arial" w:hAnsi="Arial" w:cs="Arial"/>
          <w:b/>
          <w:shd w:val="clear" w:color="auto" w:fill="FFFFFF"/>
        </w:rPr>
        <w:t>- - - - - - - - - - - - - - - - - - - - - - -</w:t>
      </w:r>
      <w:r w:rsidR="00A930CB">
        <w:rPr>
          <w:rFonts w:ascii="Arial" w:hAnsi="Arial" w:cs="Arial"/>
          <w:b/>
          <w:shd w:val="clear" w:color="auto" w:fill="FFFFFF"/>
        </w:rPr>
        <w:t xml:space="preserve"> - - - - - </w:t>
      </w:r>
      <w:r w:rsidRPr="006C2CEA">
        <w:rPr>
          <w:rFonts w:ascii="Arial" w:hAnsi="Arial" w:cs="Arial"/>
          <w:bCs/>
          <w:shd w:val="clear" w:color="auto" w:fill="FFFFFF"/>
        </w:rPr>
        <w:t xml:space="preserve"> </w:t>
      </w:r>
      <w:r w:rsidRPr="006C2CEA">
        <w:rPr>
          <w:rFonts w:ascii="Arial" w:hAnsi="Arial" w:cs="Arial"/>
          <w:b/>
          <w:bCs/>
          <w:shd w:val="clear" w:color="auto" w:fill="FFFFFF"/>
        </w:rPr>
        <w:t xml:space="preserve"> e) </w:t>
      </w:r>
      <w:r w:rsidRPr="006C2CEA">
        <w:rPr>
          <w:rFonts w:ascii="Arial" w:hAnsi="Arial" w:cs="Arial"/>
          <w:bCs/>
          <w:shd w:val="clear" w:color="auto" w:fill="FFFFFF"/>
        </w:rPr>
        <w:t xml:space="preserve">Con fundamento en lo dispuesto por las fracciones II y XV del artículo 74 de la Ley Orgánica del Poder Judicial, en forma general y de acuerdo a la contingencia de la pandemia por el COVID-19, en el trámite procesal y a efecto de evitar el exceso y disminuir lo más juicioso posible de las notificaciones personales en los domicilios señalados por las partes, se insiste una vez más a los </w:t>
      </w:r>
      <w:r w:rsidRPr="006C2CEA">
        <w:rPr>
          <w:rFonts w:ascii="Arial" w:hAnsi="Arial" w:cs="Arial"/>
          <w:b/>
          <w:bCs/>
          <w:shd w:val="clear" w:color="auto" w:fill="FFFFFF"/>
        </w:rPr>
        <w:t>Secretarios de Acuerdos</w:t>
      </w:r>
      <w:r w:rsidRPr="006C2CEA">
        <w:rPr>
          <w:rFonts w:ascii="Arial" w:hAnsi="Arial" w:cs="Arial"/>
          <w:bCs/>
          <w:shd w:val="clear" w:color="auto" w:fill="FFFFFF"/>
        </w:rPr>
        <w:t>, que al redactar los acuerdos, procuren ordenar únicamente las notificaciones y citaciones personales, que la ley de la materia prevé, apegándose a las formas y medios de notificación autorizados en la propia ley, priorizando las notificaciones personales por medios electrónicos, y para este caso, persuadir a los Abogados litigantes para que registren su correo electrónico y con esto tratar de evitar un posible contagio del virus de referencia, dado a que se observó que se publicaron por lista mil ochocientos cuarenta y siete acuerdos, sin embargo fueron dos mil dieciséis para notificación personal, lo anterior es visible en los apartados correspondientes, de la hoja siete del acta de visita</w:t>
      </w:r>
      <w:r w:rsidRPr="00A930CB">
        <w:rPr>
          <w:rFonts w:ascii="Arial" w:hAnsi="Arial" w:cs="Arial"/>
          <w:b/>
          <w:bCs/>
          <w:shd w:val="clear" w:color="auto" w:fill="FFFFFF"/>
        </w:rPr>
        <w:t>.- - - - - - - - -</w:t>
      </w:r>
      <w:r w:rsidR="00A930CB" w:rsidRPr="00A930CB">
        <w:rPr>
          <w:rFonts w:ascii="Arial" w:hAnsi="Arial" w:cs="Arial"/>
          <w:b/>
          <w:bCs/>
          <w:shd w:val="clear" w:color="auto" w:fill="FFFFFF"/>
        </w:rPr>
        <w:t xml:space="preserve"> </w:t>
      </w:r>
      <w:r w:rsidR="00A930CB" w:rsidRPr="00A930CB">
        <w:rPr>
          <w:rFonts w:ascii="Arial" w:hAnsi="Arial" w:cs="Arial"/>
          <w:b/>
          <w:shd w:val="clear" w:color="auto" w:fill="FFFFFF"/>
        </w:rPr>
        <w:t>- -</w:t>
      </w:r>
      <w:r w:rsidR="00A930CB">
        <w:rPr>
          <w:rFonts w:ascii="Arial" w:hAnsi="Arial" w:cs="Arial"/>
          <w:b/>
          <w:shd w:val="clear" w:color="auto" w:fill="FFFFFF"/>
        </w:rPr>
        <w:t xml:space="preserve"> - - - - -</w:t>
      </w:r>
      <w:r w:rsidR="00A930CB">
        <w:rPr>
          <w:rFonts w:ascii="Arial" w:hAnsi="Arial" w:cs="Arial"/>
          <w:b/>
          <w:shd w:val="clear" w:color="auto" w:fill="FFFFFF"/>
        </w:rPr>
        <w:t xml:space="preserve"> - - - - - - - </w:t>
      </w:r>
      <w:r w:rsidRPr="006C2CEA">
        <w:rPr>
          <w:rFonts w:ascii="Arial" w:hAnsi="Arial" w:cs="Arial"/>
          <w:bCs/>
          <w:shd w:val="clear" w:color="auto" w:fill="FFFFFF"/>
        </w:rPr>
        <w:t xml:space="preserve"> </w:t>
      </w:r>
      <w:r w:rsidRPr="006C2CEA">
        <w:rPr>
          <w:rFonts w:ascii="Arial" w:hAnsi="Arial" w:cs="Arial"/>
          <w:b/>
          <w:bCs/>
          <w:shd w:val="clear" w:color="auto" w:fill="FFFFFF"/>
        </w:rPr>
        <w:t xml:space="preserve">f).- </w:t>
      </w:r>
      <w:r w:rsidRPr="006C2CEA">
        <w:rPr>
          <w:rFonts w:ascii="Arial" w:hAnsi="Arial" w:cs="Arial"/>
          <w:bCs/>
          <w:shd w:val="clear" w:color="auto" w:fill="FFFFFF"/>
        </w:rPr>
        <w:t xml:space="preserve">De conformidad con lo dispuesto por las fracciones XII y XV del artículo 74 de la Ley Orgánica del Poder Judicial y por las fracción XX de los artículos 144 y 208 del Reglamento Interior del Consejo de la Judicatura, los </w:t>
      </w:r>
      <w:r w:rsidRPr="006C2CEA">
        <w:rPr>
          <w:rFonts w:ascii="Arial" w:hAnsi="Arial" w:cs="Arial"/>
          <w:b/>
          <w:bCs/>
          <w:shd w:val="clear" w:color="auto" w:fill="FFFFFF"/>
        </w:rPr>
        <w:t>Secretarios de Acuerdos</w:t>
      </w:r>
      <w:r w:rsidRPr="006C2CEA">
        <w:rPr>
          <w:rFonts w:ascii="Arial" w:hAnsi="Arial" w:cs="Arial"/>
          <w:bCs/>
          <w:shd w:val="clear" w:color="auto" w:fill="FFFFFF"/>
        </w:rPr>
        <w:t xml:space="preserve">, deberán revisar que se remitan oportunamente al Tribunal de Alzada, los </w:t>
      </w:r>
      <w:r w:rsidRPr="006C2CEA">
        <w:rPr>
          <w:rFonts w:ascii="Arial" w:hAnsi="Arial" w:cs="Arial"/>
          <w:bCs/>
          <w:shd w:val="clear" w:color="auto" w:fill="FFFFFF"/>
        </w:rPr>
        <w:lastRenderedPageBreak/>
        <w:t>expedientes en los que se interponga el recurso de Apelación, en los términos del artículo 1345 bis 3 del Código de Comercio, toda vez, que se observaron tres recursos de apelación pendientes de remitir al Tribunal, en posesión de la Subsecretaria licenciada Nadia Jacqueline Gerardo Cervantes, Incidente 2/2020, expedientes 1492/2012 y 1484/2019, con turnos que datan del veinticinco de enero y diecinueve de febrero ambos del año dos mil veintiuno, con requerimiento y consta de dos tomos y diecisiete de febrero del dos mil veintiuno respectivamente, sin haberse remitido al superior. Lo anterior es visible en el apartado correspondiente, hojas catorce y quince del acta de visita</w:t>
      </w:r>
      <w:r w:rsidRPr="006C2CEA">
        <w:rPr>
          <w:rFonts w:ascii="Arial" w:hAnsi="Arial" w:cs="Arial"/>
          <w:b/>
          <w:bCs/>
          <w:shd w:val="clear" w:color="auto" w:fill="FFFFFF"/>
        </w:rPr>
        <w:t>.</w:t>
      </w:r>
      <w:bookmarkEnd w:id="1"/>
      <w:r w:rsidRPr="006C2CEA">
        <w:rPr>
          <w:rFonts w:ascii="Arial" w:hAnsi="Arial" w:cs="Arial"/>
          <w:b/>
          <w:bCs/>
          <w:shd w:val="clear" w:color="auto" w:fill="FFFFFF"/>
        </w:rPr>
        <w:t xml:space="preserve">- - - - - - - - - - - - - - - - - - - - - - - - </w:t>
      </w:r>
      <w:bookmarkStart w:id="2" w:name="_Hlk78914648"/>
      <w:r w:rsidR="00A930CB">
        <w:rPr>
          <w:rFonts w:ascii="Arial" w:hAnsi="Arial" w:cs="Arial"/>
          <w:b/>
          <w:bCs/>
          <w:shd w:val="clear" w:color="auto" w:fill="FFFFFF"/>
        </w:rPr>
        <w:t xml:space="preserve">- - - - - - - </w:t>
      </w:r>
      <w:r w:rsidRPr="006C2CEA">
        <w:rPr>
          <w:rFonts w:ascii="Arial" w:hAnsi="Arial" w:cs="Arial"/>
          <w:b/>
          <w:bCs/>
          <w:shd w:val="clear" w:color="auto" w:fill="FFFFFF"/>
        </w:rPr>
        <w:t xml:space="preserve">g) </w:t>
      </w:r>
      <w:r w:rsidRPr="006C2CEA">
        <w:rPr>
          <w:rFonts w:ascii="Arial" w:hAnsi="Arial" w:cs="Arial"/>
          <w:bCs/>
          <w:shd w:val="clear" w:color="auto" w:fill="FFFFFF"/>
        </w:rPr>
        <w:t xml:space="preserve">Con fundamento en los artículos 77 fracción II, de la Ley Orgánica del Poder Judicial, 158, 159 y 160 del Reglamento Interior del Consejo de la Judicatura del Poder Judicial del Estado, </w:t>
      </w:r>
      <w:r w:rsidRPr="006C2CEA">
        <w:rPr>
          <w:rFonts w:ascii="Arial" w:hAnsi="Arial" w:cs="Arial"/>
          <w:b/>
          <w:bCs/>
          <w:shd w:val="clear" w:color="auto" w:fill="FFFFFF"/>
        </w:rPr>
        <w:t>la Subsecretaria</w:t>
      </w:r>
      <w:r w:rsidRPr="006C2CEA">
        <w:rPr>
          <w:rFonts w:ascii="Arial" w:hAnsi="Arial" w:cs="Arial"/>
          <w:bCs/>
          <w:shd w:val="clear" w:color="auto" w:fill="FFFFFF"/>
        </w:rPr>
        <w:t xml:space="preserve"> deberá llevar todos los libros electrónicos del registro SICEE a fin de que se encuentren actualizados y con las debidas formalidades, toda vez de que se observó que, en el libro correspondiente a Exhortos recibidos se </w:t>
      </w:r>
      <w:proofErr w:type="spellStart"/>
      <w:r w:rsidRPr="006C2CEA">
        <w:rPr>
          <w:rFonts w:ascii="Arial" w:hAnsi="Arial" w:cs="Arial"/>
          <w:bCs/>
          <w:shd w:val="clear" w:color="auto" w:fill="FFFFFF"/>
        </w:rPr>
        <w:t>recepcionaron</w:t>
      </w:r>
      <w:proofErr w:type="spellEnd"/>
      <w:r w:rsidRPr="006C2CEA">
        <w:rPr>
          <w:rFonts w:ascii="Arial" w:hAnsi="Arial" w:cs="Arial"/>
          <w:bCs/>
          <w:shd w:val="clear" w:color="auto" w:fill="FFFFFF"/>
        </w:rPr>
        <w:t xml:space="preserve"> cuarenta y dos y en el sistema informático marcaba treinta y nueve pendientes de diligenciar, y de una revisión aleatoria de seis trámites, se constató que tres fueron devueltos durante la visita, dos ya habían sido devueltos a su lugar de origen, y uno estaba como pendiente de devolución por haber concluido el término para su diligenciarían tratándose del envió de un oficio, por lo tanto, solamente en se observó que no se registraron los datos en el sistema, es pertinente aclarar que la captura constante de datos en los libros de control, implica una veraz información estadística del quehacer del Juzgado, que en su momento permitiría al Consejo de la Judicatura tomar las decisiones correspondientes. Lo anterior es visible en el apartado correspondiente, hojas ocho, nueve y diez del acta de visita que obra en poder del Juzgado</w:t>
      </w:r>
      <w:r w:rsidRPr="006C2CEA">
        <w:rPr>
          <w:rFonts w:ascii="Arial" w:hAnsi="Arial" w:cs="Arial"/>
          <w:b/>
          <w:bCs/>
          <w:shd w:val="clear" w:color="auto" w:fill="FFFFFF"/>
        </w:rPr>
        <w:t xml:space="preserve">.- - - - - - - - - - - - - - - h) </w:t>
      </w:r>
      <w:r w:rsidRPr="006C2CEA">
        <w:rPr>
          <w:rFonts w:ascii="Arial" w:hAnsi="Arial" w:cs="Arial"/>
          <w:bCs/>
          <w:shd w:val="clear" w:color="auto" w:fill="FFFFFF"/>
        </w:rPr>
        <w:t xml:space="preserve">Con fundamento en el artículo 145 fracción VIII del Reglamento Interior del Consejo de la Judicatura del Poder Judicial del Estado, se recomienda a </w:t>
      </w:r>
      <w:r w:rsidRPr="006C2CEA">
        <w:rPr>
          <w:rFonts w:ascii="Arial" w:hAnsi="Arial" w:cs="Arial"/>
          <w:b/>
          <w:bCs/>
          <w:shd w:val="clear" w:color="auto" w:fill="FFFFFF"/>
        </w:rPr>
        <w:t>la Subsecretaria,</w:t>
      </w:r>
      <w:r w:rsidRPr="006C2CEA">
        <w:rPr>
          <w:rFonts w:ascii="Arial" w:hAnsi="Arial" w:cs="Arial"/>
          <w:bCs/>
          <w:shd w:val="clear" w:color="auto" w:fill="FFFFFF"/>
        </w:rPr>
        <w:t xml:space="preserve"> que se remitan oportunamente al Tribunal de Alzada, los expedientes en los que se interponga el recurso de Apelación, en los términos del artículo 1345 bis 3, del Código de Comercio, toda vez, que se observaron en su posesión tres recursos de apelación pendientes de remitir al Tribunal, Incidente </w:t>
      </w:r>
      <w:r w:rsidRPr="006C2CEA">
        <w:rPr>
          <w:rFonts w:ascii="Arial" w:hAnsi="Arial" w:cs="Arial"/>
          <w:bCs/>
          <w:shd w:val="clear" w:color="auto" w:fill="FFFFFF"/>
        </w:rPr>
        <w:lastRenderedPageBreak/>
        <w:t>2/2020, expedientes 1492/2012 y 1484/2019, con turnos que datan del veinticinco de enero y diecinueve de febrero ambas del dos mil veintiuno, con requerimiento y consta de dos tomos y diecisiete de febrero del año en curso, respectivamente, sin haberse remitido al superior. Lo anterior es visible en el apartado correspondiente, hojas catorce y quince del acta de visita</w:t>
      </w:r>
      <w:r w:rsidRPr="006C2CEA">
        <w:rPr>
          <w:rFonts w:ascii="Arial" w:hAnsi="Arial" w:cs="Arial"/>
          <w:b/>
          <w:bCs/>
          <w:shd w:val="clear" w:color="auto" w:fill="FFFFFF"/>
        </w:rPr>
        <w:t xml:space="preserve">.- </w:t>
      </w:r>
      <w:bookmarkEnd w:id="2"/>
      <w:r w:rsidRPr="006C2CEA">
        <w:rPr>
          <w:rFonts w:ascii="Arial" w:hAnsi="Arial" w:cs="Arial"/>
          <w:b/>
          <w:bCs/>
          <w:shd w:val="clear" w:color="auto" w:fill="FFFFFF"/>
        </w:rPr>
        <w:t>- - - - - - - - - - - - - - - - - - - - -</w:t>
      </w:r>
      <w:r w:rsidR="00A930CB">
        <w:rPr>
          <w:rFonts w:ascii="Arial" w:hAnsi="Arial" w:cs="Arial"/>
          <w:b/>
          <w:bCs/>
          <w:shd w:val="clear" w:color="auto" w:fill="FFFFFF"/>
        </w:rPr>
        <w:t xml:space="preserve"> </w:t>
      </w:r>
      <w:r w:rsidR="00A930CB">
        <w:rPr>
          <w:rFonts w:ascii="Arial" w:hAnsi="Arial" w:cs="Arial"/>
          <w:b/>
          <w:shd w:val="clear" w:color="auto" w:fill="FFFFFF"/>
        </w:rPr>
        <w:t>- - - - - - -</w:t>
      </w:r>
      <w:r w:rsidR="00A930CB">
        <w:rPr>
          <w:rFonts w:ascii="Arial" w:hAnsi="Arial" w:cs="Arial"/>
          <w:b/>
          <w:shd w:val="clear" w:color="auto" w:fill="FFFFFF"/>
        </w:rPr>
        <w:t xml:space="preserve"> - - </w:t>
      </w:r>
      <w:r w:rsidRPr="006C2CEA">
        <w:rPr>
          <w:rFonts w:ascii="Arial" w:hAnsi="Arial" w:cs="Arial"/>
          <w:b/>
          <w:bCs/>
          <w:shd w:val="clear" w:color="auto" w:fill="FFFFFF"/>
          <w:lang w:eastAsia="es-MX"/>
        </w:rPr>
        <w:t>ACUERDO 101</w:t>
      </w:r>
      <w:r w:rsidRPr="006C2CEA">
        <w:rPr>
          <w:rFonts w:ascii="Arial" w:eastAsia="Arial" w:hAnsi="Arial" w:cs="Arial"/>
          <w:b/>
          <w:color w:val="000000"/>
        </w:rPr>
        <w:t xml:space="preserve">/05/2021. </w:t>
      </w:r>
      <w:r w:rsidRPr="006C2CEA">
        <w:rPr>
          <w:rFonts w:ascii="Arial" w:eastAsia="Arial" w:hAnsi="Arial" w:cs="Arial"/>
          <w:color w:val="000000"/>
        </w:rPr>
        <w:t xml:space="preserve">Los miembros de la Comisión de Disciplina, </w:t>
      </w:r>
      <w:r w:rsidRPr="006C2CEA">
        <w:rPr>
          <w:rFonts w:ascii="Arial" w:hAnsi="Arial" w:cs="Arial"/>
          <w:bCs/>
          <w:shd w:val="clear" w:color="auto" w:fill="FFFFFF"/>
        </w:rPr>
        <w:t xml:space="preserve">determinan hacer del conocimiento al titular del </w:t>
      </w:r>
      <w:r w:rsidRPr="006C2CEA">
        <w:rPr>
          <w:rFonts w:ascii="Arial" w:eastAsia="Arial" w:hAnsi="Arial" w:cs="Arial"/>
          <w:b/>
          <w:bCs/>
          <w:color w:val="000000"/>
        </w:rPr>
        <w:t xml:space="preserve">Juzgado Tercero del Ramo Familiar; </w:t>
      </w:r>
      <w:r w:rsidRPr="006C2CEA">
        <w:rPr>
          <w:rFonts w:ascii="Arial" w:eastAsia="Arial" w:hAnsi="Arial" w:cs="Arial"/>
          <w:bCs/>
          <w:color w:val="000000"/>
        </w:rPr>
        <w:t>q</w:t>
      </w:r>
      <w:r w:rsidRPr="006C2CEA">
        <w:rPr>
          <w:rFonts w:ascii="Arial" w:hAnsi="Arial" w:cs="Arial"/>
          <w:bCs/>
          <w:shd w:val="clear" w:color="auto" w:fill="FFFFFF"/>
        </w:rPr>
        <w:t xml:space="preserve">ue, derivado de la Primera Visita de Inspección Ordinaria, </w:t>
      </w:r>
      <w:r w:rsidRPr="006C2CEA">
        <w:rPr>
          <w:rFonts w:ascii="Arial" w:hAnsi="Arial" w:cs="Arial"/>
          <w:shd w:val="clear" w:color="auto" w:fill="FFFFFF"/>
        </w:rPr>
        <w:t>se emitieron las siguientes recomendaciones.</w:t>
      </w:r>
      <w:r w:rsidRPr="006C2CEA">
        <w:rPr>
          <w:rFonts w:ascii="Arial" w:hAnsi="Arial" w:cs="Arial"/>
          <w:bCs/>
          <w:shd w:val="clear" w:color="auto" w:fill="FFFFFF"/>
        </w:rPr>
        <w:t xml:space="preserve"> </w:t>
      </w:r>
      <w:r w:rsidRPr="006C2CEA">
        <w:rPr>
          <w:rFonts w:ascii="Arial" w:hAnsi="Arial" w:cs="Arial"/>
          <w:b/>
          <w:bCs/>
          <w:shd w:val="clear" w:color="auto" w:fill="FFFFFF"/>
        </w:rPr>
        <w:t xml:space="preserve">a) </w:t>
      </w:r>
      <w:bookmarkStart w:id="3" w:name="_Hlk78914931"/>
      <w:r w:rsidRPr="006C2CEA">
        <w:rPr>
          <w:rFonts w:ascii="Arial" w:hAnsi="Arial" w:cs="Arial"/>
          <w:bCs/>
          <w:shd w:val="clear" w:color="auto" w:fill="FFFFFF"/>
        </w:rPr>
        <w:t xml:space="preserve">Con fundamento en el artículo 142 fracción VII, 158, 159 y 160 del Reglamento Interior del Consejo de la Judicatura del Poder Judicial del Estado, </w:t>
      </w:r>
      <w:r w:rsidRPr="006C2CEA">
        <w:rPr>
          <w:rFonts w:ascii="Arial" w:hAnsi="Arial" w:cs="Arial"/>
          <w:b/>
          <w:bCs/>
          <w:shd w:val="clear" w:color="auto" w:fill="FFFFFF"/>
        </w:rPr>
        <w:t>el Titular</w:t>
      </w:r>
      <w:r w:rsidRPr="006C2CEA">
        <w:rPr>
          <w:rFonts w:ascii="Arial" w:hAnsi="Arial" w:cs="Arial"/>
          <w:bCs/>
          <w:shd w:val="clear" w:color="auto" w:fill="FFFFFF"/>
        </w:rPr>
        <w:t xml:space="preserve"> deberá vigilar en forma constante que todos los libros electrónicos del registro SICEE se encuentren actualizados y con las debidas formalidades, toda vez de que se observó que: en el Sistema Informático para el Control de Expedientes electrónicos se detectó que se encontraban pendientes quinientas ochenta y seis promociones, sin embargo, al hacer un análisis de las promociones que aparecen como no acordadas, se aprecia que la mayoría ya cuentan con el acuerdo correspondiente y no se habían dado de baja del sistema, por otra parte, en el registro de Audiencias se observaron ciento cuarenta y dos registros que aparecen en el rubro “por celebrar”, cuando el orden cronológico es de fechas anteriores a la visita, lo cual no es congruente y se estima que es un error en su captura, por lo tanto es preciso que se aclare tal situación y para el caso de dudas solicitar el apoyo de la Dirección de Tecnologías de la Información. Lo anterior es visible en los apartados correspondientes, de las hojas cinco y seis del acta de visita que obra en poder del Juzgado</w:t>
      </w:r>
      <w:bookmarkEnd w:id="3"/>
      <w:r w:rsidRPr="006C2CEA">
        <w:rPr>
          <w:rFonts w:ascii="Arial" w:hAnsi="Arial" w:cs="Arial"/>
          <w:b/>
          <w:bCs/>
          <w:shd w:val="clear" w:color="auto" w:fill="FFFFFF"/>
        </w:rPr>
        <w:t>.- - - - - - - - - - - - - -</w:t>
      </w:r>
      <w:r w:rsidR="00A930CB">
        <w:rPr>
          <w:rFonts w:ascii="Arial" w:hAnsi="Arial" w:cs="Arial"/>
          <w:b/>
          <w:bCs/>
          <w:shd w:val="clear" w:color="auto" w:fill="FFFFFF"/>
        </w:rPr>
        <w:t xml:space="preserve"> </w:t>
      </w:r>
      <w:r w:rsidR="00A930CB">
        <w:rPr>
          <w:rFonts w:ascii="Arial" w:hAnsi="Arial" w:cs="Arial"/>
          <w:b/>
          <w:shd w:val="clear" w:color="auto" w:fill="FFFFFF"/>
        </w:rPr>
        <w:t xml:space="preserve">- - - - - - - - - - - - - - - - - - - - - - - - - - - - - - - - </w:t>
      </w:r>
      <w:r w:rsidRPr="006C2CEA">
        <w:rPr>
          <w:rFonts w:ascii="Arial" w:hAnsi="Arial" w:cs="Arial"/>
          <w:b/>
          <w:bCs/>
          <w:shd w:val="clear" w:color="auto" w:fill="FFFFFF"/>
        </w:rPr>
        <w:t xml:space="preserve">  b) </w:t>
      </w:r>
      <w:bookmarkStart w:id="4" w:name="_Hlk78915027"/>
      <w:r w:rsidRPr="006C2CEA">
        <w:rPr>
          <w:rFonts w:ascii="Arial" w:hAnsi="Arial" w:cs="Arial"/>
          <w:bCs/>
          <w:shd w:val="clear" w:color="auto" w:fill="FFFFFF"/>
        </w:rPr>
        <w:t xml:space="preserve">Con fundamento en la fracción XII del artículo 74 de la Ley Orgánica del Poder Judicial y 144 fracción IV, 158, 159 y 160 del Reglamento Interior del Consejo de la Judicatura del Poder Judicial del Estado, se recomienda, a los </w:t>
      </w:r>
      <w:r w:rsidRPr="006C2CEA">
        <w:rPr>
          <w:rFonts w:ascii="Arial" w:hAnsi="Arial" w:cs="Arial"/>
          <w:b/>
          <w:bCs/>
          <w:shd w:val="clear" w:color="auto" w:fill="FFFFFF"/>
        </w:rPr>
        <w:t>Secretarios de Acuerdos,</w:t>
      </w:r>
      <w:r w:rsidRPr="006C2CEA">
        <w:rPr>
          <w:rFonts w:ascii="Arial" w:hAnsi="Arial" w:cs="Arial"/>
          <w:bCs/>
          <w:shd w:val="clear" w:color="auto" w:fill="FFFFFF"/>
        </w:rPr>
        <w:t xml:space="preserve"> que todos los libros electrónicos del registro SICEE se encuentren actualizados y con las debidas formalidades, toda vez de que se observó que: en el Sistema Informático para el Control de Expedientes electrónicos se detectó que se encontraban pendientes quinientas ochenta y seis promociones, sin embargo, al </w:t>
      </w:r>
      <w:r w:rsidRPr="006C2CEA">
        <w:rPr>
          <w:rFonts w:ascii="Arial" w:hAnsi="Arial" w:cs="Arial"/>
          <w:bCs/>
          <w:shd w:val="clear" w:color="auto" w:fill="FFFFFF"/>
        </w:rPr>
        <w:lastRenderedPageBreak/>
        <w:t>hacer un análisis de las promociones que aparecen como no acordadas, se aprecia que la mayoría ya cuentan con el acuerdo correspondiente y no se habían dado de baja del sistema, por otra parte, en el registro de Audiencias se observaron ciento cuarenta y dos registros que aparecen en el rubro “por celebrar”, cuando el orden cronológico es de fechas anteriores a la visita, lo cual no es congruente y se estima que es un error en su captura, por lo tanto es preciso que se aclare tal situación y para el caso de dudas solicitar el apoyo de la Dirección de Tecnologías de la Información. Lo anterior es visible en los apartados correspondientes, de las hojas cinco y seis del acta de visita que obra en poder del Juzgado</w:t>
      </w:r>
      <w:bookmarkEnd w:id="4"/>
      <w:r w:rsidRPr="006C2CEA">
        <w:rPr>
          <w:rFonts w:ascii="Arial" w:hAnsi="Arial" w:cs="Arial"/>
          <w:b/>
          <w:bCs/>
          <w:shd w:val="clear" w:color="auto" w:fill="FFFFFF"/>
        </w:rPr>
        <w:t xml:space="preserve">.- - - - - - - - - - - - - - </w:t>
      </w:r>
      <w:r w:rsidRPr="006C2CEA">
        <w:rPr>
          <w:rFonts w:ascii="Arial" w:hAnsi="Arial" w:cs="Arial"/>
          <w:b/>
          <w:bCs/>
          <w:shd w:val="clear" w:color="auto" w:fill="FFFFFF"/>
          <w:lang w:eastAsia="es-MX"/>
        </w:rPr>
        <w:t>ACUERDO 103/</w:t>
      </w:r>
      <w:r w:rsidRPr="006C2CEA">
        <w:rPr>
          <w:rFonts w:ascii="Arial" w:eastAsia="Arial" w:hAnsi="Arial" w:cs="Arial"/>
          <w:b/>
          <w:color w:val="000000"/>
        </w:rPr>
        <w:t xml:space="preserve">05/2021. </w:t>
      </w:r>
      <w:r w:rsidRPr="006C2CEA">
        <w:rPr>
          <w:rFonts w:ascii="Arial" w:eastAsia="Arial" w:hAnsi="Arial" w:cs="Arial"/>
          <w:color w:val="000000"/>
        </w:rPr>
        <w:t xml:space="preserve">Los miembros de la Comisión de Disciplina, </w:t>
      </w:r>
      <w:r w:rsidRPr="006C2CEA">
        <w:rPr>
          <w:rFonts w:ascii="Arial" w:hAnsi="Arial" w:cs="Arial"/>
          <w:bCs/>
          <w:shd w:val="clear" w:color="auto" w:fill="FFFFFF"/>
        </w:rPr>
        <w:t xml:space="preserve">determinan hacer del conocimiento a la titular del </w:t>
      </w:r>
      <w:bookmarkStart w:id="5" w:name="_Hlk78915455"/>
      <w:r w:rsidRPr="006C2CEA">
        <w:rPr>
          <w:rFonts w:ascii="Arial" w:eastAsia="Arial" w:hAnsi="Arial" w:cs="Arial"/>
          <w:b/>
          <w:bCs/>
          <w:color w:val="000000"/>
        </w:rPr>
        <w:t>Juzgado Segundo del Ramo Familiar</w:t>
      </w:r>
      <w:bookmarkEnd w:id="5"/>
      <w:r w:rsidRPr="006C2CEA">
        <w:rPr>
          <w:rFonts w:ascii="Arial" w:hAnsi="Arial" w:cs="Arial"/>
          <w:bCs/>
          <w:shd w:val="clear" w:color="auto" w:fill="FFFFFF"/>
        </w:rPr>
        <w:t>; que, derivado de la Primera Visita de Inspección Ordinaria, s</w:t>
      </w:r>
      <w:r w:rsidRPr="006C2CEA">
        <w:rPr>
          <w:rFonts w:ascii="Arial" w:hAnsi="Arial" w:cs="Arial"/>
          <w:shd w:val="clear" w:color="auto" w:fill="FFFFFF"/>
        </w:rPr>
        <w:t>e emitieron las siguientes recomendaciones</w:t>
      </w:r>
      <w:r w:rsidRPr="006C2CEA">
        <w:rPr>
          <w:rFonts w:ascii="Arial" w:hAnsi="Arial" w:cs="Arial"/>
          <w:bCs/>
          <w:shd w:val="clear" w:color="auto" w:fill="FFFFFF"/>
        </w:rPr>
        <w:t>.</w:t>
      </w:r>
      <w:r w:rsidRPr="006C2CEA">
        <w:rPr>
          <w:rFonts w:ascii="Arial" w:hAnsi="Arial" w:cs="Arial"/>
          <w:shd w:val="clear" w:color="auto" w:fill="FFFFFF"/>
        </w:rPr>
        <w:t xml:space="preserve"> </w:t>
      </w:r>
      <w:r w:rsidRPr="006C2CEA">
        <w:rPr>
          <w:rFonts w:ascii="Arial" w:hAnsi="Arial" w:cs="Arial"/>
          <w:b/>
          <w:shd w:val="clear" w:color="auto" w:fill="FFFFFF"/>
        </w:rPr>
        <w:t xml:space="preserve">- - - - - - - - - - - - - - - - - - - - - - - - - - - - - - - - - - - </w:t>
      </w:r>
      <w:r w:rsidR="00A930CB">
        <w:rPr>
          <w:rFonts w:ascii="Arial" w:hAnsi="Arial" w:cs="Arial"/>
          <w:b/>
          <w:shd w:val="clear" w:color="auto" w:fill="FFFFFF"/>
        </w:rPr>
        <w:t>- - - - - - -</w:t>
      </w:r>
      <w:r w:rsidR="00A930CB">
        <w:rPr>
          <w:rFonts w:ascii="Arial" w:hAnsi="Arial" w:cs="Arial"/>
          <w:b/>
          <w:shd w:val="clear" w:color="auto" w:fill="FFFFFF"/>
        </w:rPr>
        <w:t xml:space="preserve"> - - - - - </w:t>
      </w:r>
      <w:r w:rsidRPr="006C2CEA">
        <w:rPr>
          <w:rFonts w:ascii="Arial" w:hAnsi="Arial" w:cs="Arial"/>
          <w:b/>
          <w:shd w:val="clear" w:color="auto" w:fill="FFFFFF"/>
        </w:rPr>
        <w:t xml:space="preserve">a) </w:t>
      </w:r>
      <w:bookmarkStart w:id="6" w:name="_Hlk78915581"/>
      <w:r w:rsidRPr="006C2CEA">
        <w:rPr>
          <w:rFonts w:ascii="Arial" w:hAnsi="Arial" w:cs="Arial"/>
          <w:shd w:val="clear" w:color="auto" w:fill="FFFFFF"/>
        </w:rPr>
        <w:t xml:space="preserve">Con fundamento en los artículos 208 del Reglamento Interior del Consejo de la Judicatura y 942 del Código de Procedimientos Civiles en el Estado, se insiste </w:t>
      </w:r>
      <w:r w:rsidRPr="006C2CEA">
        <w:rPr>
          <w:rFonts w:ascii="Arial" w:hAnsi="Arial" w:cs="Arial"/>
          <w:b/>
          <w:shd w:val="clear" w:color="auto" w:fill="FFFFFF"/>
        </w:rPr>
        <w:t>al Titular</w:t>
      </w:r>
      <w:r w:rsidRPr="006C2CEA">
        <w:rPr>
          <w:rFonts w:ascii="Arial" w:hAnsi="Arial" w:cs="Arial"/>
          <w:shd w:val="clear" w:color="auto" w:fill="FFFFFF"/>
        </w:rPr>
        <w:t xml:space="preserve"> en que deberá verificar y ordenar que se revisen los expedientes o testimonios que se envían al Tribunal de Alzada por motivo de los recursos de Apelación interpuestos, para evitar que se devuelvan por falta de requisitos de </w:t>
      </w:r>
      <w:proofErr w:type="spellStart"/>
      <w:r w:rsidRPr="006C2CEA">
        <w:rPr>
          <w:rFonts w:ascii="Arial" w:hAnsi="Arial" w:cs="Arial"/>
          <w:shd w:val="clear" w:color="auto" w:fill="FFFFFF"/>
        </w:rPr>
        <w:t>procedibilidad</w:t>
      </w:r>
      <w:proofErr w:type="spellEnd"/>
      <w:r w:rsidRPr="006C2CEA">
        <w:rPr>
          <w:rFonts w:ascii="Arial" w:hAnsi="Arial" w:cs="Arial"/>
          <w:shd w:val="clear" w:color="auto" w:fill="FFFFFF"/>
        </w:rPr>
        <w:t xml:space="preserve"> en la substanciación de los mismos, lo anterior se debe a que se observó que se siguen devolviendo expedientes para la debida integración, y en el presente caso se devolvieron catorce para subsanar omisión o integración, circunstancia que provoca la prolongación del procedimiento de los juicios en perjuicio de los justiciables, contraviniendo con ello a lo dispuesto por el artículo 17 de nuestra Carta Magna, lo anterior se puede observar en la hoja diez del acta de visita</w:t>
      </w:r>
      <w:bookmarkEnd w:id="6"/>
      <w:r w:rsidRPr="006C2CEA">
        <w:rPr>
          <w:rFonts w:ascii="Arial" w:hAnsi="Arial" w:cs="Arial"/>
          <w:b/>
          <w:shd w:val="clear" w:color="auto" w:fill="FFFFFF"/>
        </w:rPr>
        <w:t xml:space="preserve">.- - - - - - - - - - - - - - - - - - - - - - - - - - - - - - - - - </w:t>
      </w:r>
      <w:r w:rsidR="00A930CB">
        <w:rPr>
          <w:rFonts w:ascii="Arial" w:hAnsi="Arial" w:cs="Arial"/>
          <w:b/>
          <w:shd w:val="clear" w:color="auto" w:fill="FFFFFF"/>
        </w:rPr>
        <w:t>- - - - - - - - - - - - - - - - - - - - - - -</w:t>
      </w:r>
      <w:r w:rsidR="00A930CB">
        <w:rPr>
          <w:rFonts w:ascii="Arial" w:hAnsi="Arial" w:cs="Arial"/>
          <w:b/>
          <w:shd w:val="clear" w:color="auto" w:fill="FFFFFF"/>
        </w:rPr>
        <w:t xml:space="preserve"> </w:t>
      </w:r>
      <w:r w:rsidRPr="006C2CEA">
        <w:rPr>
          <w:rFonts w:ascii="Arial" w:hAnsi="Arial" w:cs="Arial"/>
          <w:b/>
          <w:shd w:val="clear" w:color="auto" w:fill="FFFFFF"/>
        </w:rPr>
        <w:t xml:space="preserve">b) </w:t>
      </w:r>
      <w:bookmarkStart w:id="7" w:name="_Hlk78915669"/>
      <w:r w:rsidRPr="006C2CEA">
        <w:rPr>
          <w:rFonts w:ascii="Arial" w:hAnsi="Arial" w:cs="Arial"/>
          <w:shd w:val="clear" w:color="auto" w:fill="FFFFFF"/>
        </w:rPr>
        <w:t xml:space="preserve">Con fundamento en los artículos 208 del Reglamento Interior del Consejo de la Judicatura y 942 del Código de Procedimientos Civiles en el Estado, se insiste a los </w:t>
      </w:r>
      <w:r w:rsidRPr="006C2CEA">
        <w:rPr>
          <w:rFonts w:ascii="Arial" w:hAnsi="Arial" w:cs="Arial"/>
          <w:b/>
          <w:shd w:val="clear" w:color="auto" w:fill="FFFFFF"/>
        </w:rPr>
        <w:t>Secretarios de Acuerdos</w:t>
      </w:r>
      <w:r w:rsidRPr="006C2CEA">
        <w:rPr>
          <w:rFonts w:ascii="Arial" w:hAnsi="Arial" w:cs="Arial"/>
          <w:shd w:val="clear" w:color="auto" w:fill="FFFFFF"/>
        </w:rPr>
        <w:t xml:space="preserve"> en que deberán revisar los expedientes o testimonios que se envían al Tribunal de Alzada por motivo de los recursos de Apelación interpuestos, para evitar que se devuelvan por falta de requisitos de </w:t>
      </w:r>
      <w:proofErr w:type="spellStart"/>
      <w:r w:rsidRPr="006C2CEA">
        <w:rPr>
          <w:rFonts w:ascii="Arial" w:hAnsi="Arial" w:cs="Arial"/>
          <w:shd w:val="clear" w:color="auto" w:fill="FFFFFF"/>
        </w:rPr>
        <w:t>procedibilidad</w:t>
      </w:r>
      <w:proofErr w:type="spellEnd"/>
      <w:r w:rsidRPr="006C2CEA">
        <w:rPr>
          <w:rFonts w:ascii="Arial" w:hAnsi="Arial" w:cs="Arial"/>
          <w:shd w:val="clear" w:color="auto" w:fill="FFFFFF"/>
        </w:rPr>
        <w:t xml:space="preserve"> en la substanciación de los mismos, lo anterior se debe a que se observó que se </w:t>
      </w:r>
      <w:r w:rsidRPr="006C2CEA">
        <w:rPr>
          <w:rFonts w:ascii="Arial" w:hAnsi="Arial" w:cs="Arial"/>
          <w:shd w:val="clear" w:color="auto" w:fill="FFFFFF"/>
        </w:rPr>
        <w:lastRenderedPageBreak/>
        <w:t>siguen devolviendo expedientes para la debida integración, y en el presente caso se devolvieron catorce para subsanar omisión o integración, circunstancia que provoca la prolongación del procedimiento de los juicios en perjuicio de los justiciables, contraviniendo con ello a lo dispuesto por el artículo 17 de nuestra Carta Magna, lo anterior se puede observar en la hoja diez del acta de visita</w:t>
      </w:r>
      <w:r w:rsidRPr="006C2CEA">
        <w:rPr>
          <w:rFonts w:ascii="Arial" w:hAnsi="Arial" w:cs="Arial"/>
          <w:b/>
          <w:shd w:val="clear" w:color="auto" w:fill="FFFFFF"/>
        </w:rPr>
        <w:t>.</w:t>
      </w:r>
      <w:bookmarkEnd w:id="7"/>
      <w:r w:rsidRPr="006C2CEA">
        <w:rPr>
          <w:rFonts w:ascii="Arial" w:hAnsi="Arial" w:cs="Arial"/>
          <w:b/>
          <w:shd w:val="clear" w:color="auto" w:fill="FFFFFF"/>
        </w:rPr>
        <w:t xml:space="preserve">- - - - - - - - - </w:t>
      </w:r>
      <w:r w:rsidRPr="006C2CEA">
        <w:rPr>
          <w:rFonts w:ascii="Arial" w:hAnsi="Arial" w:cs="Arial"/>
          <w:b/>
          <w:bCs/>
          <w:shd w:val="clear" w:color="auto" w:fill="FFFFFF"/>
          <w:lang w:eastAsia="es-MX"/>
        </w:rPr>
        <w:t>ACUERDO 104/</w:t>
      </w:r>
      <w:r w:rsidRPr="006C2CEA">
        <w:rPr>
          <w:rFonts w:ascii="Arial" w:eastAsia="Arial" w:hAnsi="Arial" w:cs="Arial"/>
          <w:b/>
          <w:color w:val="000000"/>
        </w:rPr>
        <w:t xml:space="preserve">05/2021. </w:t>
      </w:r>
      <w:r w:rsidRPr="006C2CEA">
        <w:rPr>
          <w:rFonts w:ascii="Arial" w:eastAsia="Arial" w:hAnsi="Arial" w:cs="Arial"/>
          <w:color w:val="000000"/>
        </w:rPr>
        <w:t xml:space="preserve">Los miembros de la Comisión de Disciplina, </w:t>
      </w:r>
      <w:bookmarkStart w:id="8" w:name="_Hlk78915807"/>
      <w:r w:rsidRPr="006C2CEA">
        <w:rPr>
          <w:rFonts w:ascii="Arial" w:eastAsia="Arial" w:hAnsi="Arial" w:cs="Arial"/>
          <w:color w:val="000000"/>
        </w:rPr>
        <w:t xml:space="preserve">determinan ordenar la integración de un Comité de Investigación encomendado al Visitador General, licenciado Roberto Dorantes </w:t>
      </w:r>
      <w:proofErr w:type="spellStart"/>
      <w:r w:rsidRPr="006C2CEA">
        <w:rPr>
          <w:rFonts w:ascii="Arial" w:eastAsia="Arial" w:hAnsi="Arial" w:cs="Arial"/>
          <w:color w:val="000000"/>
        </w:rPr>
        <w:t>Hivó</w:t>
      </w:r>
      <w:proofErr w:type="spellEnd"/>
      <w:r w:rsidRPr="006C2CEA">
        <w:rPr>
          <w:rFonts w:ascii="Arial" w:eastAsia="Arial" w:hAnsi="Arial" w:cs="Arial"/>
          <w:color w:val="000000"/>
        </w:rPr>
        <w:t xml:space="preserve">, a través del visitador que al efecto se designe, para que de acuerdo al calendario de visitas ordinarias programadas para el presente año, practique conjuntamente o de manera indistinta, la citada investigación, a fin de recabar las constancias necesarias, para advertir el responsable de la posible falta administrativa que pudiera surgir con motivo de los hechos expuestos en el oficio </w:t>
      </w:r>
      <w:r w:rsidRPr="006C2CEA">
        <w:rPr>
          <w:rFonts w:ascii="Arial" w:hAnsi="Arial" w:cs="Arial"/>
          <w:bCs/>
          <w:color w:val="000000" w:themeColor="text1"/>
        </w:rPr>
        <w:t xml:space="preserve">AJSG 959/2021 y sus anexos, y </w:t>
      </w:r>
      <w:r w:rsidRPr="006C2CEA">
        <w:rPr>
          <w:rFonts w:ascii="Arial" w:eastAsia="Arial" w:hAnsi="Arial" w:cs="Arial"/>
          <w:color w:val="000000"/>
        </w:rPr>
        <w:t>una vez concluida la investigación, informe a esta Comisión el resultado</w:t>
      </w:r>
      <w:r w:rsidRPr="006C2CEA">
        <w:rPr>
          <w:rFonts w:ascii="Arial" w:eastAsia="Arial" w:hAnsi="Arial" w:cs="Arial"/>
          <w:b/>
          <w:color w:val="000000"/>
        </w:rPr>
        <w:t>.- -</w:t>
      </w:r>
      <w:r w:rsidRPr="006C2CEA">
        <w:rPr>
          <w:rFonts w:ascii="Arial" w:hAnsi="Arial" w:cs="Arial"/>
          <w:bCs/>
          <w:color w:val="000000" w:themeColor="text1"/>
        </w:rPr>
        <w:t xml:space="preserve"> </w:t>
      </w:r>
      <w:bookmarkEnd w:id="8"/>
      <w:r w:rsidR="00A930CB">
        <w:rPr>
          <w:rFonts w:ascii="Arial" w:hAnsi="Arial" w:cs="Arial"/>
          <w:b/>
          <w:shd w:val="clear" w:color="auto" w:fill="FFFFFF"/>
        </w:rPr>
        <w:t xml:space="preserve">- - - - - - - - - - - - - - - - </w:t>
      </w:r>
      <w:r w:rsidR="00A930CB">
        <w:rPr>
          <w:rFonts w:ascii="Arial" w:hAnsi="Arial" w:cs="Arial"/>
          <w:b/>
          <w:shd w:val="clear" w:color="auto" w:fill="FFFFFF"/>
        </w:rPr>
        <w:t xml:space="preserve">- - - - - </w:t>
      </w:r>
      <w:r w:rsidRPr="006C2CEA">
        <w:rPr>
          <w:rFonts w:ascii="Arial" w:hAnsi="Arial" w:cs="Arial"/>
          <w:b/>
          <w:bCs/>
          <w:shd w:val="clear" w:color="auto" w:fill="FFFFFF"/>
          <w:lang w:eastAsia="es-MX"/>
        </w:rPr>
        <w:t>ACUERDO 105/</w:t>
      </w:r>
      <w:r w:rsidRPr="006C2CEA">
        <w:rPr>
          <w:rFonts w:ascii="Arial" w:eastAsia="Arial" w:hAnsi="Arial" w:cs="Arial"/>
          <w:b/>
          <w:color w:val="000000"/>
        </w:rPr>
        <w:t xml:space="preserve">05/2021. </w:t>
      </w:r>
      <w:r w:rsidRPr="006C2CEA">
        <w:rPr>
          <w:rFonts w:ascii="Arial" w:eastAsia="Arial" w:hAnsi="Arial" w:cs="Arial"/>
          <w:color w:val="000000"/>
        </w:rPr>
        <w:t xml:space="preserve">Los miembros de la Comisión de Disciplina, determinan enviar oficio a la contadora Mayra </w:t>
      </w:r>
      <w:proofErr w:type="spellStart"/>
      <w:r w:rsidRPr="006C2CEA">
        <w:rPr>
          <w:rFonts w:ascii="Arial" w:eastAsia="Arial" w:hAnsi="Arial" w:cs="Arial"/>
          <w:color w:val="000000"/>
        </w:rPr>
        <w:t>Yanel</w:t>
      </w:r>
      <w:proofErr w:type="spellEnd"/>
      <w:r w:rsidRPr="006C2CEA">
        <w:rPr>
          <w:rFonts w:ascii="Arial" w:eastAsia="Arial" w:hAnsi="Arial" w:cs="Arial"/>
          <w:color w:val="000000"/>
        </w:rPr>
        <w:t xml:space="preserve"> Ortiz López, Directora de Recursos Materiales, </w:t>
      </w:r>
      <w:bookmarkStart w:id="9" w:name="_Hlk78916161"/>
      <w:r w:rsidRPr="006C2CEA">
        <w:rPr>
          <w:rFonts w:ascii="Arial" w:eastAsia="Arial" w:hAnsi="Arial" w:cs="Arial"/>
          <w:color w:val="000000"/>
        </w:rPr>
        <w:t>en el que se le solicite justifique y comunique a esta Comisión de Disciplina, el por qué en el informe mensual de las compras relativas al mes de marzo del presente año, remitido mediante oficio RM/0619/2021, se duplico la compra de 100 hilos para coser, así como también el hecho del por qué aparece de manera reiterada como proveedor</w:t>
      </w:r>
      <w:r w:rsidR="00A930CB">
        <w:rPr>
          <w:rFonts w:ascii="Arial" w:eastAsia="Arial" w:hAnsi="Arial" w:cs="Arial"/>
          <w:color w:val="000000"/>
        </w:rPr>
        <w:t xml:space="preserve"> </w:t>
      </w:r>
      <w:r w:rsidR="00A930CB" w:rsidRPr="00A930CB">
        <w:rPr>
          <w:rFonts w:ascii="Arial" w:eastAsia="Arial" w:hAnsi="Arial" w:cs="Arial"/>
          <w:i/>
          <w:color w:val="000000"/>
        </w:rPr>
        <w:t>eliminado</w:t>
      </w:r>
      <w:r w:rsidRPr="006C2CEA">
        <w:rPr>
          <w:rFonts w:ascii="Arial" w:eastAsia="Arial" w:hAnsi="Arial" w:cs="Arial"/>
          <w:b/>
          <w:color w:val="000000"/>
        </w:rPr>
        <w:t>.-</w:t>
      </w:r>
      <w:bookmarkEnd w:id="9"/>
      <w:r w:rsidRPr="006C2CEA">
        <w:rPr>
          <w:rFonts w:ascii="Arial" w:eastAsia="Arial" w:hAnsi="Arial" w:cs="Arial"/>
          <w:b/>
          <w:color w:val="000000"/>
        </w:rPr>
        <w:t xml:space="preserve"> - - - - - - - - - - - - - - - - - - - - - - - - - - - </w:t>
      </w:r>
      <w:r w:rsidRPr="006C2CEA">
        <w:rPr>
          <w:rFonts w:ascii="Arial" w:hAnsi="Arial" w:cs="Arial"/>
          <w:b/>
          <w:bCs/>
          <w:shd w:val="clear" w:color="auto" w:fill="FFFFFF"/>
          <w:lang w:eastAsia="es-MX"/>
        </w:rPr>
        <w:t>ACUERDO 106/</w:t>
      </w:r>
      <w:r w:rsidRPr="006C2CEA">
        <w:rPr>
          <w:rFonts w:ascii="Arial" w:eastAsia="Arial" w:hAnsi="Arial" w:cs="Arial"/>
          <w:b/>
          <w:color w:val="000000"/>
        </w:rPr>
        <w:t xml:space="preserve">05/2021. </w:t>
      </w:r>
      <w:r w:rsidRPr="006C2CEA">
        <w:rPr>
          <w:rFonts w:ascii="Arial" w:eastAsia="Arial" w:hAnsi="Arial" w:cs="Arial"/>
          <w:color w:val="000000"/>
        </w:rPr>
        <w:t xml:space="preserve">Los miembros de la Comisión de Disciplina, toman conocimiento de lo expuesto en el de cuenta y </w:t>
      </w:r>
      <w:bookmarkStart w:id="10" w:name="_Hlk78916696"/>
      <w:r w:rsidRPr="006C2CEA">
        <w:rPr>
          <w:rFonts w:ascii="Arial" w:eastAsia="Arial" w:hAnsi="Arial" w:cs="Arial"/>
          <w:color w:val="000000"/>
        </w:rPr>
        <w:t xml:space="preserve">con fundamento en el artículo 40 fracción IV del Reglamento Interior del Consejo de la Judicatura del Poder Judicial del Estado, determinan girar el oficio correspondiente a la contadora Victoria Eugenia García Gómez, Directora General de Recursos Financieros, para que en atención a lo manifestado por la </w:t>
      </w:r>
      <w:r w:rsidRPr="006C2CEA">
        <w:rPr>
          <w:rFonts w:ascii="Arial" w:hAnsi="Arial" w:cs="Arial"/>
          <w:bCs/>
          <w:color w:val="000000" w:themeColor="text1"/>
        </w:rPr>
        <w:t xml:space="preserve">licenciada Ofelia Contreras Guerrero, se sirva ordena a quien corresponda a efecto de que lleve a cabo los tramites conducentes para la reimpresión de los siguientes billetes de depósito, DC 0165125, con fecha de expedición de catorce de enero de dos mil quince, por la cantidad de $5,000.00 (CINCO MIL PESOS 00/100 M.N), por concepto de suspensión condicional, RM </w:t>
      </w:r>
      <w:r w:rsidRPr="006C2CEA">
        <w:rPr>
          <w:rFonts w:ascii="Arial" w:hAnsi="Arial" w:cs="Arial"/>
          <w:bCs/>
          <w:color w:val="000000" w:themeColor="text1"/>
        </w:rPr>
        <w:lastRenderedPageBreak/>
        <w:t>5193, con fecha de expedición de treinta de abril de dos mil quince, por la cantidad de $ 2,455.00 (DOS MIL CUATROCIENTOS CINCUENTA Y CINCO PESOS 00/100),  por concepto de delito contra la salud, y RM 7019, con fecha de expedición de uno de octubre del dos mil quince, por la cantidad de $354.48 (TRESCIENTOS CINCUENTA Y CUATRO PESOS 48/100 M.N) por el concepto de sanción pecuniaria</w:t>
      </w:r>
      <w:bookmarkEnd w:id="10"/>
      <w:r w:rsidRPr="006C2CEA">
        <w:rPr>
          <w:rFonts w:ascii="Arial" w:hAnsi="Arial" w:cs="Arial"/>
          <w:b/>
          <w:bCs/>
          <w:color w:val="000000" w:themeColor="text1"/>
        </w:rPr>
        <w:t>.- - - - -</w:t>
      </w:r>
      <w:r w:rsidR="00A930CB">
        <w:rPr>
          <w:rFonts w:ascii="Arial" w:hAnsi="Arial" w:cs="Arial"/>
          <w:bCs/>
          <w:color w:val="000000" w:themeColor="text1"/>
        </w:rPr>
        <w:t xml:space="preserve"> </w:t>
      </w:r>
      <w:r w:rsidR="00A930CB">
        <w:rPr>
          <w:rFonts w:ascii="Arial" w:hAnsi="Arial" w:cs="Arial"/>
          <w:b/>
          <w:shd w:val="clear" w:color="auto" w:fill="FFFFFF"/>
        </w:rPr>
        <w:t xml:space="preserve">- - - - - - - - - - - - - - - - - - - - - - - - - - - - - - - - - - - - - - - - - - - - - - - - </w:t>
      </w:r>
      <w:bookmarkStart w:id="11" w:name="_GoBack"/>
      <w:bookmarkEnd w:id="11"/>
      <w:r w:rsidRPr="006C2CEA">
        <w:rPr>
          <w:rFonts w:ascii="Arial" w:hAnsi="Arial" w:cs="Arial"/>
          <w:bCs/>
          <w:color w:val="000000" w:themeColor="text1"/>
        </w:rPr>
        <w:t xml:space="preserve">   </w:t>
      </w:r>
      <w:r w:rsidRPr="006C2CEA">
        <w:rPr>
          <w:rFonts w:ascii="Arial" w:eastAsia="Arial" w:hAnsi="Arial" w:cs="Arial"/>
          <w:color w:val="000000"/>
        </w:rPr>
        <w:t xml:space="preserve">   </w:t>
      </w:r>
    </w:p>
    <w:sectPr w:rsidR="00D969B7" w:rsidRPr="006C2CE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1023"/>
    <w:rsid w:val="0033291C"/>
    <w:rsid w:val="003904F1"/>
    <w:rsid w:val="00451355"/>
    <w:rsid w:val="004E59F9"/>
    <w:rsid w:val="00557FA7"/>
    <w:rsid w:val="006C2CEA"/>
    <w:rsid w:val="008219C4"/>
    <w:rsid w:val="00A81023"/>
    <w:rsid w:val="00A930CB"/>
    <w:rsid w:val="00D969B7"/>
    <w:rsid w:val="00DF574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E7208"/>
  <w15:chartTrackingRefBased/>
  <w15:docId w15:val="{AA0B851E-FADB-42A1-A5F7-EE8623EF2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451355"/>
    <w:pPr>
      <w:suppressAutoHyphens/>
      <w:spacing w:after="0" w:line="240" w:lineRule="auto"/>
    </w:pPr>
    <w:rPr>
      <w:rFonts w:ascii="Times New Roman" w:eastAsia="Times New Roman" w:hAnsi="Times New Roman" w:cs="Times New Roman"/>
      <w:color w:val="00000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8</Pages>
  <Words>2801</Words>
  <Characters>15406</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18171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ALMA GUADALUPE GONZALEZ HERNANDEZ</dc:creator>
  <cp:keywords/>
  <dc:description/>
  <cp:lastModifiedBy>MARIA ESTHER ARELLANO CELESTINO</cp:lastModifiedBy>
  <cp:revision>10</cp:revision>
  <dcterms:created xsi:type="dcterms:W3CDTF">2020-04-28T17:30:00Z</dcterms:created>
  <dcterms:modified xsi:type="dcterms:W3CDTF">2021-08-10T14:05:00Z</dcterms:modified>
</cp:coreProperties>
</file>