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54E7" w:rsidRPr="00A870C1" w:rsidRDefault="00E254E7" w:rsidP="00E254E7">
      <w:pPr>
        <w:pStyle w:val="Textoindependiente"/>
        <w:spacing w:before="100" w:beforeAutospacing="1" w:after="100" w:afterAutospacing="1"/>
        <w:ind w:firstLine="1134"/>
        <w:rPr>
          <w:rFonts w:ascii="Arial" w:hAnsi="Arial" w:cs="Arial"/>
          <w:b/>
          <w:sz w:val="26"/>
          <w:szCs w:val="24"/>
        </w:rPr>
      </w:pPr>
      <w:bookmarkStart w:id="0" w:name="_GoBack"/>
      <w:bookmarkEnd w:id="0"/>
      <w:r w:rsidRPr="00A870C1">
        <w:rPr>
          <w:rFonts w:ascii="Arial" w:hAnsi="Arial" w:cs="Arial"/>
          <w:b/>
          <w:sz w:val="26"/>
          <w:szCs w:val="24"/>
        </w:rPr>
        <w:t xml:space="preserve">San Luis Potosí, S.L.P., a </w:t>
      </w:r>
      <w:r>
        <w:rPr>
          <w:rFonts w:ascii="Arial" w:hAnsi="Arial" w:cs="Arial"/>
          <w:b/>
          <w:sz w:val="26"/>
          <w:szCs w:val="24"/>
        </w:rPr>
        <w:t xml:space="preserve">14 catorce </w:t>
      </w:r>
      <w:r w:rsidRPr="00A870C1">
        <w:rPr>
          <w:rFonts w:ascii="Arial" w:hAnsi="Arial" w:cs="Arial"/>
          <w:b/>
          <w:sz w:val="26"/>
          <w:szCs w:val="24"/>
        </w:rPr>
        <w:t xml:space="preserve">de </w:t>
      </w:r>
      <w:r>
        <w:rPr>
          <w:rFonts w:ascii="Arial" w:hAnsi="Arial" w:cs="Arial"/>
          <w:b/>
          <w:sz w:val="26"/>
          <w:szCs w:val="24"/>
        </w:rPr>
        <w:t>octubre</w:t>
      </w:r>
      <w:r w:rsidRPr="00A870C1">
        <w:rPr>
          <w:rFonts w:ascii="Arial" w:hAnsi="Arial" w:cs="Arial"/>
          <w:b/>
          <w:sz w:val="26"/>
          <w:szCs w:val="24"/>
        </w:rPr>
        <w:t xml:space="preserve"> de 2021 dos mil veintiuno.</w:t>
      </w:r>
    </w:p>
    <w:p w:rsidR="00E254E7" w:rsidRPr="00A870C1" w:rsidRDefault="00E254E7" w:rsidP="00E254E7">
      <w:pPr>
        <w:spacing w:before="100" w:beforeAutospacing="1" w:after="100" w:afterAutospacing="1" w:line="360" w:lineRule="auto"/>
        <w:ind w:firstLine="1134"/>
        <w:jc w:val="both"/>
        <w:rPr>
          <w:rFonts w:ascii="Arial" w:hAnsi="Arial" w:cs="Arial"/>
          <w:bCs/>
          <w:sz w:val="26"/>
          <w:szCs w:val="26"/>
          <w:lang w:val="es-ES_tradnl"/>
        </w:rPr>
      </w:pPr>
      <w:r w:rsidRPr="00A870C1">
        <w:rPr>
          <w:rFonts w:ascii="Arial" w:hAnsi="Arial" w:cs="Arial"/>
          <w:b/>
          <w:sz w:val="26"/>
          <w:szCs w:val="26"/>
        </w:rPr>
        <w:t>Visto</w:t>
      </w:r>
      <w:r w:rsidRPr="00A870C1">
        <w:rPr>
          <w:rFonts w:ascii="Arial" w:hAnsi="Arial" w:cs="Arial"/>
          <w:sz w:val="26"/>
          <w:szCs w:val="26"/>
        </w:rPr>
        <w:t xml:space="preserve">, </w:t>
      </w:r>
      <w:r>
        <w:rPr>
          <w:rFonts w:ascii="Arial" w:hAnsi="Arial" w:cs="Arial"/>
          <w:sz w:val="26"/>
          <w:szCs w:val="26"/>
        </w:rPr>
        <w:t xml:space="preserve">para resolver </w:t>
      </w:r>
      <w:r w:rsidRPr="003F05D7">
        <w:rPr>
          <w:rFonts w:ascii="Arial" w:hAnsi="Arial" w:cs="Arial"/>
          <w:sz w:val="26"/>
          <w:szCs w:val="26"/>
        </w:rPr>
        <w:t xml:space="preserve">el Toca Número </w:t>
      </w:r>
      <w:r w:rsidRPr="003F05D7">
        <w:rPr>
          <w:rFonts w:ascii="Arial" w:hAnsi="Arial" w:cs="Arial"/>
          <w:b/>
          <w:bCs/>
          <w:sz w:val="26"/>
          <w:szCs w:val="26"/>
        </w:rPr>
        <w:t>133-</w:t>
      </w:r>
      <w:r w:rsidRPr="00A870C1">
        <w:rPr>
          <w:rFonts w:ascii="Arial" w:hAnsi="Arial" w:cs="Arial"/>
          <w:b/>
          <w:bCs/>
          <w:sz w:val="26"/>
          <w:szCs w:val="26"/>
        </w:rPr>
        <w:t>2021</w:t>
      </w:r>
      <w:r w:rsidRPr="00A870C1">
        <w:rPr>
          <w:rFonts w:ascii="Arial" w:hAnsi="Arial" w:cs="Arial"/>
          <w:sz w:val="26"/>
          <w:szCs w:val="26"/>
        </w:rPr>
        <w:t xml:space="preserve">, formado con el </w:t>
      </w:r>
      <w:r w:rsidRPr="00A870C1">
        <w:rPr>
          <w:rFonts w:ascii="Arial" w:hAnsi="Arial" w:cs="Arial"/>
          <w:bCs/>
          <w:sz w:val="26"/>
          <w:szCs w:val="26"/>
        </w:rPr>
        <w:t>recurso de queja</w:t>
      </w:r>
      <w:r w:rsidRPr="00A870C1">
        <w:rPr>
          <w:rFonts w:ascii="Arial" w:hAnsi="Arial" w:cs="Arial"/>
          <w:sz w:val="26"/>
          <w:szCs w:val="26"/>
        </w:rPr>
        <w:t xml:space="preserve"> interpuesto por </w:t>
      </w:r>
      <w:r w:rsidRPr="00E254E7">
        <w:rPr>
          <w:rFonts w:ascii="Arial" w:hAnsi="Arial" w:cs="Arial"/>
          <w:b/>
          <w:iCs/>
          <w:sz w:val="26"/>
          <w:szCs w:val="26"/>
        </w:rPr>
        <w:t xml:space="preserve"> ELIMINADO </w:t>
      </w:r>
      <w:r w:rsidRPr="00A870C1">
        <w:rPr>
          <w:rFonts w:ascii="Arial" w:hAnsi="Arial" w:cs="Arial"/>
          <w:sz w:val="26"/>
          <w:szCs w:val="26"/>
        </w:rPr>
        <w:t xml:space="preserve"> contra la interlocutoria de liquidación de intereses de 13 trece de julio de 2021 dos mil veintiuno, pronunciada en el expediente número </w:t>
      </w:r>
      <w:r w:rsidRPr="00E254E7">
        <w:rPr>
          <w:rFonts w:ascii="Arial" w:hAnsi="Arial" w:cs="Arial"/>
          <w:b/>
          <w:sz w:val="26"/>
          <w:szCs w:val="26"/>
        </w:rPr>
        <w:t>ELI</w:t>
      </w:r>
      <w:r>
        <w:rPr>
          <w:rFonts w:ascii="Arial" w:hAnsi="Arial" w:cs="Arial"/>
          <w:b/>
          <w:sz w:val="26"/>
          <w:szCs w:val="26"/>
        </w:rPr>
        <w:t>MINADO</w:t>
      </w:r>
      <w:r w:rsidRPr="00A870C1">
        <w:rPr>
          <w:rFonts w:ascii="Arial" w:hAnsi="Arial" w:cs="Arial"/>
          <w:bCs/>
          <w:sz w:val="26"/>
          <w:szCs w:val="26"/>
        </w:rPr>
        <w:t xml:space="preserve">, del índice del Juzgado Tercero Civil de esta Capital, </w:t>
      </w:r>
      <w:r w:rsidRPr="00A870C1">
        <w:rPr>
          <w:rFonts w:ascii="Arial" w:hAnsi="Arial" w:cs="Arial"/>
          <w:sz w:val="26"/>
          <w:szCs w:val="26"/>
        </w:rPr>
        <w:t xml:space="preserve">relativo al </w:t>
      </w:r>
      <w:r w:rsidRPr="00A870C1">
        <w:rPr>
          <w:rFonts w:ascii="Arial" w:hAnsi="Arial" w:cs="Arial"/>
          <w:bCs/>
          <w:sz w:val="26"/>
          <w:szCs w:val="26"/>
        </w:rPr>
        <w:t>juicio extraordinario civil hipotecario,</w:t>
      </w:r>
      <w:r w:rsidRPr="00A870C1">
        <w:rPr>
          <w:rFonts w:ascii="Arial" w:hAnsi="Arial" w:cs="Arial"/>
          <w:sz w:val="26"/>
          <w:szCs w:val="26"/>
        </w:rPr>
        <w:t xml:space="preserve"> promovido </w:t>
      </w:r>
      <w:r>
        <w:rPr>
          <w:rFonts w:ascii="Arial" w:hAnsi="Arial" w:cs="Arial"/>
          <w:sz w:val="26"/>
          <w:szCs w:val="26"/>
        </w:rPr>
        <w:t>por</w:t>
      </w:r>
      <w:r>
        <w:rPr>
          <w:rFonts w:ascii="Arial" w:hAnsi="Arial" w:cs="Arial"/>
          <w:b/>
          <w:sz w:val="26"/>
          <w:szCs w:val="26"/>
        </w:rPr>
        <w:t xml:space="preserve"> ELIMINADO</w:t>
      </w:r>
      <w:r w:rsidRPr="00A870C1">
        <w:rPr>
          <w:rFonts w:ascii="Arial" w:hAnsi="Arial" w:cs="Arial"/>
          <w:b/>
          <w:sz w:val="26"/>
          <w:szCs w:val="26"/>
        </w:rPr>
        <w:t xml:space="preserve">, </w:t>
      </w:r>
      <w:r w:rsidRPr="00A870C1">
        <w:rPr>
          <w:rFonts w:ascii="Arial" w:hAnsi="Arial" w:cs="Arial"/>
          <w:sz w:val="26"/>
          <w:szCs w:val="26"/>
        </w:rPr>
        <w:t xml:space="preserve">y continuado por </w:t>
      </w:r>
      <w:r>
        <w:rPr>
          <w:rFonts w:ascii="Arial" w:hAnsi="Arial" w:cs="Arial"/>
          <w:b/>
          <w:sz w:val="26"/>
          <w:szCs w:val="26"/>
        </w:rPr>
        <w:t xml:space="preserve"> ELIMINADO</w:t>
      </w:r>
      <w:r w:rsidRPr="00A870C1">
        <w:rPr>
          <w:rFonts w:ascii="Arial" w:hAnsi="Arial" w:cs="Arial"/>
          <w:sz w:val="26"/>
          <w:szCs w:val="26"/>
        </w:rPr>
        <w:t xml:space="preserve">, </w:t>
      </w:r>
      <w:r w:rsidRPr="00A870C1">
        <w:rPr>
          <w:rFonts w:ascii="Arial" w:hAnsi="Arial" w:cs="Arial"/>
          <w:sz w:val="26"/>
          <w:szCs w:val="24"/>
        </w:rPr>
        <w:t xml:space="preserve">en su carácter de cesionario de los derechos de crédito, litigiosos y derechos derivados de los mismos, </w:t>
      </w:r>
      <w:r w:rsidRPr="00A870C1">
        <w:rPr>
          <w:rFonts w:ascii="Arial" w:hAnsi="Arial" w:cs="Arial"/>
          <w:sz w:val="26"/>
          <w:szCs w:val="26"/>
        </w:rPr>
        <w:t xml:space="preserve">por conducto de su apoderado legal licenciado </w:t>
      </w:r>
      <w:r w:rsidRPr="00E254E7">
        <w:rPr>
          <w:rFonts w:ascii="Arial" w:hAnsi="Arial" w:cs="Arial"/>
          <w:b/>
          <w:sz w:val="26"/>
          <w:szCs w:val="26"/>
        </w:rPr>
        <w:t xml:space="preserve"> ELIMINADO </w:t>
      </w:r>
      <w:r w:rsidRPr="00A870C1">
        <w:rPr>
          <w:rFonts w:ascii="Arial" w:hAnsi="Arial" w:cs="Arial"/>
          <w:sz w:val="26"/>
          <w:szCs w:val="26"/>
        </w:rPr>
        <w:t xml:space="preserve">en contra de </w:t>
      </w:r>
      <w:r>
        <w:rPr>
          <w:rFonts w:ascii="Arial" w:hAnsi="Arial" w:cs="Arial"/>
          <w:b/>
          <w:sz w:val="26"/>
          <w:szCs w:val="26"/>
        </w:rPr>
        <w:t xml:space="preserve"> ELIMINADO</w:t>
      </w:r>
      <w:r w:rsidRPr="00A870C1">
        <w:rPr>
          <w:rFonts w:ascii="Arial" w:hAnsi="Arial" w:cs="Arial"/>
          <w:sz w:val="26"/>
          <w:szCs w:val="26"/>
        </w:rPr>
        <w:t>; y,</w:t>
      </w:r>
    </w:p>
    <w:p w:rsidR="00E254E7" w:rsidRPr="00A870C1" w:rsidRDefault="00E254E7" w:rsidP="00E254E7">
      <w:pPr>
        <w:pStyle w:val="Ttulo1"/>
        <w:spacing w:before="100" w:beforeAutospacing="1" w:after="100" w:afterAutospacing="1"/>
        <w:ind w:firstLine="1134"/>
        <w:rPr>
          <w:rFonts w:ascii="Arial" w:hAnsi="Arial" w:cs="Arial"/>
          <w:sz w:val="26"/>
          <w:szCs w:val="24"/>
        </w:rPr>
      </w:pPr>
      <w:r w:rsidRPr="00A870C1">
        <w:rPr>
          <w:rFonts w:ascii="Arial" w:hAnsi="Arial" w:cs="Arial"/>
          <w:sz w:val="26"/>
          <w:szCs w:val="24"/>
        </w:rPr>
        <w:t>R e s u l t a n d o:</w:t>
      </w:r>
    </w:p>
    <w:p w:rsidR="00E254E7" w:rsidRPr="00A870C1" w:rsidRDefault="00E254E7" w:rsidP="00E254E7">
      <w:pPr>
        <w:spacing w:before="100" w:beforeAutospacing="1" w:after="100" w:afterAutospacing="1"/>
        <w:ind w:firstLine="1134"/>
        <w:jc w:val="both"/>
        <w:rPr>
          <w:rFonts w:ascii="Arial" w:hAnsi="Arial" w:cs="Arial"/>
          <w:b/>
          <w:bCs/>
          <w:sz w:val="26"/>
          <w:lang w:val="es-MX"/>
        </w:rPr>
      </w:pPr>
      <w:r w:rsidRPr="00A870C1">
        <w:rPr>
          <w:rFonts w:ascii="Arial" w:hAnsi="Arial" w:cs="Arial"/>
          <w:b/>
          <w:sz w:val="26"/>
          <w:szCs w:val="24"/>
        </w:rPr>
        <w:t xml:space="preserve">Único. </w:t>
      </w:r>
      <w:r w:rsidRPr="00A870C1">
        <w:rPr>
          <w:rFonts w:ascii="Arial" w:hAnsi="Arial" w:cs="Arial"/>
          <w:b/>
          <w:bCs/>
          <w:sz w:val="26"/>
          <w:lang w:val="es-MX"/>
        </w:rPr>
        <w:t>Substanciación del Recurso de Queja.</w:t>
      </w:r>
    </w:p>
    <w:p w:rsidR="00E254E7" w:rsidRPr="00A870C1" w:rsidRDefault="00E254E7" w:rsidP="00E254E7">
      <w:pPr>
        <w:spacing w:before="100" w:beforeAutospacing="1" w:after="100" w:afterAutospacing="1" w:line="360" w:lineRule="auto"/>
        <w:ind w:firstLine="1134"/>
        <w:jc w:val="both"/>
        <w:rPr>
          <w:rFonts w:ascii="Arial" w:hAnsi="Arial" w:cs="Arial"/>
          <w:bCs/>
          <w:sz w:val="26"/>
          <w:szCs w:val="26"/>
          <w:lang w:val="es-ES_tradnl"/>
        </w:rPr>
      </w:pPr>
      <w:r w:rsidRPr="00A870C1">
        <w:rPr>
          <w:rFonts w:ascii="Arial" w:hAnsi="Arial" w:cs="Arial"/>
          <w:sz w:val="26"/>
          <w:szCs w:val="24"/>
        </w:rPr>
        <w:t xml:space="preserve">La Presidencia de este Tribunal, por autos pronunciados los días 03 tres y 11 once de agosto de la presente anualidad, </w:t>
      </w:r>
      <w:r w:rsidRPr="00A870C1">
        <w:rPr>
          <w:rFonts w:ascii="Arial" w:hAnsi="Arial" w:cs="Arial"/>
          <w:bCs/>
          <w:sz w:val="26"/>
          <w:szCs w:val="26"/>
          <w:lang w:val="es-ES_tradnl"/>
        </w:rPr>
        <w:t xml:space="preserve">en su orden, </w:t>
      </w:r>
      <w:r>
        <w:rPr>
          <w:rFonts w:ascii="Arial" w:hAnsi="Arial" w:cs="Arial"/>
          <w:bCs/>
          <w:sz w:val="26"/>
          <w:szCs w:val="26"/>
          <w:lang w:val="es-ES_tradnl"/>
        </w:rPr>
        <w:t>recibió</w:t>
      </w:r>
      <w:r w:rsidRPr="00A870C1">
        <w:rPr>
          <w:rFonts w:ascii="Arial" w:hAnsi="Arial" w:cs="Arial"/>
          <w:bCs/>
          <w:sz w:val="26"/>
          <w:szCs w:val="26"/>
          <w:lang w:val="es-ES_tradnl"/>
        </w:rPr>
        <w:t xml:space="preserve"> los escritos presentados por </w:t>
      </w:r>
      <w:r w:rsidRPr="00E254E7">
        <w:rPr>
          <w:rFonts w:ascii="Arial" w:hAnsi="Arial" w:cs="Arial"/>
          <w:b/>
          <w:iCs/>
          <w:sz w:val="26"/>
          <w:szCs w:val="24"/>
        </w:rPr>
        <w:t xml:space="preserve">ELIMINADO </w:t>
      </w:r>
      <w:r w:rsidRPr="00A870C1">
        <w:rPr>
          <w:rFonts w:ascii="Arial" w:hAnsi="Arial" w:cs="Arial"/>
          <w:sz w:val="26"/>
          <w:szCs w:val="24"/>
        </w:rPr>
        <w:t>mediante el cual interpuso</w:t>
      </w:r>
      <w:r w:rsidRPr="00A870C1">
        <w:rPr>
          <w:rFonts w:ascii="Arial" w:hAnsi="Arial" w:cs="Arial"/>
          <w:sz w:val="26"/>
          <w:szCs w:val="26"/>
        </w:rPr>
        <w:t xml:space="preserve"> el</w:t>
      </w:r>
      <w:r w:rsidRPr="00A870C1">
        <w:rPr>
          <w:rFonts w:ascii="Arial" w:hAnsi="Arial" w:cs="Arial"/>
          <w:sz w:val="26"/>
          <w:szCs w:val="24"/>
        </w:rPr>
        <w:t xml:space="preserve"> recurso de queja del que se conoce, y el suscrito por el licenciado </w:t>
      </w:r>
      <w:r>
        <w:rPr>
          <w:rFonts w:ascii="Arial" w:hAnsi="Arial" w:cs="Arial"/>
          <w:b/>
          <w:sz w:val="26"/>
          <w:szCs w:val="24"/>
        </w:rPr>
        <w:t>ELIMINADO</w:t>
      </w:r>
      <w:r w:rsidRPr="00A870C1">
        <w:rPr>
          <w:rFonts w:ascii="Arial" w:hAnsi="Arial" w:cs="Arial"/>
          <w:b/>
          <w:sz w:val="26"/>
          <w:szCs w:val="24"/>
        </w:rPr>
        <w:t xml:space="preserve">, </w:t>
      </w:r>
      <w:r w:rsidRPr="00A870C1">
        <w:rPr>
          <w:rFonts w:ascii="Arial" w:hAnsi="Arial" w:cs="Arial"/>
          <w:sz w:val="26"/>
          <w:szCs w:val="24"/>
        </w:rPr>
        <w:t xml:space="preserve">en su carácter de abogado autorizado de </w:t>
      </w:r>
      <w:r>
        <w:rPr>
          <w:rFonts w:ascii="Arial" w:hAnsi="Arial" w:cs="Arial"/>
          <w:b/>
          <w:sz w:val="26"/>
          <w:szCs w:val="24"/>
        </w:rPr>
        <w:t xml:space="preserve"> ELIMINADO</w:t>
      </w:r>
      <w:r w:rsidRPr="00A870C1">
        <w:rPr>
          <w:rFonts w:ascii="Arial" w:hAnsi="Arial" w:cs="Arial"/>
          <w:sz w:val="26"/>
          <w:szCs w:val="24"/>
        </w:rPr>
        <w:t>, mediante el cual evacuó la vista que se le dio con el recurso de queja y realizó las manifestaciones que a su derecho convino</w:t>
      </w:r>
      <w:r w:rsidRPr="00A870C1">
        <w:rPr>
          <w:rFonts w:ascii="Arial" w:hAnsi="Arial" w:cs="Arial"/>
          <w:bCs/>
          <w:sz w:val="26"/>
          <w:szCs w:val="26"/>
          <w:lang w:val="es-ES_tradnl"/>
        </w:rPr>
        <w:t xml:space="preserve">; en dichos proveídos, se reservó el acuerdo hasta en tanto obrara en autos el informe a que se refiere el artículo 973 del </w:t>
      </w:r>
      <w:r w:rsidRPr="003F05D7">
        <w:rPr>
          <w:rFonts w:ascii="Arial" w:hAnsi="Arial" w:cs="Arial"/>
          <w:bCs/>
          <w:sz w:val="26"/>
          <w:szCs w:val="26"/>
          <w:lang w:val="es-ES_tradnl"/>
        </w:rPr>
        <w:t>Código de Procedimientos Civiles del Estado; asimismo, en términos del artículo 73, fracción II, de la Ley General de Transparencia y Acceso a la Información Pública, en relación con el artículo 87, fracción III, de la correlativa Ley Estatal, se ordenó hacer del conocimiento de las</w:t>
      </w:r>
      <w:r w:rsidRPr="00A870C1">
        <w:rPr>
          <w:rFonts w:ascii="Arial" w:hAnsi="Arial" w:cs="Arial"/>
          <w:bCs/>
          <w:sz w:val="26"/>
          <w:szCs w:val="26"/>
          <w:lang w:val="es-ES_tradnl"/>
        </w:rPr>
        <w:t xml:space="preserve"> partes, que las sentencias definitivas, interlocutorias y cumplimiento</w:t>
      </w:r>
      <w:r>
        <w:rPr>
          <w:rFonts w:ascii="Arial" w:hAnsi="Arial" w:cs="Arial"/>
          <w:bCs/>
          <w:sz w:val="26"/>
          <w:szCs w:val="26"/>
          <w:lang w:val="es-ES_tradnl"/>
        </w:rPr>
        <w:t>s</w:t>
      </w:r>
      <w:r w:rsidRPr="00A870C1">
        <w:rPr>
          <w:rFonts w:ascii="Arial" w:hAnsi="Arial" w:cs="Arial"/>
          <w:bCs/>
          <w:sz w:val="26"/>
          <w:szCs w:val="26"/>
          <w:lang w:val="es-ES_tradnl"/>
        </w:rPr>
        <w:t xml:space="preserve"> de ejecutorias de amparo, que en su caso se dicten en el presente asunto, una vez que hayan causado ejecutoria, estarán a disposición del público para su consulta cuando así se solicite, a través de la difusión en la plataforma electrónica a que se refiere el numeral 49 de la precitada Ley General; y, con fundamento en el artículo 121 del Código de Procedimientos Civiles </w:t>
      </w:r>
      <w:r>
        <w:rPr>
          <w:rFonts w:ascii="Arial" w:hAnsi="Arial" w:cs="Arial"/>
          <w:bCs/>
          <w:sz w:val="26"/>
          <w:szCs w:val="26"/>
          <w:lang w:val="es-ES_tradnl"/>
        </w:rPr>
        <w:t>del Estado</w:t>
      </w:r>
      <w:r w:rsidRPr="00A870C1">
        <w:rPr>
          <w:rFonts w:ascii="Arial" w:hAnsi="Arial" w:cs="Arial"/>
          <w:bCs/>
          <w:sz w:val="26"/>
          <w:szCs w:val="26"/>
          <w:lang w:val="es-ES_tradnl"/>
        </w:rPr>
        <w:t xml:space="preserve">, se ordenó hacer del conocimiento de las partes, que en los asuntos jurisdiccionales que se manden </w:t>
      </w:r>
      <w:r w:rsidRPr="00A870C1">
        <w:rPr>
          <w:rFonts w:ascii="Arial" w:hAnsi="Arial" w:cs="Arial"/>
          <w:bCs/>
          <w:sz w:val="26"/>
          <w:szCs w:val="26"/>
          <w:lang w:val="es-ES_tradnl"/>
        </w:rPr>
        <w:lastRenderedPageBreak/>
        <w:t>notificar por edictos, estrados, listas, así como en la página de internet del Poder Judicial del Estado, se publicarán el nombre y apellidos completos de los interesados, y el derecho que tienen a manifestar, hasta antes que se dicte sentencia, su conformidad o no, para que sus datos personales señalados en el artículo 3°, fracción XI, de la invocada Ley Estatal, se incluyan en la publicación que se haga del presente fallo, en el entendido de que la falta de oposición expresa hará presumir su consentimiento para ello.</w:t>
      </w:r>
    </w:p>
    <w:p w:rsidR="00E254E7" w:rsidRPr="004037AC" w:rsidRDefault="00E254E7" w:rsidP="00E254E7">
      <w:pPr>
        <w:spacing w:before="100" w:beforeAutospacing="1" w:line="360" w:lineRule="auto"/>
        <w:ind w:firstLine="1134"/>
        <w:jc w:val="both"/>
        <w:rPr>
          <w:rFonts w:ascii="Arial" w:hAnsi="Arial" w:cs="Arial"/>
          <w:sz w:val="26"/>
          <w:szCs w:val="24"/>
        </w:rPr>
      </w:pPr>
      <w:r w:rsidRPr="00A870C1">
        <w:rPr>
          <w:rFonts w:ascii="Arial" w:hAnsi="Arial" w:cs="Arial"/>
          <w:bCs/>
          <w:sz w:val="26"/>
          <w:szCs w:val="26"/>
          <w:lang w:val="es-ES_tradnl"/>
        </w:rPr>
        <w:t>En diverso acuerdo de 23 veintitrés de agosto del año en curso, se tuvo al licenciado Javier García Rodríguez, Juez Tercero del Ramo Civil</w:t>
      </w:r>
      <w:r w:rsidRPr="00A870C1">
        <w:rPr>
          <w:rFonts w:ascii="Arial" w:hAnsi="Arial" w:cs="Arial"/>
          <w:sz w:val="26"/>
          <w:szCs w:val="24"/>
        </w:rPr>
        <w:t>,</w:t>
      </w:r>
      <w:r w:rsidRPr="00A870C1">
        <w:rPr>
          <w:rFonts w:ascii="Arial" w:hAnsi="Arial" w:cs="Arial"/>
          <w:bCs/>
          <w:sz w:val="26"/>
          <w:szCs w:val="26"/>
          <w:lang w:val="es-ES_tradnl"/>
        </w:rPr>
        <w:t xml:space="preserve"> por rindiendo el informe a que se refiere el artículo 973 del Código de Procedimientos Civiles </w:t>
      </w:r>
      <w:r>
        <w:rPr>
          <w:rFonts w:ascii="Arial" w:hAnsi="Arial" w:cs="Arial"/>
          <w:bCs/>
          <w:sz w:val="26"/>
          <w:szCs w:val="26"/>
          <w:lang w:val="es-ES_tradnl"/>
        </w:rPr>
        <w:t>d</w:t>
      </w:r>
      <w:r w:rsidRPr="00A870C1">
        <w:rPr>
          <w:rFonts w:ascii="Arial" w:hAnsi="Arial" w:cs="Arial"/>
          <w:bCs/>
          <w:sz w:val="26"/>
          <w:szCs w:val="26"/>
          <w:lang w:val="es-ES_tradnl"/>
        </w:rPr>
        <w:t>el Estado, quien lo efectuó mediante oficio 2588/2021, al que acompañó testimonio de constancias del expediente</w:t>
      </w:r>
      <w:r w:rsidRPr="00A870C1">
        <w:rPr>
          <w:rFonts w:ascii="Arial" w:hAnsi="Arial" w:cs="Arial"/>
          <w:b/>
          <w:bCs/>
          <w:sz w:val="26"/>
          <w:szCs w:val="26"/>
          <w:lang w:val="es-ES_tradnl"/>
        </w:rPr>
        <w:t xml:space="preserve"> </w:t>
      </w:r>
      <w:r w:rsidRPr="00E254E7">
        <w:rPr>
          <w:rFonts w:ascii="Arial" w:hAnsi="Arial" w:cs="Arial"/>
          <w:b/>
          <w:bCs/>
          <w:sz w:val="26"/>
          <w:szCs w:val="26"/>
          <w:lang w:val="es-ES_tradnl"/>
        </w:rPr>
        <w:t xml:space="preserve">ELIMINADO </w:t>
      </w:r>
      <w:r w:rsidRPr="00A870C1">
        <w:rPr>
          <w:rFonts w:ascii="Arial" w:hAnsi="Arial" w:cs="Arial"/>
          <w:bCs/>
          <w:sz w:val="26"/>
          <w:szCs w:val="26"/>
          <w:lang w:val="es-ES_tradnl"/>
        </w:rPr>
        <w:t xml:space="preserve">del índice de dicho órgano jurisdiccional; </w:t>
      </w:r>
      <w:r w:rsidRPr="00A870C1">
        <w:rPr>
          <w:rFonts w:ascii="Arial" w:hAnsi="Arial" w:cs="Arial"/>
          <w:bCs/>
          <w:sz w:val="26"/>
          <w:szCs w:val="24"/>
        </w:rPr>
        <w:t xml:space="preserve">asimismo, </w:t>
      </w:r>
      <w:r w:rsidRPr="00A870C1">
        <w:rPr>
          <w:rFonts w:ascii="Arial" w:hAnsi="Arial" w:cs="Arial"/>
          <w:sz w:val="26"/>
          <w:szCs w:val="24"/>
        </w:rPr>
        <w:t xml:space="preserve">previa certificación realizada por la Secretaría General de la Presidencia del Supremo Tribunal de Justicia del Estado, respecto del término para que </w:t>
      </w:r>
      <w:r w:rsidRPr="00E254E7">
        <w:rPr>
          <w:rFonts w:ascii="Arial" w:hAnsi="Arial" w:cs="Arial"/>
          <w:b/>
          <w:iCs/>
          <w:sz w:val="26"/>
          <w:szCs w:val="24"/>
        </w:rPr>
        <w:t xml:space="preserve">ELIMINADO </w:t>
      </w:r>
      <w:r w:rsidRPr="00A870C1">
        <w:rPr>
          <w:rFonts w:ascii="Arial" w:hAnsi="Arial" w:cs="Arial"/>
          <w:sz w:val="26"/>
          <w:szCs w:val="24"/>
        </w:rPr>
        <w:t xml:space="preserve">ocurriera a interponer el recurso de queja, se tuvo a la parte inconforme por interponiendo en tiempo y forma dicha impugnación, de igual manera, se tuvo al licenciado </w:t>
      </w:r>
      <w:r w:rsidRPr="00E254E7">
        <w:rPr>
          <w:rFonts w:ascii="Arial" w:hAnsi="Arial" w:cs="Arial"/>
          <w:b/>
          <w:sz w:val="26"/>
          <w:szCs w:val="24"/>
        </w:rPr>
        <w:t xml:space="preserve"> ELIMINADO</w:t>
      </w:r>
      <w:r w:rsidRPr="00A870C1">
        <w:rPr>
          <w:rFonts w:ascii="Arial" w:hAnsi="Arial" w:cs="Arial"/>
          <w:b/>
          <w:sz w:val="26"/>
          <w:szCs w:val="24"/>
        </w:rPr>
        <w:t xml:space="preserve">, </w:t>
      </w:r>
      <w:r w:rsidRPr="00A870C1">
        <w:rPr>
          <w:rFonts w:ascii="Arial" w:hAnsi="Arial" w:cs="Arial"/>
          <w:sz w:val="26"/>
          <w:szCs w:val="24"/>
        </w:rPr>
        <w:t xml:space="preserve">en su carácter de abogado autorizado de la parte actora incidentista, por </w:t>
      </w:r>
      <w:r>
        <w:rPr>
          <w:rFonts w:ascii="Arial" w:hAnsi="Arial" w:cs="Arial"/>
          <w:sz w:val="26"/>
          <w:szCs w:val="24"/>
        </w:rPr>
        <w:t>compareciendo</w:t>
      </w:r>
      <w:r w:rsidRPr="00A870C1">
        <w:rPr>
          <w:rFonts w:ascii="Arial" w:hAnsi="Arial" w:cs="Arial"/>
          <w:sz w:val="26"/>
          <w:szCs w:val="24"/>
        </w:rPr>
        <w:t xml:space="preserve"> en tiempo y forma realizando las manifestaciones que a su derecho convino; y, al no existir trámites pendientes por desahogar, se citó para resolver el negocio, correspondiendo</w:t>
      </w:r>
      <w:r>
        <w:rPr>
          <w:rFonts w:ascii="Arial" w:hAnsi="Arial" w:cs="Arial"/>
          <w:sz w:val="26"/>
          <w:szCs w:val="24"/>
        </w:rPr>
        <w:t xml:space="preserve"> por cuestión de turno</w:t>
      </w:r>
      <w:r w:rsidRPr="00A870C1">
        <w:rPr>
          <w:rFonts w:ascii="Arial" w:hAnsi="Arial" w:cs="Arial"/>
          <w:sz w:val="26"/>
          <w:szCs w:val="24"/>
        </w:rPr>
        <w:t xml:space="preserve"> a la magistrada Silvia Torres Sánchez, </w:t>
      </w:r>
      <w:r w:rsidRPr="00A870C1">
        <w:rPr>
          <w:rFonts w:ascii="Arial" w:hAnsi="Arial" w:cs="Arial"/>
          <w:bCs/>
          <w:sz w:val="26"/>
          <w:szCs w:val="26"/>
          <w:lang w:val="es-ES_tradnl"/>
        </w:rPr>
        <w:t xml:space="preserve">la formulación del respectivo proyecto de resolución, </w:t>
      </w:r>
      <w:r w:rsidRPr="00A870C1">
        <w:rPr>
          <w:rFonts w:ascii="Arial" w:hAnsi="Arial" w:cs="Arial"/>
          <w:bCs/>
          <w:sz w:val="26"/>
          <w:szCs w:val="26"/>
          <w:lang w:val="es-MX"/>
        </w:rPr>
        <w:t xml:space="preserve">a quien se le entregó </w:t>
      </w:r>
      <w:r w:rsidRPr="003F05D7">
        <w:rPr>
          <w:rFonts w:ascii="Arial" w:hAnsi="Arial" w:cs="Arial"/>
          <w:bCs/>
          <w:sz w:val="26"/>
          <w:szCs w:val="26"/>
          <w:lang w:val="es-MX"/>
        </w:rPr>
        <w:t>el Toca el 1º primero</w:t>
      </w:r>
      <w:r w:rsidRPr="00A870C1">
        <w:rPr>
          <w:rFonts w:ascii="Arial" w:hAnsi="Arial" w:cs="Arial"/>
          <w:bCs/>
          <w:sz w:val="26"/>
          <w:szCs w:val="26"/>
          <w:lang w:val="es-MX"/>
        </w:rPr>
        <w:t xml:space="preserve"> de septiembre de la presente anualidad; </w:t>
      </w:r>
      <w:r w:rsidRPr="00A870C1">
        <w:rPr>
          <w:rFonts w:ascii="Arial" w:hAnsi="Arial" w:cs="Arial"/>
          <w:bCs/>
          <w:sz w:val="26"/>
          <w:szCs w:val="26"/>
          <w:lang w:val="es-ES_tradnl"/>
        </w:rPr>
        <w:t>y,</w:t>
      </w:r>
    </w:p>
    <w:p w:rsidR="00E254E7" w:rsidRPr="00A870C1" w:rsidRDefault="00E254E7" w:rsidP="00E254E7">
      <w:pPr>
        <w:pStyle w:val="Ttulo1"/>
        <w:spacing w:before="100" w:beforeAutospacing="1" w:after="100" w:afterAutospacing="1"/>
        <w:rPr>
          <w:rFonts w:ascii="Arial" w:hAnsi="Arial" w:cs="Arial"/>
          <w:sz w:val="26"/>
          <w:szCs w:val="24"/>
        </w:rPr>
      </w:pPr>
      <w:r w:rsidRPr="00A870C1">
        <w:rPr>
          <w:rFonts w:ascii="Arial" w:hAnsi="Arial" w:cs="Arial"/>
          <w:sz w:val="26"/>
          <w:szCs w:val="24"/>
        </w:rPr>
        <w:t>C o n s i d e r a n d o:</w:t>
      </w:r>
    </w:p>
    <w:p w:rsidR="00E254E7" w:rsidRPr="00A870C1" w:rsidRDefault="00E254E7" w:rsidP="00E254E7">
      <w:pPr>
        <w:spacing w:before="100" w:beforeAutospacing="1" w:after="100" w:afterAutospacing="1"/>
        <w:ind w:firstLine="1134"/>
        <w:jc w:val="both"/>
        <w:rPr>
          <w:rFonts w:ascii="Arial" w:hAnsi="Arial" w:cs="Arial"/>
          <w:b/>
          <w:sz w:val="26"/>
        </w:rPr>
      </w:pPr>
      <w:r w:rsidRPr="00A870C1">
        <w:rPr>
          <w:rFonts w:ascii="Arial" w:hAnsi="Arial" w:cs="Arial"/>
          <w:b/>
          <w:sz w:val="26"/>
          <w:szCs w:val="24"/>
        </w:rPr>
        <w:t xml:space="preserve">Primero. </w:t>
      </w:r>
      <w:r w:rsidRPr="00A870C1">
        <w:rPr>
          <w:rFonts w:ascii="Arial" w:hAnsi="Arial" w:cs="Arial"/>
          <w:b/>
          <w:sz w:val="26"/>
        </w:rPr>
        <w:t>Competencia</w:t>
      </w:r>
      <w:r>
        <w:rPr>
          <w:rFonts w:ascii="Arial" w:hAnsi="Arial" w:cs="Arial"/>
          <w:b/>
          <w:sz w:val="26"/>
        </w:rPr>
        <w:t>.</w:t>
      </w:r>
    </w:p>
    <w:p w:rsidR="00E254E7" w:rsidRPr="00A870C1" w:rsidRDefault="00E254E7" w:rsidP="00E254E7">
      <w:pPr>
        <w:spacing w:before="100" w:beforeAutospacing="1" w:after="100" w:afterAutospacing="1" w:line="360" w:lineRule="auto"/>
        <w:ind w:firstLine="1134"/>
        <w:jc w:val="both"/>
        <w:rPr>
          <w:rFonts w:ascii="Arial" w:hAnsi="Arial" w:cs="Arial"/>
          <w:sz w:val="26"/>
          <w:szCs w:val="24"/>
        </w:rPr>
      </w:pPr>
      <w:r w:rsidRPr="00A870C1">
        <w:rPr>
          <w:rFonts w:ascii="Arial" w:hAnsi="Arial" w:cs="Arial"/>
          <w:sz w:val="26"/>
          <w:szCs w:val="24"/>
        </w:rPr>
        <w:t xml:space="preserve">El Pleno del Supremo Tribunal de Justicia del Estado, es competente para conocer y resolver el presente recurso de queja, atento a lo dispuesto por el último párrafo del artículo 973 del Código de Procedimientos Civiles, en relación con los numerales 11 y 14, fracción XIV, de la Ley Orgánica del Poder Judicial, ambos ordenamientos en vigor en el Estado, toda vez que el auto impugnado fue dictado por un </w:t>
      </w:r>
      <w:r w:rsidRPr="00A870C1">
        <w:rPr>
          <w:rFonts w:ascii="Arial" w:hAnsi="Arial" w:cs="Arial"/>
          <w:sz w:val="26"/>
          <w:szCs w:val="24"/>
        </w:rPr>
        <w:lastRenderedPageBreak/>
        <w:t>juez del ramo civil con residencia en el territorio judicial en el que este Tribunal ejerce su jurisdicción.</w:t>
      </w:r>
    </w:p>
    <w:p w:rsidR="00E254E7" w:rsidRPr="00A870C1" w:rsidRDefault="00E254E7" w:rsidP="00E254E7">
      <w:pPr>
        <w:spacing w:before="100" w:beforeAutospacing="1" w:after="100" w:afterAutospacing="1" w:line="360" w:lineRule="auto"/>
        <w:ind w:firstLine="1134"/>
        <w:jc w:val="both"/>
        <w:rPr>
          <w:rFonts w:ascii="Arial" w:hAnsi="Arial" w:cs="Arial"/>
          <w:b/>
          <w:bCs/>
          <w:sz w:val="26"/>
          <w:szCs w:val="24"/>
        </w:rPr>
      </w:pPr>
      <w:r w:rsidRPr="00A870C1">
        <w:rPr>
          <w:rFonts w:ascii="Arial" w:hAnsi="Arial" w:cs="Arial"/>
          <w:b/>
          <w:bCs/>
          <w:sz w:val="26"/>
          <w:szCs w:val="24"/>
        </w:rPr>
        <w:t xml:space="preserve">Segundo. Tramite de la </w:t>
      </w:r>
      <w:r w:rsidRPr="003F05D7">
        <w:rPr>
          <w:rFonts w:ascii="Arial" w:hAnsi="Arial" w:cs="Arial"/>
          <w:b/>
          <w:bCs/>
          <w:sz w:val="26"/>
          <w:szCs w:val="24"/>
        </w:rPr>
        <w:t>queja.</w:t>
      </w:r>
    </w:p>
    <w:p w:rsidR="00E254E7" w:rsidRPr="00A870C1" w:rsidRDefault="00E254E7" w:rsidP="00E254E7">
      <w:pPr>
        <w:spacing w:before="100" w:beforeAutospacing="1" w:after="100" w:afterAutospacing="1" w:line="360" w:lineRule="auto"/>
        <w:ind w:firstLine="1134"/>
        <w:jc w:val="both"/>
        <w:rPr>
          <w:rFonts w:ascii="Arial" w:hAnsi="Arial" w:cs="Arial"/>
          <w:sz w:val="24"/>
          <w:szCs w:val="24"/>
        </w:rPr>
      </w:pPr>
      <w:r w:rsidRPr="00A870C1">
        <w:rPr>
          <w:rFonts w:ascii="Arial" w:hAnsi="Arial" w:cs="Arial"/>
          <w:bCs/>
          <w:sz w:val="26"/>
          <w:szCs w:val="24"/>
        </w:rPr>
        <w:t xml:space="preserve">La admisión y substanciación del medio de impugnación de que se trata, se encuentra apegada a lo establecido por </w:t>
      </w:r>
      <w:r w:rsidRPr="00A870C1">
        <w:rPr>
          <w:rFonts w:ascii="Arial" w:hAnsi="Arial" w:cs="Arial"/>
          <w:sz w:val="26"/>
          <w:szCs w:val="24"/>
        </w:rPr>
        <w:t xml:space="preserve">los artículos </w:t>
      </w:r>
      <w:r w:rsidRPr="00A870C1">
        <w:rPr>
          <w:rFonts w:ascii="Arial" w:hAnsi="Arial" w:cs="Arial"/>
          <w:snapToGrid w:val="0"/>
          <w:sz w:val="26"/>
          <w:szCs w:val="26"/>
          <w:lang w:val="es-ES_tradnl"/>
        </w:rPr>
        <w:t xml:space="preserve">971, fracción II, </w:t>
      </w:r>
      <w:r w:rsidRPr="00A870C1">
        <w:rPr>
          <w:rFonts w:ascii="Arial" w:hAnsi="Arial" w:cs="Arial"/>
          <w:sz w:val="26"/>
          <w:szCs w:val="24"/>
        </w:rPr>
        <w:t xml:space="preserve">y 973 </w:t>
      </w:r>
      <w:r w:rsidRPr="00A870C1">
        <w:rPr>
          <w:rFonts w:ascii="Arial" w:hAnsi="Arial" w:cs="Arial"/>
          <w:snapToGrid w:val="0"/>
          <w:sz w:val="26"/>
          <w:szCs w:val="26"/>
          <w:lang w:val="es-ES_tradnl"/>
        </w:rPr>
        <w:t>del Código de Procedimientos Civiles y 17, fracción VIII, de la Ley Orgánica del Poder Judicial del Estado.</w:t>
      </w:r>
    </w:p>
    <w:p w:rsidR="00E254E7" w:rsidRPr="00A870C1" w:rsidRDefault="00E254E7" w:rsidP="00E254E7">
      <w:pPr>
        <w:spacing w:before="100" w:beforeAutospacing="1" w:after="100" w:afterAutospacing="1" w:line="360" w:lineRule="auto"/>
        <w:ind w:firstLine="1134"/>
        <w:jc w:val="both"/>
        <w:rPr>
          <w:rFonts w:ascii="Arial" w:hAnsi="Arial" w:cs="Arial"/>
          <w:b/>
          <w:bCs/>
          <w:sz w:val="26"/>
          <w:szCs w:val="24"/>
        </w:rPr>
      </w:pPr>
      <w:r w:rsidRPr="00A870C1">
        <w:rPr>
          <w:rFonts w:ascii="Arial" w:hAnsi="Arial" w:cs="Arial"/>
          <w:b/>
          <w:bCs/>
          <w:sz w:val="26"/>
          <w:szCs w:val="24"/>
        </w:rPr>
        <w:t xml:space="preserve">Tercero. Fijación </w:t>
      </w:r>
      <w:r w:rsidRPr="003F05D7">
        <w:rPr>
          <w:rFonts w:ascii="Arial" w:hAnsi="Arial" w:cs="Arial"/>
          <w:b/>
          <w:bCs/>
          <w:sz w:val="26"/>
          <w:szCs w:val="24"/>
        </w:rPr>
        <w:t>de la litis.</w:t>
      </w:r>
    </w:p>
    <w:p w:rsidR="00E254E7" w:rsidRPr="00A870C1" w:rsidRDefault="00E254E7" w:rsidP="00E254E7">
      <w:pPr>
        <w:spacing w:before="100" w:beforeAutospacing="1" w:after="100" w:afterAutospacing="1" w:line="360" w:lineRule="auto"/>
        <w:ind w:firstLine="1134"/>
        <w:jc w:val="both"/>
        <w:rPr>
          <w:rFonts w:ascii="Arial" w:hAnsi="Arial" w:cs="Arial"/>
          <w:bCs/>
          <w:sz w:val="26"/>
          <w:szCs w:val="24"/>
        </w:rPr>
      </w:pPr>
      <w:r w:rsidRPr="00A870C1">
        <w:rPr>
          <w:rFonts w:ascii="Arial" w:hAnsi="Arial" w:cs="Arial"/>
          <w:bCs/>
          <w:sz w:val="26"/>
          <w:szCs w:val="24"/>
        </w:rPr>
        <w:t>En el presente recurso, la litis está integrada de la siguiente manera:</w:t>
      </w:r>
    </w:p>
    <w:p w:rsidR="00E254E7" w:rsidRPr="00A870C1" w:rsidRDefault="00E254E7" w:rsidP="00E254E7">
      <w:pPr>
        <w:spacing w:before="100" w:beforeAutospacing="1" w:after="100" w:afterAutospacing="1" w:line="360" w:lineRule="auto"/>
        <w:ind w:firstLine="1134"/>
        <w:jc w:val="both"/>
        <w:rPr>
          <w:rFonts w:ascii="Arial" w:hAnsi="Arial" w:cs="Arial"/>
          <w:bCs/>
          <w:snapToGrid w:val="0"/>
          <w:sz w:val="26"/>
          <w:szCs w:val="24"/>
        </w:rPr>
      </w:pPr>
      <w:r w:rsidRPr="00A870C1">
        <w:rPr>
          <w:rFonts w:ascii="Arial" w:hAnsi="Arial" w:cs="Arial"/>
          <w:bCs/>
          <w:sz w:val="26"/>
          <w:szCs w:val="24"/>
        </w:rPr>
        <w:t>1. La interlocutoria recurrida</w:t>
      </w:r>
      <w:r w:rsidRPr="00A870C1">
        <w:rPr>
          <w:rStyle w:val="Refdenotaalpie"/>
          <w:rFonts w:ascii="Arial" w:hAnsi="Arial" w:cs="Arial"/>
          <w:bCs/>
          <w:sz w:val="26"/>
          <w:szCs w:val="24"/>
        </w:rPr>
        <w:footnoteReference w:id="1"/>
      </w:r>
      <w:r w:rsidRPr="00A870C1">
        <w:rPr>
          <w:rFonts w:ascii="Arial" w:hAnsi="Arial" w:cs="Arial"/>
          <w:bCs/>
          <w:sz w:val="26"/>
          <w:szCs w:val="24"/>
        </w:rPr>
        <w:t xml:space="preserve">, cuyos puntos resolutivos son del tenor literal </w:t>
      </w:r>
      <w:r w:rsidRPr="00A870C1">
        <w:rPr>
          <w:rFonts w:ascii="Arial" w:hAnsi="Arial" w:cs="Arial"/>
          <w:bCs/>
          <w:snapToGrid w:val="0"/>
          <w:sz w:val="26"/>
          <w:szCs w:val="24"/>
        </w:rPr>
        <w:t>siguiente:</w:t>
      </w:r>
    </w:p>
    <w:p w:rsidR="00E254E7" w:rsidRPr="00A870C1" w:rsidRDefault="00E254E7" w:rsidP="00E254E7">
      <w:pPr>
        <w:spacing w:before="100" w:beforeAutospacing="1" w:line="360" w:lineRule="auto"/>
        <w:ind w:left="1418" w:right="826"/>
        <w:jc w:val="both"/>
        <w:rPr>
          <w:rFonts w:ascii="Arial" w:hAnsi="Arial" w:cs="Arial"/>
          <w:bCs/>
        </w:rPr>
      </w:pPr>
      <w:r w:rsidRPr="00A870C1">
        <w:rPr>
          <w:rFonts w:ascii="Arial" w:hAnsi="Arial" w:cs="Arial"/>
          <w:bCs/>
          <w:snapToGrid w:val="0"/>
          <w:sz w:val="26"/>
          <w:szCs w:val="24"/>
        </w:rPr>
        <w:t xml:space="preserve"> </w:t>
      </w:r>
      <w:r w:rsidRPr="00A870C1">
        <w:rPr>
          <w:rFonts w:ascii="Arial" w:hAnsi="Arial" w:cs="Arial"/>
          <w:bCs/>
        </w:rPr>
        <w:t xml:space="preserve">“Primero.- Resultó procedente la Planilla de liquidación de intereses ordinarios, presentada por el licenciado </w:t>
      </w:r>
      <w:r>
        <w:rPr>
          <w:rFonts w:ascii="Arial" w:hAnsi="Arial" w:cs="Arial"/>
          <w:b/>
          <w:bCs/>
        </w:rPr>
        <w:t>ELIMINADO</w:t>
      </w:r>
      <w:r w:rsidRPr="00A870C1">
        <w:rPr>
          <w:rFonts w:ascii="Arial" w:hAnsi="Arial" w:cs="Arial"/>
          <w:bCs/>
        </w:rPr>
        <w:t>, con el carácter que tiene reconocido en autos. Segundo.- En consecuencia, se aprueba la cantidad de $</w:t>
      </w:r>
      <w:r w:rsidRPr="00E254E7">
        <w:rPr>
          <w:rFonts w:ascii="Arial" w:hAnsi="Arial" w:cs="Arial"/>
          <w:b/>
          <w:bCs/>
        </w:rPr>
        <w:t xml:space="preserve">ELIMINADO </w:t>
      </w:r>
      <w:r w:rsidRPr="00A870C1">
        <w:rPr>
          <w:rFonts w:ascii="Arial" w:hAnsi="Arial" w:cs="Arial"/>
          <w:bCs/>
        </w:rPr>
        <w:t xml:space="preserve">por concepto de intereses ordinarios generados del </w:t>
      </w:r>
      <w:r w:rsidRPr="00E254E7">
        <w:rPr>
          <w:rFonts w:ascii="Arial" w:hAnsi="Arial" w:cs="Arial"/>
          <w:b/>
          <w:bCs/>
        </w:rPr>
        <w:t xml:space="preserve">ELIMINADO </w:t>
      </w:r>
      <w:r w:rsidRPr="00A870C1">
        <w:rPr>
          <w:rFonts w:ascii="Arial" w:hAnsi="Arial" w:cs="Arial"/>
          <w:bCs/>
        </w:rPr>
        <w:t xml:space="preserve">al </w:t>
      </w:r>
      <w:r>
        <w:rPr>
          <w:rFonts w:ascii="Arial" w:hAnsi="Arial" w:cs="Arial"/>
          <w:b/>
          <w:bCs/>
        </w:rPr>
        <w:t xml:space="preserve"> ELIMINADO</w:t>
      </w:r>
      <w:r w:rsidRPr="00A870C1">
        <w:rPr>
          <w:rFonts w:ascii="Arial" w:hAnsi="Arial" w:cs="Arial"/>
          <w:bCs/>
        </w:rPr>
        <w:t xml:space="preserve">, a una tasa de interés del </w:t>
      </w:r>
      <w:r w:rsidR="00D003CB" w:rsidRPr="00E254E7">
        <w:rPr>
          <w:rFonts w:ascii="Arial" w:hAnsi="Arial" w:cs="Arial"/>
          <w:b/>
          <w:bCs/>
        </w:rPr>
        <w:t>ELIMINADO</w:t>
      </w:r>
      <w:r w:rsidR="00D003CB">
        <w:rPr>
          <w:rFonts w:ascii="Arial" w:hAnsi="Arial" w:cs="Arial"/>
          <w:b/>
          <w:bCs/>
        </w:rPr>
        <w:t xml:space="preserve">  </w:t>
      </w:r>
      <w:r w:rsidRPr="00A870C1">
        <w:rPr>
          <w:rFonts w:ascii="Arial" w:hAnsi="Arial" w:cs="Arial"/>
          <w:bCs/>
        </w:rPr>
        <w:t>anual. Tercero.- Una vez que cause estado la presente resolución, requiérase a la demandada para que en el término de 3 tres días dé cumplimiento voluntario a la misma. Cuarto.- Notifíquese por lista. […]”.</w:t>
      </w:r>
    </w:p>
    <w:p w:rsidR="00E254E7" w:rsidRPr="00A870C1" w:rsidRDefault="00E254E7" w:rsidP="00E254E7">
      <w:pPr>
        <w:spacing w:before="100" w:beforeAutospacing="1" w:after="100" w:afterAutospacing="1" w:line="360" w:lineRule="auto"/>
        <w:ind w:firstLine="1134"/>
        <w:jc w:val="both"/>
        <w:rPr>
          <w:rFonts w:ascii="Arial" w:hAnsi="Arial" w:cs="Arial"/>
          <w:sz w:val="26"/>
          <w:szCs w:val="24"/>
        </w:rPr>
      </w:pPr>
      <w:r w:rsidRPr="00A870C1">
        <w:rPr>
          <w:rFonts w:ascii="Arial" w:hAnsi="Arial" w:cs="Arial"/>
          <w:bCs/>
          <w:sz w:val="26"/>
          <w:szCs w:val="24"/>
        </w:rPr>
        <w:t>2.</w:t>
      </w:r>
      <w:r w:rsidRPr="00A870C1">
        <w:rPr>
          <w:rFonts w:ascii="Arial" w:hAnsi="Arial" w:cs="Arial"/>
          <w:b/>
          <w:bCs/>
          <w:sz w:val="26"/>
          <w:szCs w:val="24"/>
        </w:rPr>
        <w:t xml:space="preserve"> </w:t>
      </w:r>
      <w:r w:rsidRPr="00A870C1">
        <w:rPr>
          <w:rFonts w:ascii="Arial" w:hAnsi="Arial" w:cs="Arial"/>
          <w:bCs/>
          <w:sz w:val="26"/>
          <w:szCs w:val="24"/>
        </w:rPr>
        <w:t xml:space="preserve">Los agravios de </w:t>
      </w:r>
      <w:r w:rsidRPr="00E254E7">
        <w:rPr>
          <w:rFonts w:ascii="Arial" w:hAnsi="Arial" w:cs="Arial"/>
          <w:b/>
          <w:iCs/>
          <w:sz w:val="26"/>
          <w:szCs w:val="26"/>
        </w:rPr>
        <w:t xml:space="preserve">ELIMINADO </w:t>
      </w:r>
      <w:r w:rsidRPr="00A870C1">
        <w:rPr>
          <w:rFonts w:ascii="Arial" w:hAnsi="Arial" w:cs="Arial"/>
          <w:sz w:val="26"/>
          <w:szCs w:val="24"/>
        </w:rPr>
        <w:t>son:</w:t>
      </w:r>
    </w:p>
    <w:p w:rsidR="00E254E7" w:rsidRPr="00A870C1" w:rsidRDefault="00E254E7" w:rsidP="00E254E7">
      <w:pPr>
        <w:spacing w:before="100" w:beforeAutospacing="1" w:line="360" w:lineRule="auto"/>
        <w:ind w:left="1418" w:right="826"/>
        <w:jc w:val="both"/>
        <w:rPr>
          <w:rFonts w:ascii="Arial" w:hAnsi="Arial" w:cs="Arial"/>
          <w:bCs/>
        </w:rPr>
      </w:pPr>
      <w:r w:rsidRPr="00A870C1">
        <w:rPr>
          <w:rFonts w:ascii="Arial" w:hAnsi="Arial" w:cs="Arial"/>
          <w:bCs/>
        </w:rPr>
        <w:t>“[…] ÚNICO.- ME AGRAVIA QUE LA TA[S]A DE INTERÉS QUE SE APROBÓ EN LA SENTENCIA RECURRIDA ES MUY SUPERIOR A LA QUE PREVALECE EN EL MUNDO DE LOS NEGOCIOS, VIOLÁNDOSE DE ESA MANERA MIS DERECHOS HUMANOS POR EL EXCESO Y DESPROPORCION DE LOS INTERESES REFERIDOS, QUE NO CORRESPONDEN EN MODO ALGUNO A LOS QUE SE MANEJAN EN EL MERCADO. […]”</w:t>
      </w:r>
    </w:p>
    <w:p w:rsidR="00E254E7" w:rsidRPr="00A870C1" w:rsidRDefault="00E254E7" w:rsidP="00E254E7">
      <w:pPr>
        <w:spacing w:before="100" w:beforeAutospacing="1" w:after="100" w:afterAutospacing="1" w:line="360" w:lineRule="auto"/>
        <w:ind w:firstLine="1134"/>
        <w:jc w:val="both"/>
        <w:rPr>
          <w:rFonts w:ascii="Arial" w:hAnsi="Arial" w:cs="Arial"/>
          <w:sz w:val="26"/>
          <w:szCs w:val="26"/>
        </w:rPr>
      </w:pPr>
      <w:r w:rsidRPr="00A870C1">
        <w:rPr>
          <w:rFonts w:ascii="Arial" w:hAnsi="Arial" w:cs="Arial"/>
          <w:sz w:val="26"/>
          <w:szCs w:val="26"/>
        </w:rPr>
        <w:t xml:space="preserve"> </w:t>
      </w:r>
      <w:r>
        <w:rPr>
          <w:rFonts w:ascii="Arial" w:hAnsi="Arial" w:cs="Arial"/>
          <w:sz w:val="26"/>
          <w:szCs w:val="26"/>
        </w:rPr>
        <w:t xml:space="preserve">3. </w:t>
      </w:r>
      <w:r w:rsidRPr="00A870C1">
        <w:rPr>
          <w:rFonts w:ascii="Arial" w:hAnsi="Arial" w:cs="Arial"/>
          <w:sz w:val="26"/>
          <w:szCs w:val="26"/>
        </w:rPr>
        <w:t xml:space="preserve">El informe justificado que en cumplimiento a lo dispuesto por el artículo 973 del Código de Procedimientos Civiles vigente en el </w:t>
      </w:r>
      <w:r w:rsidRPr="00A870C1">
        <w:rPr>
          <w:rFonts w:ascii="Arial" w:hAnsi="Arial" w:cs="Arial"/>
          <w:sz w:val="26"/>
          <w:szCs w:val="26"/>
        </w:rPr>
        <w:lastRenderedPageBreak/>
        <w:t xml:space="preserve">Estado, </w:t>
      </w:r>
      <w:r>
        <w:rPr>
          <w:rFonts w:ascii="Arial" w:hAnsi="Arial" w:cs="Arial"/>
          <w:sz w:val="26"/>
          <w:szCs w:val="26"/>
        </w:rPr>
        <w:t xml:space="preserve">rindió </w:t>
      </w:r>
      <w:r w:rsidRPr="00A870C1">
        <w:rPr>
          <w:rFonts w:ascii="Arial" w:hAnsi="Arial" w:cs="Arial"/>
          <w:sz w:val="26"/>
          <w:szCs w:val="26"/>
        </w:rPr>
        <w:t xml:space="preserve">el Juez Quinto de lo Familiar de esta Capital, </w:t>
      </w:r>
      <w:r>
        <w:rPr>
          <w:rFonts w:ascii="Arial" w:hAnsi="Arial" w:cs="Arial"/>
          <w:sz w:val="26"/>
          <w:szCs w:val="26"/>
        </w:rPr>
        <w:t>es</w:t>
      </w:r>
      <w:r w:rsidRPr="00A870C1">
        <w:rPr>
          <w:rFonts w:ascii="Arial" w:hAnsi="Arial" w:cs="Arial"/>
          <w:sz w:val="26"/>
          <w:szCs w:val="26"/>
        </w:rPr>
        <w:t xml:space="preserve"> en los términos siguientes:</w:t>
      </w:r>
    </w:p>
    <w:p w:rsidR="00E254E7" w:rsidRPr="00A870C1" w:rsidRDefault="00E254E7" w:rsidP="00E254E7">
      <w:pPr>
        <w:spacing w:before="100" w:beforeAutospacing="1" w:line="360" w:lineRule="auto"/>
        <w:ind w:left="1418" w:right="826"/>
        <w:jc w:val="both"/>
        <w:rPr>
          <w:rFonts w:ascii="Arial" w:hAnsi="Arial" w:cs="Arial"/>
          <w:bCs/>
        </w:rPr>
      </w:pPr>
      <w:r w:rsidRPr="00A870C1">
        <w:rPr>
          <w:rFonts w:ascii="Arial" w:hAnsi="Arial" w:cs="Arial"/>
          <w:bCs/>
        </w:rPr>
        <w:t>“En cumplimiento al auto de fecha 5 cinco de agosto de</w:t>
      </w:r>
      <w:r>
        <w:rPr>
          <w:rFonts w:ascii="Arial" w:hAnsi="Arial" w:cs="Arial"/>
          <w:bCs/>
        </w:rPr>
        <w:t>l</w:t>
      </w:r>
      <w:r w:rsidRPr="00A870C1">
        <w:rPr>
          <w:rFonts w:ascii="Arial" w:hAnsi="Arial" w:cs="Arial"/>
          <w:bCs/>
        </w:rPr>
        <w:t xml:space="preserve"> 2021, le remito copia certificada del expediente </w:t>
      </w:r>
      <w:r>
        <w:rPr>
          <w:rFonts w:ascii="Arial" w:hAnsi="Arial" w:cs="Arial"/>
          <w:b/>
          <w:bCs/>
        </w:rPr>
        <w:t>ELIMINADO</w:t>
      </w:r>
      <w:r w:rsidRPr="00A870C1">
        <w:rPr>
          <w:rFonts w:ascii="Arial" w:hAnsi="Arial" w:cs="Arial"/>
          <w:bCs/>
        </w:rPr>
        <w:t xml:space="preserve">, relativo al Juicio Extraordinario Civil Hipotecario, que promueve </w:t>
      </w:r>
      <w:r>
        <w:rPr>
          <w:rFonts w:ascii="Arial" w:hAnsi="Arial" w:cs="Arial"/>
          <w:b/>
          <w:bCs/>
        </w:rPr>
        <w:t>ELIMINADO</w:t>
      </w:r>
      <w:r w:rsidRPr="00A870C1">
        <w:rPr>
          <w:rFonts w:ascii="Arial" w:hAnsi="Arial" w:cs="Arial"/>
          <w:bCs/>
        </w:rPr>
        <w:t xml:space="preserve">, en su carácter de Cesionario de </w:t>
      </w:r>
      <w:r>
        <w:rPr>
          <w:rFonts w:ascii="Arial" w:hAnsi="Arial" w:cs="Arial"/>
          <w:b/>
          <w:bCs/>
        </w:rPr>
        <w:t>ELIMINADO</w:t>
      </w:r>
      <w:r w:rsidRPr="00A870C1">
        <w:rPr>
          <w:rFonts w:ascii="Arial" w:hAnsi="Arial" w:cs="Arial"/>
          <w:bCs/>
        </w:rPr>
        <w:t xml:space="preserve">, en contra de </w:t>
      </w:r>
      <w:r>
        <w:rPr>
          <w:rFonts w:ascii="Arial" w:hAnsi="Arial" w:cs="Arial"/>
          <w:b/>
          <w:bCs/>
        </w:rPr>
        <w:t>ELIMINADO</w:t>
      </w:r>
      <w:r w:rsidRPr="00A870C1">
        <w:rPr>
          <w:rFonts w:ascii="Arial" w:hAnsi="Arial" w:cs="Arial"/>
          <w:bCs/>
        </w:rPr>
        <w:t xml:space="preserve">. Lo anterior a fin de que se tenga a esta autoridad por rindiendo el informe correspondiente al Recurso de Queja, interpuesto por </w:t>
      </w:r>
      <w:r>
        <w:rPr>
          <w:rFonts w:ascii="Arial" w:hAnsi="Arial" w:cs="Arial"/>
          <w:b/>
          <w:bCs/>
        </w:rPr>
        <w:t>ELIMINADO</w:t>
      </w:r>
      <w:r w:rsidRPr="00A870C1">
        <w:rPr>
          <w:rFonts w:ascii="Arial" w:hAnsi="Arial" w:cs="Arial"/>
          <w:bCs/>
        </w:rPr>
        <w:t>, haciéndole saber que sí es cie[r]to el acto reclamado, en virtud de que con fecha 13 trece de julio de 2021 dos mil veintiuno, se dictó la resolución que menciona la quejosa. […]”.</w:t>
      </w:r>
    </w:p>
    <w:p w:rsidR="00E254E7" w:rsidRPr="00A870C1" w:rsidRDefault="00E254E7" w:rsidP="00E254E7">
      <w:pPr>
        <w:spacing w:before="100" w:beforeAutospacing="1" w:after="100" w:afterAutospacing="1" w:line="360" w:lineRule="auto"/>
        <w:ind w:firstLine="1134"/>
        <w:jc w:val="both"/>
        <w:rPr>
          <w:rFonts w:ascii="Arial" w:hAnsi="Arial" w:cs="Arial"/>
          <w:sz w:val="26"/>
          <w:szCs w:val="24"/>
        </w:rPr>
      </w:pPr>
      <w:r w:rsidRPr="00A870C1">
        <w:rPr>
          <w:rFonts w:ascii="Arial" w:hAnsi="Arial" w:cs="Arial"/>
          <w:sz w:val="26"/>
          <w:szCs w:val="26"/>
        </w:rPr>
        <w:t>4.</w:t>
      </w:r>
      <w:r w:rsidRPr="00A870C1">
        <w:rPr>
          <w:rFonts w:ascii="Arial" w:hAnsi="Arial" w:cs="Arial"/>
          <w:b/>
          <w:sz w:val="26"/>
          <w:szCs w:val="26"/>
        </w:rPr>
        <w:t xml:space="preserve"> </w:t>
      </w:r>
      <w:r w:rsidRPr="00A870C1">
        <w:rPr>
          <w:rFonts w:ascii="Arial" w:hAnsi="Arial" w:cs="Arial"/>
          <w:sz w:val="26"/>
          <w:szCs w:val="26"/>
        </w:rPr>
        <w:t xml:space="preserve">El licenciado </w:t>
      </w:r>
      <w:r w:rsidRPr="00E254E7">
        <w:rPr>
          <w:rFonts w:ascii="Arial" w:hAnsi="Arial" w:cs="Arial"/>
          <w:b/>
          <w:sz w:val="26"/>
          <w:szCs w:val="24"/>
        </w:rPr>
        <w:t>ELIMINADO</w:t>
      </w:r>
      <w:r w:rsidRPr="00A870C1">
        <w:rPr>
          <w:rFonts w:ascii="Arial" w:hAnsi="Arial" w:cs="Arial"/>
          <w:sz w:val="26"/>
          <w:szCs w:val="24"/>
        </w:rPr>
        <w:t>,</w:t>
      </w:r>
      <w:r w:rsidRPr="00A870C1">
        <w:rPr>
          <w:rFonts w:ascii="Arial" w:hAnsi="Arial" w:cs="Arial"/>
          <w:b/>
          <w:sz w:val="26"/>
          <w:szCs w:val="24"/>
        </w:rPr>
        <w:t xml:space="preserve"> </w:t>
      </w:r>
      <w:r w:rsidRPr="00A870C1">
        <w:rPr>
          <w:rFonts w:ascii="Arial" w:hAnsi="Arial" w:cs="Arial"/>
          <w:sz w:val="26"/>
          <w:szCs w:val="24"/>
        </w:rPr>
        <w:t xml:space="preserve">en su carácter de abogado autorizado de la parte actora incidentista, evacuó la vista que se le dio con el precitado recurso de queja, en los términos siguientes: </w:t>
      </w:r>
    </w:p>
    <w:p w:rsidR="00E254E7" w:rsidRPr="00A870C1" w:rsidRDefault="00E254E7" w:rsidP="00E254E7">
      <w:pPr>
        <w:spacing w:before="100" w:beforeAutospacing="1" w:line="360" w:lineRule="auto"/>
        <w:ind w:left="1418" w:right="826"/>
        <w:jc w:val="both"/>
        <w:rPr>
          <w:rFonts w:ascii="Arial" w:hAnsi="Arial" w:cs="Arial"/>
          <w:bCs/>
        </w:rPr>
      </w:pPr>
      <w:r w:rsidRPr="00A870C1">
        <w:rPr>
          <w:rFonts w:ascii="Arial" w:hAnsi="Arial" w:cs="Arial"/>
          <w:bCs/>
        </w:rPr>
        <w:t>“[…] el agravio que señala la quejosa resulta por demás oscuro y carente de fundamento jurídico, ya que en ningún momento proporciona argument</w:t>
      </w:r>
      <w:r>
        <w:rPr>
          <w:rFonts w:ascii="Arial" w:hAnsi="Arial" w:cs="Arial"/>
          <w:bCs/>
        </w:rPr>
        <w:t>o lógico jurídico alguno, con el</w:t>
      </w:r>
      <w:r w:rsidRPr="00A870C1">
        <w:rPr>
          <w:rFonts w:ascii="Arial" w:hAnsi="Arial" w:cs="Arial"/>
          <w:bCs/>
        </w:rPr>
        <w:t xml:space="preserve"> cual pretenda justificar la razón de su dicho, aunado a que la tasa de interés utilizada para calcular la liquidación de sentencia, resulta ser la misma a la pactada en el contrato base de la acción del juicio de origen, la cual fue aprobada en la sentencia definitiva dictada en el citado procedimientos, por lo que no existe perjuicio alguno en contra de la quejosa. […]”.</w:t>
      </w:r>
    </w:p>
    <w:p w:rsidR="00E254E7" w:rsidRPr="00A870C1" w:rsidRDefault="00E254E7" w:rsidP="00E254E7">
      <w:pPr>
        <w:widowControl w:val="0"/>
        <w:spacing w:before="100" w:beforeAutospacing="1" w:after="100" w:afterAutospacing="1" w:line="360" w:lineRule="auto"/>
        <w:ind w:firstLine="1134"/>
        <w:jc w:val="both"/>
        <w:rPr>
          <w:rFonts w:ascii="Arial" w:hAnsi="Arial" w:cs="Arial"/>
          <w:b/>
          <w:sz w:val="26"/>
          <w:szCs w:val="26"/>
        </w:rPr>
      </w:pPr>
      <w:r w:rsidRPr="00A870C1">
        <w:rPr>
          <w:rFonts w:ascii="Arial" w:hAnsi="Arial" w:cs="Arial"/>
          <w:b/>
          <w:sz w:val="26"/>
          <w:szCs w:val="26"/>
        </w:rPr>
        <w:t xml:space="preserve">Cuarto. Estudio del </w:t>
      </w:r>
      <w:r w:rsidRPr="003F05D7">
        <w:rPr>
          <w:rFonts w:ascii="Arial" w:hAnsi="Arial" w:cs="Arial"/>
          <w:b/>
          <w:sz w:val="26"/>
          <w:szCs w:val="26"/>
        </w:rPr>
        <w:t>Recurso.</w:t>
      </w:r>
    </w:p>
    <w:p w:rsidR="00E254E7" w:rsidRPr="00A870C1" w:rsidRDefault="00E254E7" w:rsidP="00E254E7">
      <w:pPr>
        <w:pStyle w:val="Prrafodelista"/>
        <w:widowControl w:val="0"/>
        <w:numPr>
          <w:ilvl w:val="0"/>
          <w:numId w:val="1"/>
        </w:numPr>
        <w:spacing w:before="100" w:beforeAutospacing="1" w:after="100" w:afterAutospacing="1" w:line="360" w:lineRule="auto"/>
        <w:jc w:val="both"/>
        <w:rPr>
          <w:rFonts w:ascii="Arial" w:hAnsi="Arial" w:cs="Arial"/>
          <w:b/>
          <w:sz w:val="26"/>
          <w:szCs w:val="26"/>
        </w:rPr>
      </w:pPr>
      <w:r w:rsidRPr="00A870C1">
        <w:rPr>
          <w:rFonts w:ascii="Arial" w:hAnsi="Arial" w:cs="Arial"/>
          <w:b/>
          <w:sz w:val="26"/>
          <w:szCs w:val="26"/>
        </w:rPr>
        <w:t>Antecedentes</w:t>
      </w:r>
    </w:p>
    <w:p w:rsidR="00E254E7" w:rsidRPr="00A870C1" w:rsidRDefault="00E254E7" w:rsidP="00E254E7">
      <w:pPr>
        <w:widowControl w:val="0"/>
        <w:spacing w:before="100" w:beforeAutospacing="1" w:after="100" w:afterAutospacing="1" w:line="360" w:lineRule="auto"/>
        <w:ind w:firstLine="1134"/>
        <w:jc w:val="both"/>
        <w:rPr>
          <w:rFonts w:ascii="Arial" w:hAnsi="Arial" w:cs="Arial"/>
          <w:sz w:val="26"/>
          <w:szCs w:val="26"/>
          <w:lang w:val="es-MX"/>
        </w:rPr>
      </w:pPr>
      <w:r w:rsidRPr="00A870C1">
        <w:rPr>
          <w:rFonts w:ascii="Arial" w:hAnsi="Arial" w:cs="Arial"/>
          <w:sz w:val="26"/>
          <w:szCs w:val="26"/>
        </w:rPr>
        <w:t xml:space="preserve">Para facilitar la comprensión del presente asunto, se considera pertinente precisar sus antecedentes, mismos que se desprenden </w:t>
      </w:r>
      <w:r w:rsidRPr="00A870C1">
        <w:rPr>
          <w:rFonts w:ascii="Arial" w:hAnsi="Arial" w:cs="Arial"/>
          <w:sz w:val="26"/>
          <w:szCs w:val="26"/>
          <w:lang w:val="es-ES_tradnl"/>
        </w:rPr>
        <w:t xml:space="preserve">de las copias certificadas </w:t>
      </w:r>
      <w:r w:rsidRPr="00A870C1">
        <w:rPr>
          <w:rFonts w:ascii="Arial" w:hAnsi="Arial" w:cs="Arial"/>
          <w:sz w:val="26"/>
          <w:szCs w:val="26"/>
          <w:lang w:val="es-MX"/>
        </w:rPr>
        <w:t>remitidas por el Juez Tercero del Ramo Civil, con su informe justificado y que tienen pleno valor probatorio, pues constituyen actuaciones realizadas por una autoridad judicial en ejercicio de funciones, como disponen los artículos 323, fracción II y 391 del Código de Procedimientos Civiles del Estado</w:t>
      </w:r>
      <w:r w:rsidRPr="00A870C1">
        <w:rPr>
          <w:rFonts w:ascii="Arial" w:hAnsi="Arial" w:cs="Arial"/>
          <w:bCs/>
          <w:sz w:val="26"/>
          <w:szCs w:val="26"/>
          <w:lang w:val="es-ES_tradnl"/>
        </w:rPr>
        <w:t xml:space="preserve"> y, de las que se advierte lo siguiente:</w:t>
      </w:r>
    </w:p>
    <w:p w:rsidR="00E254E7" w:rsidRPr="00A870C1" w:rsidRDefault="00E254E7" w:rsidP="00E254E7">
      <w:pPr>
        <w:widowControl w:val="0"/>
        <w:spacing w:before="100" w:beforeAutospacing="1" w:after="100" w:afterAutospacing="1" w:line="360" w:lineRule="auto"/>
        <w:ind w:firstLine="1134"/>
        <w:jc w:val="both"/>
        <w:rPr>
          <w:rFonts w:ascii="Arial" w:hAnsi="Arial" w:cs="Arial"/>
          <w:sz w:val="26"/>
          <w:szCs w:val="26"/>
          <w:lang w:val="es-MX"/>
        </w:rPr>
      </w:pPr>
      <w:r w:rsidRPr="00A870C1">
        <w:rPr>
          <w:rFonts w:ascii="Arial" w:hAnsi="Arial" w:cs="Arial"/>
          <w:sz w:val="26"/>
          <w:szCs w:val="26"/>
          <w:lang w:val="es-MX"/>
        </w:rPr>
        <w:t xml:space="preserve">a). </w:t>
      </w:r>
      <w:r>
        <w:rPr>
          <w:rFonts w:ascii="Arial" w:hAnsi="Arial" w:cs="Arial"/>
          <w:b/>
          <w:sz w:val="26"/>
          <w:szCs w:val="26"/>
          <w:lang w:val="es-MX"/>
        </w:rPr>
        <w:t xml:space="preserve"> ELIMINADO</w:t>
      </w:r>
      <w:r w:rsidRPr="00A870C1">
        <w:rPr>
          <w:rFonts w:ascii="Arial" w:hAnsi="Arial" w:cs="Arial"/>
          <w:sz w:val="26"/>
          <w:szCs w:val="26"/>
          <w:lang w:val="es-MX"/>
        </w:rPr>
        <w:t xml:space="preserve">, en su carácter de apoderados generales </w:t>
      </w:r>
      <w:r w:rsidRPr="00A870C1">
        <w:rPr>
          <w:rFonts w:ascii="Arial" w:hAnsi="Arial" w:cs="Arial"/>
          <w:sz w:val="26"/>
          <w:szCs w:val="26"/>
          <w:lang w:val="es-MX"/>
        </w:rPr>
        <w:lastRenderedPageBreak/>
        <w:t xml:space="preserve">para pleitos y cobranzas de </w:t>
      </w:r>
      <w:r w:rsidRPr="00E254E7">
        <w:rPr>
          <w:rFonts w:ascii="Arial" w:hAnsi="Arial" w:cs="Arial"/>
          <w:b/>
          <w:sz w:val="26"/>
          <w:szCs w:val="26"/>
          <w:lang w:val="es-MX"/>
        </w:rPr>
        <w:t xml:space="preserve">ELIMINADO </w:t>
      </w:r>
      <w:r w:rsidRPr="00A870C1">
        <w:rPr>
          <w:rFonts w:ascii="Arial" w:hAnsi="Arial" w:cs="Arial"/>
          <w:sz w:val="26"/>
          <w:szCs w:val="26"/>
          <w:lang w:val="es-MX"/>
        </w:rPr>
        <w:t>promovieron</w:t>
      </w:r>
      <w:r w:rsidRPr="00A870C1">
        <w:rPr>
          <w:rStyle w:val="Refdenotaalpie"/>
          <w:rFonts w:ascii="Arial" w:hAnsi="Arial" w:cs="Arial"/>
          <w:sz w:val="26"/>
          <w:szCs w:val="26"/>
          <w:lang w:val="es-MX"/>
        </w:rPr>
        <w:footnoteReference w:id="2"/>
      </w:r>
      <w:r w:rsidRPr="00A870C1">
        <w:rPr>
          <w:rFonts w:ascii="Arial" w:hAnsi="Arial" w:cs="Arial"/>
          <w:sz w:val="26"/>
          <w:szCs w:val="26"/>
          <w:lang w:val="es-MX"/>
        </w:rPr>
        <w:t xml:space="preserve">, en la vía extraordinaria civil, juicio hipotecario, en contra de </w:t>
      </w:r>
      <w:r w:rsidRPr="00E254E7">
        <w:rPr>
          <w:rFonts w:ascii="Arial" w:hAnsi="Arial" w:cs="Arial"/>
          <w:b/>
          <w:sz w:val="26"/>
          <w:szCs w:val="26"/>
          <w:lang w:val="es-MX"/>
        </w:rPr>
        <w:t>ELIMINADO</w:t>
      </w:r>
      <w:r w:rsidRPr="00A870C1">
        <w:rPr>
          <w:rFonts w:ascii="Arial" w:hAnsi="Arial" w:cs="Arial"/>
          <w:b/>
          <w:sz w:val="26"/>
          <w:szCs w:val="26"/>
          <w:lang w:val="es-MX"/>
        </w:rPr>
        <w:t xml:space="preserve">, </w:t>
      </w:r>
      <w:r w:rsidRPr="00A870C1">
        <w:rPr>
          <w:rFonts w:ascii="Arial" w:hAnsi="Arial" w:cs="Arial"/>
          <w:sz w:val="26"/>
          <w:szCs w:val="26"/>
          <w:lang w:val="es-MX"/>
        </w:rPr>
        <w:t>por las siguientes prestaciones:</w:t>
      </w:r>
    </w:p>
    <w:p w:rsidR="00E254E7" w:rsidRPr="00A870C1" w:rsidRDefault="00E254E7" w:rsidP="00E254E7">
      <w:pPr>
        <w:widowControl w:val="0"/>
        <w:spacing w:before="100" w:beforeAutospacing="1" w:after="100" w:afterAutospacing="1" w:line="360" w:lineRule="auto"/>
        <w:ind w:left="1134"/>
        <w:jc w:val="both"/>
        <w:rPr>
          <w:rFonts w:ascii="Arial" w:hAnsi="Arial" w:cs="Arial"/>
          <w:u w:val="single"/>
          <w:lang w:val="es-MX"/>
        </w:rPr>
      </w:pPr>
      <w:r w:rsidRPr="00A870C1">
        <w:rPr>
          <w:rFonts w:ascii="Arial" w:hAnsi="Arial" w:cs="Arial"/>
          <w:lang w:val="es-MX"/>
        </w:rPr>
        <w:t xml:space="preserve">[…] A.- La declaración Judicial de Vencimiento Anticipado del término de vigencia del CONTRATO DE APERTURA DE CRÉDITO SIMPLE CON GARANTÍA HIPOTECARIA de fecha </w:t>
      </w:r>
      <w:r w:rsidRPr="00E254E7">
        <w:rPr>
          <w:rFonts w:ascii="Arial" w:hAnsi="Arial" w:cs="Arial"/>
          <w:b/>
          <w:lang w:val="es-MX"/>
        </w:rPr>
        <w:t>ELIMINADO</w:t>
      </w:r>
      <w:r w:rsidRPr="00A870C1">
        <w:rPr>
          <w:rFonts w:ascii="Arial" w:hAnsi="Arial" w:cs="Arial"/>
          <w:lang w:val="es-MX"/>
        </w:rPr>
        <w:t xml:space="preserve">, celebrado entre </w:t>
      </w:r>
      <w:r>
        <w:rPr>
          <w:rFonts w:ascii="Arial" w:hAnsi="Arial" w:cs="Arial"/>
          <w:b/>
          <w:lang w:val="es-MX"/>
        </w:rPr>
        <w:t>ELIMINADO</w:t>
      </w:r>
      <w:r w:rsidRPr="00A870C1">
        <w:rPr>
          <w:rFonts w:ascii="Arial" w:hAnsi="Arial" w:cs="Arial"/>
          <w:lang w:val="es-MX"/>
        </w:rPr>
        <w:t xml:space="preserve">, y la hoy parte demandada, la C. </w:t>
      </w:r>
      <w:r>
        <w:rPr>
          <w:rFonts w:ascii="Arial" w:hAnsi="Arial" w:cs="Arial"/>
          <w:b/>
          <w:u w:val="single"/>
          <w:lang w:val="es-MX"/>
        </w:rPr>
        <w:t>ELIMINADO</w:t>
      </w:r>
      <w:r w:rsidRPr="00A870C1">
        <w:rPr>
          <w:rFonts w:ascii="Arial" w:hAnsi="Arial" w:cs="Arial"/>
          <w:lang w:val="es-MX"/>
        </w:rPr>
        <w:t xml:space="preserve">, en su carácter de “PARTE ACREDITADA”, mismo que acompaño como fundatorio de la acción, a la presente demanda, y que se detalla en el capítulo de hechos correspondiente, y como consecuencia de ello está obligado al pago y cumplimiento de las obligaciones a su cargo. B).- El pago inmediato del saldo total insoluto del CRÉDITO SIMPLE CON GARANTÍA HIPOTECARIA, de fecha </w:t>
      </w:r>
      <w:r w:rsidRPr="00E254E7">
        <w:rPr>
          <w:rFonts w:ascii="Arial" w:hAnsi="Arial" w:cs="Arial"/>
          <w:b/>
          <w:lang w:val="es-MX"/>
        </w:rPr>
        <w:t>ELIMINADO</w:t>
      </w:r>
      <w:r w:rsidRPr="00A870C1">
        <w:rPr>
          <w:rFonts w:ascii="Arial" w:hAnsi="Arial" w:cs="Arial"/>
          <w:lang w:val="es-MX"/>
        </w:rPr>
        <w:t xml:space="preserve">, que se deriva del estado de cuenta certificado elaborado por el contador facultado por el banco, el C.P. </w:t>
      </w:r>
      <w:r>
        <w:rPr>
          <w:rFonts w:ascii="Arial" w:hAnsi="Arial" w:cs="Arial"/>
          <w:b/>
          <w:lang w:val="es-MX"/>
        </w:rPr>
        <w:t>ELIMINADO</w:t>
      </w:r>
      <w:r w:rsidRPr="00A870C1">
        <w:rPr>
          <w:rFonts w:ascii="Arial" w:hAnsi="Arial" w:cs="Arial"/>
          <w:lang w:val="es-MX"/>
        </w:rPr>
        <w:t xml:space="preserve">; que al día </w:t>
      </w:r>
      <w:r w:rsidRPr="00E254E7">
        <w:rPr>
          <w:rFonts w:ascii="Arial" w:hAnsi="Arial" w:cs="Arial"/>
          <w:b/>
          <w:lang w:val="es-MX"/>
        </w:rPr>
        <w:t xml:space="preserve">ELIMINADO </w:t>
      </w:r>
      <w:r w:rsidRPr="00A870C1">
        <w:rPr>
          <w:rFonts w:ascii="Arial" w:hAnsi="Arial" w:cs="Arial"/>
          <w:lang w:val="es-MX"/>
        </w:rPr>
        <w:t>[la] demandad</w:t>
      </w:r>
      <w:r>
        <w:rPr>
          <w:rFonts w:ascii="Arial" w:hAnsi="Arial" w:cs="Arial"/>
          <w:lang w:val="es-MX"/>
        </w:rPr>
        <w:t>[a]</w:t>
      </w:r>
      <w:r w:rsidRPr="00A870C1">
        <w:rPr>
          <w:rFonts w:ascii="Arial" w:hAnsi="Arial" w:cs="Arial"/>
          <w:lang w:val="es-MX"/>
        </w:rPr>
        <w:t xml:space="preserve"> adeuda la cantidad de $</w:t>
      </w:r>
      <w:r w:rsidRPr="00E254E7">
        <w:rPr>
          <w:rFonts w:ascii="Arial" w:hAnsi="Arial" w:cs="Arial"/>
          <w:b/>
          <w:lang w:val="es-MX"/>
        </w:rPr>
        <w:t xml:space="preserve"> ELIMINADO</w:t>
      </w:r>
      <w:r w:rsidRPr="00A870C1">
        <w:rPr>
          <w:rFonts w:ascii="Arial" w:hAnsi="Arial" w:cs="Arial"/>
          <w:lang w:val="es-MX"/>
        </w:rPr>
        <w:t>, mismo que se compone de los siguientes conceptos: I.- De la cantidad de $</w:t>
      </w:r>
      <w:r w:rsidRPr="00E254E7">
        <w:rPr>
          <w:rFonts w:ascii="Arial" w:hAnsi="Arial" w:cs="Arial"/>
          <w:b/>
          <w:lang w:val="es-MX"/>
        </w:rPr>
        <w:t xml:space="preserve"> ELIMINADO</w:t>
      </w:r>
      <w:r w:rsidRPr="00A870C1">
        <w:rPr>
          <w:rFonts w:ascii="Arial" w:hAnsi="Arial" w:cs="Arial"/>
          <w:lang w:val="es-MX"/>
        </w:rPr>
        <w:t>, por concepto de Capital Vencido. II.- De la cantidad de $</w:t>
      </w:r>
      <w:r>
        <w:rPr>
          <w:rFonts w:ascii="Arial" w:hAnsi="Arial" w:cs="Arial"/>
          <w:b/>
          <w:lang w:val="es-MX"/>
        </w:rPr>
        <w:t xml:space="preserve"> ELIMINADO</w:t>
      </w:r>
      <w:r w:rsidRPr="00A870C1">
        <w:rPr>
          <w:rFonts w:ascii="Arial" w:hAnsi="Arial" w:cs="Arial"/>
          <w:lang w:val="es-MX"/>
        </w:rPr>
        <w:t>, por concepto de Intereses Ordinarios; III.- De la cantidad de $</w:t>
      </w:r>
      <w:r>
        <w:rPr>
          <w:rFonts w:ascii="Arial" w:hAnsi="Arial" w:cs="Arial"/>
          <w:b/>
          <w:lang w:val="es-MX"/>
        </w:rPr>
        <w:t xml:space="preserve"> ELIMINADO</w:t>
      </w:r>
      <w:r w:rsidRPr="00A870C1">
        <w:rPr>
          <w:rFonts w:ascii="Arial" w:hAnsi="Arial" w:cs="Arial"/>
          <w:lang w:val="es-MX"/>
        </w:rPr>
        <w:t xml:space="preserve"> por concepto de Primas de Seguro. IV.- De la cantidad de $</w:t>
      </w:r>
      <w:r>
        <w:rPr>
          <w:rFonts w:ascii="Arial" w:hAnsi="Arial" w:cs="Arial"/>
          <w:b/>
          <w:lang w:val="es-MX"/>
        </w:rPr>
        <w:t xml:space="preserve"> ELIMINADO</w:t>
      </w:r>
      <w:r w:rsidRPr="00A870C1">
        <w:rPr>
          <w:rFonts w:ascii="Arial" w:hAnsi="Arial" w:cs="Arial"/>
          <w:lang w:val="es-MX"/>
        </w:rPr>
        <w:t xml:space="preserve"> por concepto de Comisiones por Administración Periódica. V.- De la cantidad de $</w:t>
      </w:r>
      <w:r>
        <w:rPr>
          <w:rFonts w:ascii="Arial" w:hAnsi="Arial" w:cs="Arial"/>
          <w:b/>
          <w:lang w:val="es-MX"/>
        </w:rPr>
        <w:t xml:space="preserve"> ELIMINADO</w:t>
      </w:r>
      <w:r w:rsidRPr="00A870C1">
        <w:rPr>
          <w:rFonts w:ascii="Arial" w:hAnsi="Arial" w:cs="Arial"/>
          <w:lang w:val="es-MX"/>
        </w:rPr>
        <w:t xml:space="preserve"> por concepto de IVA de comisiones por Administración Periódica. VI. De la cantidad de $</w:t>
      </w:r>
      <w:r w:rsidRPr="00E254E7">
        <w:rPr>
          <w:rFonts w:ascii="Arial" w:hAnsi="Arial" w:cs="Arial"/>
          <w:b/>
          <w:lang w:val="es-MX"/>
        </w:rPr>
        <w:t xml:space="preserve">ELIMINADO </w:t>
      </w:r>
      <w:r w:rsidRPr="00A870C1">
        <w:rPr>
          <w:rFonts w:ascii="Arial" w:hAnsi="Arial" w:cs="Arial"/>
          <w:lang w:val="es-MX"/>
        </w:rPr>
        <w:t>por concepto de Comisiones. VII.- De la cantidad de $</w:t>
      </w:r>
      <w:r w:rsidRPr="00E254E7">
        <w:rPr>
          <w:rFonts w:ascii="Arial" w:hAnsi="Arial" w:cs="Arial"/>
          <w:b/>
          <w:lang w:val="es-MX"/>
        </w:rPr>
        <w:t xml:space="preserve">ELIMINADO </w:t>
      </w:r>
      <w:r w:rsidRPr="00A870C1">
        <w:rPr>
          <w:rFonts w:ascii="Arial" w:hAnsi="Arial" w:cs="Arial"/>
          <w:lang w:val="es-MX"/>
        </w:rPr>
        <w:t xml:space="preserve"> por concepto de IVA de Comisiones. C).- Por el pago de Intereses Ordinarios, y Primas de Seguros, Comisiones, IVA de comisiones en los términos del contrato fundatorio de la acción, que se sigan generando hasta la total liquidación del adeudo por parte del demandado, de acuerdo a lo establecido y pactado en las Cláusulas del Contrato Base de la Acción de fecha </w:t>
      </w:r>
      <w:r>
        <w:rPr>
          <w:rFonts w:ascii="Arial" w:hAnsi="Arial" w:cs="Arial"/>
          <w:b/>
          <w:lang w:val="es-MX"/>
        </w:rPr>
        <w:t xml:space="preserve"> ELIMINADO</w:t>
      </w:r>
      <w:r w:rsidRPr="00A870C1">
        <w:rPr>
          <w:rFonts w:ascii="Arial" w:hAnsi="Arial" w:cs="Arial"/>
          <w:lang w:val="es-MX"/>
        </w:rPr>
        <w:t>, las cuales se cuantificarán en Ejecución de Sentencia. D).- Por el pago de gastos y costas, así como los honorarios de los profesionistas que intervengan durante este procedimiento y que se generen durante el trámite del mismo. […].”</w:t>
      </w:r>
      <w:r w:rsidRPr="00A870C1">
        <w:rPr>
          <w:rFonts w:ascii="Arial" w:hAnsi="Arial" w:cs="Arial"/>
          <w:u w:val="single"/>
          <w:lang w:val="es-MX"/>
        </w:rPr>
        <w:t xml:space="preserve"> </w:t>
      </w:r>
    </w:p>
    <w:p w:rsidR="00E254E7" w:rsidRPr="00A870C1" w:rsidRDefault="00E254E7" w:rsidP="00E254E7">
      <w:pPr>
        <w:widowControl w:val="0"/>
        <w:spacing w:before="100" w:beforeAutospacing="1" w:line="360" w:lineRule="auto"/>
        <w:ind w:firstLine="1134"/>
        <w:jc w:val="both"/>
        <w:rPr>
          <w:rFonts w:ascii="Arial" w:hAnsi="Arial" w:cs="Arial"/>
          <w:sz w:val="26"/>
          <w:szCs w:val="26"/>
          <w:lang w:val="es-MX"/>
        </w:rPr>
      </w:pPr>
      <w:r w:rsidRPr="00A870C1">
        <w:rPr>
          <w:rFonts w:ascii="Arial" w:hAnsi="Arial" w:cs="Arial"/>
          <w:sz w:val="26"/>
          <w:szCs w:val="26"/>
          <w:lang w:val="es-MX"/>
        </w:rPr>
        <w:t>b). Seguido el juicio natural por sus trámites legales, el 27 veintisiete de agosto de 2020 dos mil veinte, se dictó sentencia definitiva en la cual, ante el incumplimiento de la parte demandada de las obligaciones pactadas en el contrato base de la acción, se declaró el vencimiento anticipado del plazo para el pago del crédito a que se refiere el contrato de apertura de crédito simple con ga</w:t>
      </w:r>
      <w:r>
        <w:rPr>
          <w:rFonts w:ascii="Arial" w:hAnsi="Arial" w:cs="Arial"/>
          <w:sz w:val="26"/>
          <w:szCs w:val="26"/>
          <w:lang w:val="es-MX"/>
        </w:rPr>
        <w:t>rantía hipotecaria celebrado el</w:t>
      </w:r>
      <w:r>
        <w:rPr>
          <w:rFonts w:ascii="Arial" w:hAnsi="Arial" w:cs="Arial"/>
          <w:b/>
          <w:sz w:val="26"/>
          <w:szCs w:val="26"/>
          <w:lang w:val="es-MX"/>
        </w:rPr>
        <w:t xml:space="preserve"> ELIMINADO</w:t>
      </w:r>
      <w:r w:rsidRPr="00A870C1">
        <w:rPr>
          <w:rFonts w:ascii="Arial" w:hAnsi="Arial" w:cs="Arial"/>
          <w:sz w:val="26"/>
          <w:szCs w:val="26"/>
          <w:lang w:val="es-MX"/>
        </w:rPr>
        <w:t xml:space="preserve">, entre </w:t>
      </w:r>
      <w:r>
        <w:rPr>
          <w:rFonts w:ascii="Arial" w:hAnsi="Arial" w:cs="Arial"/>
          <w:b/>
          <w:sz w:val="26"/>
          <w:szCs w:val="26"/>
          <w:lang w:val="es-MX"/>
        </w:rPr>
        <w:t>ELIMINADO</w:t>
      </w:r>
      <w:r w:rsidRPr="00A870C1">
        <w:rPr>
          <w:rFonts w:ascii="Arial" w:hAnsi="Arial" w:cs="Arial"/>
          <w:sz w:val="26"/>
          <w:szCs w:val="26"/>
          <w:lang w:val="es-MX"/>
        </w:rPr>
        <w:t xml:space="preserve"> como acreditante y </w:t>
      </w:r>
      <w:r w:rsidRPr="00E254E7">
        <w:rPr>
          <w:rFonts w:ascii="Arial" w:hAnsi="Arial" w:cs="Arial"/>
          <w:b/>
          <w:sz w:val="26"/>
          <w:szCs w:val="26"/>
          <w:lang w:val="es-MX"/>
        </w:rPr>
        <w:t xml:space="preserve"> ELIMINADO </w:t>
      </w:r>
      <w:r w:rsidRPr="00A870C1">
        <w:rPr>
          <w:rFonts w:ascii="Arial" w:hAnsi="Arial" w:cs="Arial"/>
          <w:sz w:val="26"/>
          <w:szCs w:val="26"/>
          <w:lang w:val="es-MX"/>
        </w:rPr>
        <w:t xml:space="preserve"> como acreditada y garante hipotecario; por lo que, en lo que aquí interesa, se condenó a la demandada al pago de</w:t>
      </w:r>
      <w:r w:rsidRPr="00A870C1">
        <w:rPr>
          <w:rFonts w:ascii="Arial" w:hAnsi="Arial" w:cs="Arial"/>
          <w:b/>
          <w:sz w:val="26"/>
          <w:szCs w:val="26"/>
          <w:lang w:val="es-MX"/>
        </w:rPr>
        <w:t xml:space="preserve"> </w:t>
      </w:r>
      <w:r w:rsidRPr="00A870C1">
        <w:rPr>
          <w:rFonts w:ascii="Arial" w:hAnsi="Arial" w:cs="Arial"/>
          <w:b/>
          <w:sz w:val="26"/>
          <w:szCs w:val="26"/>
          <w:lang w:val="es-MX"/>
        </w:rPr>
        <w:lastRenderedPageBreak/>
        <w:t>$</w:t>
      </w:r>
      <w:r>
        <w:rPr>
          <w:rFonts w:ascii="Arial" w:hAnsi="Arial" w:cs="Arial"/>
          <w:b/>
          <w:sz w:val="26"/>
          <w:szCs w:val="26"/>
          <w:lang w:val="es-MX"/>
        </w:rPr>
        <w:t>E</w:t>
      </w:r>
      <w:r w:rsidRPr="00E254E7">
        <w:rPr>
          <w:rFonts w:ascii="Arial" w:hAnsi="Arial" w:cs="Arial"/>
          <w:b/>
          <w:sz w:val="26"/>
          <w:szCs w:val="26"/>
          <w:lang w:val="es-MX"/>
        </w:rPr>
        <w:t>LIMINADO</w:t>
      </w:r>
      <w:r>
        <w:rPr>
          <w:rFonts w:ascii="Arial" w:hAnsi="Arial" w:cs="Arial"/>
          <w:b/>
          <w:sz w:val="26"/>
          <w:szCs w:val="26"/>
          <w:lang w:val="es-MX"/>
        </w:rPr>
        <w:t xml:space="preserve">, </w:t>
      </w:r>
      <w:r w:rsidRPr="00A870C1">
        <w:rPr>
          <w:rFonts w:ascii="Arial" w:hAnsi="Arial" w:cs="Arial"/>
          <w:b/>
          <w:sz w:val="26"/>
          <w:szCs w:val="26"/>
          <w:lang w:val="es-MX"/>
        </w:rPr>
        <w:t xml:space="preserve">por concepto de intereses ordinarios a razón del </w:t>
      </w:r>
      <w:r>
        <w:rPr>
          <w:rFonts w:ascii="Arial" w:hAnsi="Arial" w:cs="Arial"/>
          <w:b/>
          <w:sz w:val="26"/>
          <w:szCs w:val="26"/>
          <w:lang w:val="es-MX"/>
        </w:rPr>
        <w:t xml:space="preserve"> ELIMINADO, generados al día ELIMINADO</w:t>
      </w:r>
      <w:r w:rsidRPr="00A870C1">
        <w:rPr>
          <w:rFonts w:ascii="Arial" w:hAnsi="Arial" w:cs="Arial"/>
          <w:b/>
          <w:sz w:val="26"/>
          <w:szCs w:val="26"/>
          <w:lang w:val="es-MX"/>
        </w:rPr>
        <w:t>, más los que se sigan venciendo hasta la liquidación total del adeudo, previa su regulación en ejecución de sentencia</w:t>
      </w:r>
      <w:r w:rsidRPr="00A870C1">
        <w:rPr>
          <w:rFonts w:ascii="Arial" w:hAnsi="Arial" w:cs="Arial"/>
          <w:sz w:val="26"/>
          <w:szCs w:val="26"/>
          <w:lang w:val="es-MX"/>
        </w:rPr>
        <w:t>.</w:t>
      </w:r>
    </w:p>
    <w:p w:rsidR="00E254E7" w:rsidRPr="00A870C1" w:rsidRDefault="00E254E7" w:rsidP="00E254E7">
      <w:pPr>
        <w:widowControl w:val="0"/>
        <w:spacing w:before="100" w:beforeAutospacing="1" w:line="360" w:lineRule="auto"/>
        <w:ind w:firstLine="1134"/>
        <w:jc w:val="both"/>
        <w:rPr>
          <w:rFonts w:ascii="Arial" w:hAnsi="Arial" w:cs="Arial"/>
          <w:sz w:val="26"/>
          <w:szCs w:val="26"/>
          <w:lang w:val="es-MX"/>
        </w:rPr>
      </w:pPr>
      <w:r w:rsidRPr="00A870C1">
        <w:rPr>
          <w:rFonts w:ascii="Arial" w:hAnsi="Arial" w:cs="Arial"/>
          <w:sz w:val="26"/>
          <w:szCs w:val="26"/>
          <w:lang w:val="es-MX"/>
        </w:rPr>
        <w:t>c). El 15 quince de octubre de 2020 dos mil veinte, se decl</w:t>
      </w:r>
      <w:r>
        <w:rPr>
          <w:rFonts w:ascii="Arial" w:hAnsi="Arial" w:cs="Arial"/>
          <w:sz w:val="26"/>
          <w:szCs w:val="26"/>
          <w:lang w:val="es-MX"/>
        </w:rPr>
        <w:t>aró que la sentencia definitiva</w:t>
      </w:r>
      <w:r w:rsidRPr="00A870C1">
        <w:rPr>
          <w:rFonts w:ascii="Arial" w:hAnsi="Arial" w:cs="Arial"/>
          <w:sz w:val="26"/>
          <w:szCs w:val="26"/>
          <w:lang w:val="es-MX"/>
        </w:rPr>
        <w:t xml:space="preserve"> causó ejecutoria</w:t>
      </w:r>
      <w:r>
        <w:rPr>
          <w:rFonts w:ascii="Arial" w:hAnsi="Arial" w:cs="Arial"/>
          <w:sz w:val="26"/>
          <w:szCs w:val="26"/>
          <w:lang w:val="es-MX"/>
        </w:rPr>
        <w:t>,</w:t>
      </w:r>
      <w:r w:rsidRPr="00A870C1">
        <w:rPr>
          <w:rFonts w:ascii="Arial" w:hAnsi="Arial" w:cs="Arial"/>
          <w:sz w:val="26"/>
          <w:szCs w:val="26"/>
          <w:lang w:val="es-MX"/>
        </w:rPr>
        <w:t xml:space="preserve"> al no haber sido impugnada por las partes, por lo que se ordenó requerir a la </w:t>
      </w:r>
      <w:r w:rsidRPr="003F05D7">
        <w:rPr>
          <w:rFonts w:ascii="Arial" w:hAnsi="Arial" w:cs="Arial"/>
          <w:sz w:val="26"/>
          <w:szCs w:val="26"/>
          <w:lang w:val="es-MX"/>
        </w:rPr>
        <w:t>demandada, para</w:t>
      </w:r>
      <w:r>
        <w:rPr>
          <w:rFonts w:ascii="Arial" w:hAnsi="Arial" w:cs="Arial"/>
          <w:sz w:val="26"/>
          <w:szCs w:val="26"/>
          <w:lang w:val="es-MX"/>
        </w:rPr>
        <w:t xml:space="preserve"> que </w:t>
      </w:r>
      <w:r w:rsidRPr="00A870C1">
        <w:rPr>
          <w:rFonts w:ascii="Arial" w:hAnsi="Arial" w:cs="Arial"/>
          <w:sz w:val="26"/>
          <w:szCs w:val="26"/>
          <w:lang w:val="es-MX"/>
        </w:rPr>
        <w:t>diera cumplimiento voluntario a la misma.</w:t>
      </w:r>
    </w:p>
    <w:p w:rsidR="00E254E7" w:rsidRPr="00A870C1" w:rsidRDefault="00E254E7" w:rsidP="00E254E7">
      <w:pPr>
        <w:widowControl w:val="0"/>
        <w:spacing w:before="100" w:beforeAutospacing="1" w:line="360" w:lineRule="auto"/>
        <w:ind w:firstLine="1134"/>
        <w:jc w:val="both"/>
        <w:rPr>
          <w:rFonts w:ascii="Arial" w:hAnsi="Arial" w:cs="Arial"/>
          <w:sz w:val="26"/>
          <w:szCs w:val="26"/>
          <w:lang w:val="es-MX"/>
        </w:rPr>
      </w:pPr>
      <w:r w:rsidRPr="00A870C1">
        <w:rPr>
          <w:rFonts w:ascii="Arial" w:hAnsi="Arial" w:cs="Arial"/>
          <w:sz w:val="26"/>
          <w:szCs w:val="26"/>
          <w:lang w:val="es-MX"/>
        </w:rPr>
        <w:t>d). Posteriormente, por auto de 20 veinte de noviembre del año</w:t>
      </w:r>
      <w:r>
        <w:rPr>
          <w:rFonts w:ascii="Arial" w:hAnsi="Arial" w:cs="Arial"/>
          <w:sz w:val="26"/>
          <w:szCs w:val="26"/>
          <w:lang w:val="es-MX"/>
        </w:rPr>
        <w:t xml:space="preserve"> próximo pasado</w:t>
      </w:r>
      <w:r w:rsidRPr="00A870C1">
        <w:rPr>
          <w:rFonts w:ascii="Arial" w:hAnsi="Arial" w:cs="Arial"/>
          <w:sz w:val="26"/>
          <w:szCs w:val="26"/>
          <w:lang w:val="es-MX"/>
        </w:rPr>
        <w:t>, se pasó a la etapa de ejecución forzosa.</w:t>
      </w:r>
    </w:p>
    <w:p w:rsidR="00E254E7" w:rsidRPr="00A870C1" w:rsidRDefault="00E254E7" w:rsidP="00E254E7">
      <w:pPr>
        <w:widowControl w:val="0"/>
        <w:spacing w:before="100" w:beforeAutospacing="1" w:line="360" w:lineRule="auto"/>
        <w:ind w:firstLine="1134"/>
        <w:jc w:val="both"/>
        <w:rPr>
          <w:rFonts w:ascii="Arial" w:hAnsi="Arial" w:cs="Arial"/>
          <w:sz w:val="26"/>
          <w:szCs w:val="26"/>
          <w:lang w:val="es-MX"/>
        </w:rPr>
      </w:pPr>
      <w:r w:rsidRPr="00A870C1">
        <w:rPr>
          <w:rFonts w:ascii="Arial" w:hAnsi="Arial" w:cs="Arial"/>
          <w:sz w:val="26"/>
          <w:szCs w:val="26"/>
          <w:lang w:val="es-MX"/>
        </w:rPr>
        <w:t xml:space="preserve">e). Mediante proveído de 26 veintiséis de mayo de 2021 dos mil veintiuno, se reconoció a </w:t>
      </w:r>
      <w:r w:rsidRPr="00E254E7">
        <w:rPr>
          <w:rFonts w:ascii="Arial" w:hAnsi="Arial" w:cs="Arial"/>
          <w:b/>
          <w:sz w:val="26"/>
          <w:szCs w:val="26"/>
          <w:lang w:val="es-MX"/>
        </w:rPr>
        <w:t xml:space="preserve"> ELIMINADO </w:t>
      </w:r>
      <w:r w:rsidRPr="00A870C1">
        <w:rPr>
          <w:rFonts w:ascii="Arial" w:hAnsi="Arial" w:cs="Arial"/>
          <w:sz w:val="26"/>
          <w:szCs w:val="26"/>
          <w:lang w:val="es-MX"/>
        </w:rPr>
        <w:t>el carácter de cesionario de los derechos de crédito, litigiosos y derechos derivados de los mismos que en este juicio correspondían a la parte actora; asimismo, se reconoció</w:t>
      </w:r>
      <w:r>
        <w:rPr>
          <w:rFonts w:ascii="Arial" w:hAnsi="Arial" w:cs="Arial"/>
          <w:sz w:val="26"/>
          <w:szCs w:val="26"/>
          <w:lang w:val="es-MX"/>
        </w:rPr>
        <w:t xml:space="preserve"> al licenciado</w:t>
      </w:r>
      <w:r w:rsidRPr="00E254E7">
        <w:rPr>
          <w:rFonts w:ascii="Arial" w:hAnsi="Arial" w:cs="Arial"/>
          <w:b/>
          <w:sz w:val="26"/>
          <w:szCs w:val="26"/>
          <w:lang w:val="es-MX"/>
        </w:rPr>
        <w:t xml:space="preserve"> ELIMINADO </w:t>
      </w:r>
      <w:r w:rsidRPr="00A870C1">
        <w:rPr>
          <w:rFonts w:ascii="Arial" w:hAnsi="Arial" w:cs="Arial"/>
          <w:sz w:val="26"/>
          <w:szCs w:val="26"/>
          <w:lang w:val="es-MX"/>
        </w:rPr>
        <w:t>el carácter de apoderado del cesionario en comento; finalmente, se tuvo al último de los mencionados,</w:t>
      </w:r>
      <w:r>
        <w:rPr>
          <w:rFonts w:ascii="Arial" w:hAnsi="Arial" w:cs="Arial"/>
          <w:sz w:val="26"/>
          <w:szCs w:val="26"/>
          <w:lang w:val="es-MX"/>
        </w:rPr>
        <w:t xml:space="preserve"> por</w:t>
      </w:r>
      <w:r w:rsidRPr="00A870C1">
        <w:rPr>
          <w:rFonts w:ascii="Arial" w:hAnsi="Arial" w:cs="Arial"/>
          <w:sz w:val="26"/>
          <w:szCs w:val="26"/>
          <w:lang w:val="es-MX"/>
        </w:rPr>
        <w:t xml:space="preserve"> formulando incidente de liquidación de sentencia, en términos del escrito recibido en el juzgado de origen el 17 diecisiete de mayo de 2021 dos mil veintiuno, que es del tenor literal siguiente:</w:t>
      </w:r>
    </w:p>
    <w:p w:rsidR="00E254E7" w:rsidRPr="00A870C1" w:rsidRDefault="00E254E7" w:rsidP="00E254E7">
      <w:pPr>
        <w:widowControl w:val="0"/>
        <w:spacing w:before="100" w:beforeAutospacing="1" w:line="360" w:lineRule="auto"/>
        <w:ind w:left="1134"/>
        <w:jc w:val="both"/>
        <w:rPr>
          <w:rFonts w:ascii="Arial" w:hAnsi="Arial" w:cs="Arial"/>
          <w:lang w:val="es-MX"/>
        </w:rPr>
      </w:pPr>
      <w:r w:rsidRPr="00A870C1">
        <w:rPr>
          <w:rFonts w:ascii="Arial" w:hAnsi="Arial" w:cs="Arial"/>
          <w:lang w:val="es-MX"/>
        </w:rPr>
        <w:t>“[…] Se condena a la parte demandada como suerte principal de capital vencido a pagar la cantidad de $</w:t>
      </w:r>
      <w:r w:rsidRPr="00E254E7">
        <w:rPr>
          <w:rFonts w:ascii="Arial" w:hAnsi="Arial" w:cs="Arial"/>
          <w:b/>
          <w:lang w:val="es-MX"/>
        </w:rPr>
        <w:t xml:space="preserve"> ELIMINADO</w:t>
      </w:r>
      <w:r w:rsidRPr="00A870C1">
        <w:rPr>
          <w:rFonts w:ascii="Arial" w:hAnsi="Arial" w:cs="Arial"/>
          <w:lang w:val="es-MX"/>
        </w:rPr>
        <w:t xml:space="preserve">, que se toma como suerte principal, según se aprecia en el </w:t>
      </w:r>
      <w:r w:rsidRPr="00A870C1">
        <w:rPr>
          <w:rFonts w:ascii="Arial" w:hAnsi="Arial" w:cs="Arial"/>
          <w:u w:val="single"/>
          <w:lang w:val="es-MX"/>
        </w:rPr>
        <w:t>resolutivo quinto</w:t>
      </w:r>
      <w:r w:rsidRPr="00A870C1">
        <w:rPr>
          <w:rFonts w:ascii="Arial" w:hAnsi="Arial" w:cs="Arial"/>
          <w:lang w:val="es-MX"/>
        </w:rPr>
        <w:t xml:space="preserve"> de la sentencia definitiva de fecha 27 de Agosto del 2020. Se condena a mi ahora demandada en el </w:t>
      </w:r>
      <w:r w:rsidRPr="00A870C1">
        <w:rPr>
          <w:rFonts w:ascii="Arial" w:hAnsi="Arial" w:cs="Arial"/>
          <w:u w:val="single"/>
          <w:lang w:val="es-MX"/>
        </w:rPr>
        <w:t>resolutivo quinto</w:t>
      </w:r>
      <w:r w:rsidRPr="00A870C1">
        <w:rPr>
          <w:rFonts w:ascii="Arial" w:hAnsi="Arial" w:cs="Arial"/>
          <w:lang w:val="es-MX"/>
        </w:rPr>
        <w:t xml:space="preserve"> de la sentencia definitiva de fecha 27 de agosto de 2020, y que tiene su fundamento en la cláusula décima cuarta Fracción II del contrato base de la acción, al pago de los intereses ordinarios estipulados dentro del contrato base de la acción que se generen a partir del </w:t>
      </w:r>
      <w:r>
        <w:rPr>
          <w:rFonts w:ascii="Arial" w:hAnsi="Arial" w:cs="Arial"/>
          <w:b/>
          <w:lang w:val="es-MX"/>
        </w:rPr>
        <w:t>ELIMINADO</w:t>
      </w:r>
      <w:r w:rsidRPr="00A870C1">
        <w:rPr>
          <w:rFonts w:ascii="Arial" w:hAnsi="Arial" w:cs="Arial"/>
          <w:lang w:val="es-MX"/>
        </w:rPr>
        <w:t xml:space="preserve">. En base a la sentencia definitiva dictada dentro del presente negocio y de acuerdo a lo pactado dentro del documento base de la acción se proceden a calcular los intereses generados del </w:t>
      </w:r>
      <w:r w:rsidRPr="00E254E7">
        <w:rPr>
          <w:rFonts w:ascii="Arial" w:hAnsi="Arial" w:cs="Arial"/>
          <w:b/>
          <w:lang w:val="es-MX"/>
        </w:rPr>
        <w:t>ELIMINADO</w:t>
      </w:r>
      <w:r w:rsidRPr="00A870C1">
        <w:rPr>
          <w:rFonts w:ascii="Arial" w:hAnsi="Arial" w:cs="Arial"/>
          <w:lang w:val="es-MX"/>
        </w:rPr>
        <w:t>.</w:t>
      </w:r>
    </w:p>
    <w:tbl>
      <w:tblPr>
        <w:tblStyle w:val="Tablaconcuadrcula"/>
        <w:tblW w:w="7083" w:type="dxa"/>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1830"/>
        <w:gridCol w:w="823"/>
        <w:gridCol w:w="1386"/>
        <w:gridCol w:w="1489"/>
      </w:tblGrid>
      <w:tr w:rsidR="00E254E7" w:rsidRPr="00A870C1" w:rsidTr="00CC30FA">
        <w:tc>
          <w:tcPr>
            <w:tcW w:w="1555" w:type="dxa"/>
            <w:noWrap/>
          </w:tcPr>
          <w:p w:rsidR="00E254E7" w:rsidRPr="00A870C1" w:rsidRDefault="00E254E7" w:rsidP="00CC30FA">
            <w:pPr>
              <w:widowControl w:val="0"/>
              <w:spacing w:before="100" w:beforeAutospacing="1"/>
              <w:jc w:val="both"/>
              <w:rPr>
                <w:rFonts w:ascii="Arial" w:hAnsi="Arial" w:cs="Arial"/>
                <w:sz w:val="18"/>
                <w:szCs w:val="18"/>
                <w:vertAlign w:val="subscript"/>
                <w:lang w:val="es-MX"/>
              </w:rPr>
            </w:pPr>
            <w:r w:rsidRPr="00A870C1">
              <w:rPr>
                <w:rFonts w:ascii="Arial" w:hAnsi="Arial" w:cs="Arial"/>
                <w:sz w:val="18"/>
                <w:szCs w:val="18"/>
                <w:vertAlign w:val="subscript"/>
                <w:lang w:val="es-MX"/>
              </w:rPr>
              <w:t>SUERTE  PRINCIPAL</w:t>
            </w:r>
          </w:p>
        </w:tc>
        <w:tc>
          <w:tcPr>
            <w:tcW w:w="2136" w:type="dxa"/>
          </w:tcPr>
          <w:p w:rsidR="00E254E7" w:rsidRPr="00A870C1" w:rsidRDefault="00E254E7" w:rsidP="00CC30FA">
            <w:pPr>
              <w:widowControl w:val="0"/>
              <w:spacing w:before="100" w:beforeAutospacing="1"/>
              <w:jc w:val="both"/>
              <w:rPr>
                <w:rFonts w:ascii="Arial" w:hAnsi="Arial" w:cs="Arial"/>
                <w:sz w:val="18"/>
                <w:szCs w:val="18"/>
                <w:vertAlign w:val="subscript"/>
                <w:lang w:val="es-MX"/>
              </w:rPr>
            </w:pPr>
            <w:r w:rsidRPr="00A870C1">
              <w:rPr>
                <w:rFonts w:ascii="Arial" w:hAnsi="Arial" w:cs="Arial"/>
                <w:sz w:val="18"/>
                <w:szCs w:val="18"/>
                <w:vertAlign w:val="subscript"/>
                <w:lang w:val="es-MX"/>
              </w:rPr>
              <w:t xml:space="preserve">VENCIMIENTO DEL AL </w:t>
            </w:r>
          </w:p>
        </w:tc>
        <w:tc>
          <w:tcPr>
            <w:tcW w:w="850" w:type="dxa"/>
          </w:tcPr>
          <w:p w:rsidR="00E254E7" w:rsidRPr="00A870C1" w:rsidRDefault="00E254E7" w:rsidP="00CC30FA">
            <w:pPr>
              <w:widowControl w:val="0"/>
              <w:spacing w:before="100" w:beforeAutospacing="1"/>
              <w:jc w:val="both"/>
              <w:rPr>
                <w:rFonts w:ascii="Arial" w:hAnsi="Arial" w:cs="Arial"/>
                <w:sz w:val="18"/>
                <w:szCs w:val="18"/>
                <w:vertAlign w:val="subscript"/>
                <w:lang w:val="es-MX"/>
              </w:rPr>
            </w:pPr>
            <w:r w:rsidRPr="00A870C1">
              <w:rPr>
                <w:rFonts w:ascii="Arial" w:hAnsi="Arial" w:cs="Arial"/>
                <w:sz w:val="18"/>
                <w:szCs w:val="18"/>
                <w:vertAlign w:val="subscript"/>
                <w:lang w:val="es-MX"/>
              </w:rPr>
              <w:t>DÍAS DEL PERIODO</w:t>
            </w:r>
          </w:p>
        </w:tc>
        <w:tc>
          <w:tcPr>
            <w:tcW w:w="919" w:type="dxa"/>
          </w:tcPr>
          <w:p w:rsidR="00E254E7" w:rsidRPr="00A870C1" w:rsidRDefault="00E254E7" w:rsidP="00CC30FA">
            <w:pPr>
              <w:widowControl w:val="0"/>
              <w:spacing w:before="100" w:beforeAutospacing="1"/>
              <w:jc w:val="both"/>
              <w:rPr>
                <w:rFonts w:ascii="Arial" w:hAnsi="Arial" w:cs="Arial"/>
                <w:sz w:val="18"/>
                <w:szCs w:val="18"/>
                <w:vertAlign w:val="subscript"/>
                <w:lang w:val="es-MX"/>
              </w:rPr>
            </w:pPr>
            <w:r w:rsidRPr="00A870C1">
              <w:rPr>
                <w:rFonts w:ascii="Arial" w:hAnsi="Arial" w:cs="Arial"/>
                <w:sz w:val="18"/>
                <w:szCs w:val="18"/>
                <w:vertAlign w:val="subscript"/>
                <w:lang w:val="es-MX"/>
              </w:rPr>
              <w:t xml:space="preserve">TASA ORDINARIA </w:t>
            </w:r>
          </w:p>
        </w:tc>
        <w:tc>
          <w:tcPr>
            <w:tcW w:w="1623" w:type="dxa"/>
          </w:tcPr>
          <w:p w:rsidR="00E254E7" w:rsidRPr="00A870C1" w:rsidRDefault="00E254E7" w:rsidP="00CC30FA">
            <w:pPr>
              <w:widowControl w:val="0"/>
              <w:spacing w:before="100" w:beforeAutospacing="1"/>
              <w:jc w:val="both"/>
              <w:rPr>
                <w:rFonts w:ascii="Arial" w:hAnsi="Arial" w:cs="Arial"/>
                <w:sz w:val="18"/>
                <w:szCs w:val="18"/>
                <w:vertAlign w:val="subscript"/>
                <w:lang w:val="es-MX"/>
              </w:rPr>
            </w:pPr>
            <w:r w:rsidRPr="00A870C1">
              <w:rPr>
                <w:rFonts w:ascii="Arial" w:hAnsi="Arial" w:cs="Arial"/>
                <w:sz w:val="18"/>
                <w:szCs w:val="18"/>
                <w:vertAlign w:val="subscript"/>
                <w:lang w:val="es-MX"/>
              </w:rPr>
              <w:t>INTERES ORDINARIO</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A</w:t>
            </w:r>
          </w:p>
        </w:tc>
        <w:tc>
          <w:tcPr>
            <w:tcW w:w="2136"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B</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C</w:t>
            </w:r>
          </w:p>
        </w:tc>
        <w:tc>
          <w:tcPr>
            <w:tcW w:w="919"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D</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E</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lastRenderedPageBreak/>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c>
          <w:tcPr>
            <w:tcW w:w="2136"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30</w:t>
            </w:r>
          </w:p>
        </w:tc>
        <w:tc>
          <w:tcPr>
            <w:tcW w:w="919" w:type="dxa"/>
          </w:tcPr>
          <w:p w:rsidR="00E254E7" w:rsidRPr="00A870C1" w:rsidRDefault="00D003CB" w:rsidP="00CC30FA">
            <w:pPr>
              <w:widowControl w:val="0"/>
              <w:spacing w:before="100" w:beforeAutospacing="1" w:line="360" w:lineRule="auto"/>
              <w:jc w:val="both"/>
              <w:rPr>
                <w:rFonts w:ascii="Arial" w:hAnsi="Arial" w:cs="Arial"/>
                <w:sz w:val="18"/>
                <w:szCs w:val="18"/>
                <w:lang w:val="es-MX"/>
              </w:rPr>
            </w:pPr>
            <w:r w:rsidRPr="00D003CB">
              <w:rPr>
                <w:rFonts w:ascii="Arial" w:hAnsi="Arial" w:cs="Arial"/>
                <w:b/>
                <w:sz w:val="18"/>
                <w:szCs w:val="18"/>
                <w:lang w:val="es-MX"/>
              </w:rPr>
              <w:t>ELIMINADO</w:t>
            </w:r>
            <w:r w:rsidR="00E254E7" w:rsidRPr="00A870C1">
              <w:rPr>
                <w:rFonts w:ascii="Arial" w:hAnsi="Arial" w:cs="Arial"/>
                <w:sz w:val="18"/>
                <w:szCs w:val="18"/>
                <w:lang w:val="es-MX"/>
              </w:rPr>
              <w:t>%</w:t>
            </w:r>
          </w:p>
        </w:tc>
        <w:tc>
          <w:tcPr>
            <w:tcW w:w="1623"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r w:rsidRPr="00A870C1">
              <w:rPr>
                <w:rFonts w:ascii="Arial" w:hAnsi="Arial" w:cs="Arial"/>
                <w:sz w:val="18"/>
                <w:szCs w:val="18"/>
                <w:lang w:val="es-MX"/>
              </w:rPr>
              <w:t>$</w:t>
            </w:r>
            <w:r w:rsidRPr="00E254E7">
              <w:rPr>
                <w:rFonts w:ascii="Arial" w:hAnsi="Arial" w:cs="Arial"/>
                <w:b/>
                <w:sz w:val="18"/>
                <w:szCs w:val="18"/>
                <w:lang w:val="es-MX"/>
              </w:rPr>
              <w:t xml:space="preserve"> ELIMINADO </w:t>
            </w:r>
          </w:p>
        </w:tc>
      </w:tr>
      <w:tr w:rsidR="00E254E7" w:rsidRPr="00A870C1" w:rsidTr="00CC30FA">
        <w:tc>
          <w:tcPr>
            <w:tcW w:w="1555"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p>
        </w:tc>
        <w:tc>
          <w:tcPr>
            <w:tcW w:w="2136"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p>
        </w:tc>
        <w:tc>
          <w:tcPr>
            <w:tcW w:w="850"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p>
        </w:tc>
        <w:tc>
          <w:tcPr>
            <w:tcW w:w="919" w:type="dxa"/>
          </w:tcPr>
          <w:p w:rsidR="00E254E7" w:rsidRPr="00A870C1" w:rsidRDefault="00E254E7" w:rsidP="00CC30FA">
            <w:pPr>
              <w:widowControl w:val="0"/>
              <w:spacing w:before="100" w:beforeAutospacing="1" w:line="360" w:lineRule="auto"/>
              <w:jc w:val="both"/>
              <w:rPr>
                <w:rFonts w:ascii="Arial" w:hAnsi="Arial" w:cs="Arial"/>
                <w:sz w:val="18"/>
                <w:szCs w:val="18"/>
                <w:lang w:val="es-MX"/>
              </w:rPr>
            </w:pPr>
          </w:p>
        </w:tc>
        <w:tc>
          <w:tcPr>
            <w:tcW w:w="1623" w:type="dxa"/>
          </w:tcPr>
          <w:p w:rsidR="00E254E7" w:rsidRPr="00A870C1" w:rsidRDefault="00E254E7" w:rsidP="00CC30FA">
            <w:pPr>
              <w:widowControl w:val="0"/>
              <w:spacing w:before="100" w:beforeAutospacing="1" w:line="360" w:lineRule="auto"/>
              <w:jc w:val="both"/>
              <w:rPr>
                <w:rFonts w:ascii="Arial" w:hAnsi="Arial" w:cs="Arial"/>
                <w:i/>
                <w:sz w:val="18"/>
                <w:szCs w:val="18"/>
                <w:lang w:val="es-MX"/>
              </w:rPr>
            </w:pPr>
            <w:r w:rsidRPr="00E254E7">
              <w:rPr>
                <w:rFonts w:ascii="Arial" w:hAnsi="Arial" w:cs="Arial"/>
                <w:b/>
                <w:sz w:val="18"/>
                <w:szCs w:val="18"/>
                <w:lang w:val="es-MX"/>
              </w:rPr>
              <w:t xml:space="preserve"> ELIMINADO </w:t>
            </w:r>
          </w:p>
        </w:tc>
      </w:tr>
    </w:tbl>
    <w:p w:rsidR="00E254E7" w:rsidRPr="00A870C1" w:rsidRDefault="00E254E7" w:rsidP="00E254E7">
      <w:pPr>
        <w:widowControl w:val="0"/>
        <w:spacing w:before="100" w:beforeAutospacing="1" w:line="360" w:lineRule="auto"/>
        <w:ind w:left="1134"/>
        <w:jc w:val="both"/>
        <w:rPr>
          <w:rFonts w:ascii="Arial" w:hAnsi="Arial" w:cs="Arial"/>
          <w:u w:val="single"/>
          <w:lang w:val="es-MX"/>
        </w:rPr>
      </w:pPr>
      <w:r w:rsidRPr="00A870C1">
        <w:rPr>
          <w:rFonts w:ascii="Arial" w:hAnsi="Arial" w:cs="Arial"/>
          <w:lang w:val="es-MX"/>
        </w:rPr>
        <w:t>En el inciso marcado como A se anota el monto que se toma como suerte principal y como base para realizar el cálculo la cantidad de $</w:t>
      </w:r>
      <w:r w:rsidRPr="00E254E7">
        <w:rPr>
          <w:rFonts w:ascii="Arial" w:hAnsi="Arial" w:cs="Arial"/>
          <w:b/>
          <w:lang w:val="es-MX"/>
        </w:rPr>
        <w:t xml:space="preserve"> ELIMINADO</w:t>
      </w:r>
      <w:r w:rsidRPr="00A870C1">
        <w:rPr>
          <w:rFonts w:ascii="Arial" w:hAnsi="Arial" w:cs="Arial"/>
          <w:lang w:val="es-MX"/>
        </w:rPr>
        <w:t xml:space="preserve">, lo anterior en virtud de que en la sentencia definitiva dictada en el presente juicio ese fue el monto que se condenó a las partes demandadas como suerte principal. En el inciso marcado como B, se estipula el periodo del mes a calcular. En el inciso marcado como C, se estipula la cantidad de días del período, de acuerdo a como lo estipularon las partes en el contrato base de la acción. En el inciso D del citado anexo se estipula la tasa ordinaria la cual es del </w:t>
      </w:r>
      <w:r w:rsidR="00D003CB" w:rsidRPr="00D003CB">
        <w:rPr>
          <w:rFonts w:ascii="Arial" w:hAnsi="Arial" w:cs="Arial"/>
          <w:b/>
          <w:lang w:val="es-MX"/>
        </w:rPr>
        <w:t>ELIMINADO</w:t>
      </w:r>
      <w:r w:rsidRPr="00A870C1">
        <w:rPr>
          <w:rFonts w:ascii="Arial" w:hAnsi="Arial" w:cs="Arial"/>
          <w:lang w:val="es-MX"/>
        </w:rPr>
        <w:t>% anual según como quedó estipulado en la cláusula décimo cuarta Fracción II del contrato base de la acción. En el inciso E se estipula el monto por concepto de interés ordinario obtenido de la formula estipulada dentro del contrato de garantía hipotecaria que es multiplicar el inciso A por el inciso (E/360 días del año) lo anterior por 30 días. De lo anterior nos arroja que el monto total por concepto de intereses ordinarios corresponde a la cantidad de $</w:t>
      </w:r>
      <w:r w:rsidRPr="00E254E7">
        <w:rPr>
          <w:rFonts w:ascii="Arial" w:hAnsi="Arial" w:cs="Arial"/>
          <w:b/>
          <w:lang w:val="es-MX"/>
        </w:rPr>
        <w:t xml:space="preserve"> ELIMINADO</w:t>
      </w:r>
      <w:r w:rsidRPr="00A870C1">
        <w:rPr>
          <w:rFonts w:ascii="Arial" w:hAnsi="Arial" w:cs="Arial"/>
          <w:lang w:val="es-MX"/>
        </w:rPr>
        <w:t xml:space="preserve">. Cantidad que deberá sumarse a la suerte principal, y cubrir el demandado una vez dictada la resolución del presente incidente. Fórmula para el cálculo de los intereses ordinarios. El cálculo se realiza [con] base a lo estipulado en la cláusula décimo cuarta fracción II del documento base de la acción. </w:t>
      </w:r>
      <w:r w:rsidRPr="00A870C1">
        <w:rPr>
          <w:rFonts w:ascii="Arial" w:hAnsi="Arial" w:cs="Arial"/>
          <w:u w:val="single"/>
          <w:lang w:val="es-MX"/>
        </w:rPr>
        <w:t>Intereses ordinarios=Capital x(tasa ordinaria/360) x30 días</w:t>
      </w:r>
      <w:r w:rsidRPr="00A870C1">
        <w:rPr>
          <w:rFonts w:ascii="Arial" w:hAnsi="Arial" w:cs="Arial"/>
          <w:lang w:val="es-MX"/>
        </w:rPr>
        <w:t xml:space="preserve">. En caso de que la presente planilla, tuviese algún exceso en el cálculo, solicito a su Señoría dentro de sus facultades tenga a bien regular la misma a efecto de que en el supuesto de que la cantidad resultante por este concepto para el juzgador fuese menor, tenga a bien aprobarla o resolverla concediendo el monto que le resulte. […]” </w:t>
      </w:r>
    </w:p>
    <w:p w:rsidR="00E254E7" w:rsidRPr="00A870C1" w:rsidRDefault="00E254E7" w:rsidP="00E254E7">
      <w:pPr>
        <w:widowControl w:val="0"/>
        <w:spacing w:before="100" w:beforeAutospacing="1" w:line="360" w:lineRule="auto"/>
        <w:jc w:val="both"/>
        <w:rPr>
          <w:rFonts w:ascii="Arial" w:hAnsi="Arial" w:cs="Arial"/>
          <w:sz w:val="26"/>
          <w:szCs w:val="26"/>
          <w:lang w:val="es-MX"/>
        </w:rPr>
      </w:pPr>
      <w:r w:rsidRPr="00A870C1">
        <w:rPr>
          <w:rFonts w:ascii="Arial" w:hAnsi="Arial" w:cs="Arial"/>
          <w:sz w:val="26"/>
          <w:szCs w:val="26"/>
          <w:lang w:val="es-MX"/>
        </w:rPr>
        <w:tab/>
      </w:r>
      <w:r w:rsidRPr="00A870C1">
        <w:rPr>
          <w:rFonts w:ascii="Arial" w:hAnsi="Arial" w:cs="Arial"/>
          <w:sz w:val="26"/>
          <w:szCs w:val="26"/>
          <w:lang w:val="es-MX"/>
        </w:rPr>
        <w:tab/>
        <w:t>f). Una vez concluido el trámite incidental, el 13 trece de julio de 2021 dos mil veintiuno, se dictó interlocutoria que declaró procedente la liquidación de intereses ordinarios, aprobándose la cantidad de $</w:t>
      </w:r>
      <w:r w:rsidR="00662CA0">
        <w:rPr>
          <w:rFonts w:ascii="Arial" w:hAnsi="Arial" w:cs="Arial"/>
          <w:b/>
          <w:sz w:val="26"/>
          <w:szCs w:val="26"/>
          <w:lang w:val="es-MX"/>
        </w:rPr>
        <w:t xml:space="preserve">ELIMINADO </w:t>
      </w:r>
      <w:r w:rsidRPr="00A870C1">
        <w:rPr>
          <w:rFonts w:ascii="Arial" w:hAnsi="Arial" w:cs="Arial"/>
          <w:sz w:val="26"/>
          <w:szCs w:val="26"/>
          <w:lang w:val="es-MX"/>
        </w:rPr>
        <w:t xml:space="preserve">por concepto de intereses ordinarios generados del </w:t>
      </w:r>
      <w:r w:rsidR="00662CA0">
        <w:rPr>
          <w:rFonts w:ascii="Arial" w:hAnsi="Arial" w:cs="Arial"/>
          <w:b/>
          <w:sz w:val="26"/>
          <w:szCs w:val="26"/>
          <w:lang w:val="es-MX"/>
        </w:rPr>
        <w:t>ELIMINADO</w:t>
      </w:r>
      <w:r w:rsidR="00662CA0">
        <w:rPr>
          <w:rFonts w:ascii="Arial" w:hAnsi="Arial" w:cs="Arial"/>
          <w:sz w:val="26"/>
          <w:szCs w:val="26"/>
          <w:lang w:val="es-MX"/>
        </w:rPr>
        <w:t>, a una tasa de interés del</w:t>
      </w:r>
      <w:r w:rsidR="00662CA0">
        <w:rPr>
          <w:rFonts w:ascii="Arial" w:hAnsi="Arial" w:cs="Arial"/>
          <w:b/>
          <w:sz w:val="26"/>
          <w:szCs w:val="26"/>
          <w:lang w:val="es-MX"/>
        </w:rPr>
        <w:t xml:space="preserve"> ELIMINADO</w:t>
      </w:r>
      <w:r w:rsidRPr="00A870C1">
        <w:rPr>
          <w:rFonts w:ascii="Arial" w:hAnsi="Arial" w:cs="Arial"/>
          <w:sz w:val="26"/>
          <w:szCs w:val="26"/>
          <w:lang w:val="es-MX"/>
        </w:rPr>
        <w:t xml:space="preserve">, concediendo a la demandada el término improrrogable de 3 tres días para hacer el pago a la actora incidentista de la citada cantidad. </w:t>
      </w:r>
    </w:p>
    <w:p w:rsidR="00E254E7" w:rsidRPr="00A870C1" w:rsidRDefault="00E254E7" w:rsidP="00E254E7">
      <w:pPr>
        <w:widowControl w:val="0"/>
        <w:spacing w:before="100" w:beforeAutospacing="1" w:after="100" w:afterAutospacing="1" w:line="360" w:lineRule="auto"/>
        <w:ind w:firstLine="1134"/>
        <w:jc w:val="both"/>
        <w:rPr>
          <w:rFonts w:ascii="Arial" w:hAnsi="Arial" w:cs="Arial"/>
          <w:sz w:val="26"/>
          <w:szCs w:val="26"/>
        </w:rPr>
      </w:pPr>
      <w:r w:rsidRPr="00A870C1">
        <w:rPr>
          <w:rFonts w:ascii="Arial" w:hAnsi="Arial" w:cs="Arial"/>
          <w:sz w:val="26"/>
          <w:szCs w:val="26"/>
        </w:rPr>
        <w:lastRenderedPageBreak/>
        <w:t xml:space="preserve">La determinación anterior, constituye la materia de la queja que se resuelve. </w:t>
      </w:r>
    </w:p>
    <w:p w:rsidR="00E254E7" w:rsidRPr="00A870C1" w:rsidRDefault="00E254E7" w:rsidP="00E254E7">
      <w:pPr>
        <w:widowControl w:val="0"/>
        <w:spacing w:before="100" w:beforeAutospacing="1" w:after="100" w:afterAutospacing="1" w:line="360" w:lineRule="auto"/>
        <w:ind w:firstLine="1134"/>
        <w:jc w:val="both"/>
        <w:rPr>
          <w:rFonts w:ascii="Arial" w:eastAsia="Batang" w:hAnsi="Arial" w:cs="Arial"/>
          <w:b/>
          <w:sz w:val="26"/>
          <w:szCs w:val="26"/>
          <w:lang w:val="es-MX"/>
        </w:rPr>
      </w:pPr>
      <w:r w:rsidRPr="00A870C1">
        <w:rPr>
          <w:rFonts w:ascii="Arial" w:hAnsi="Arial" w:cs="Arial"/>
          <w:b/>
          <w:sz w:val="26"/>
          <w:szCs w:val="26"/>
        </w:rPr>
        <w:t>II.-</w:t>
      </w:r>
      <w:r w:rsidRPr="00A870C1">
        <w:rPr>
          <w:rFonts w:ascii="Arial" w:eastAsia="Batang" w:hAnsi="Arial" w:cs="Arial"/>
          <w:b/>
          <w:sz w:val="26"/>
          <w:szCs w:val="26"/>
          <w:lang w:val="es-MX"/>
        </w:rPr>
        <w:t xml:space="preserve"> Estudio de los motivos de queja. </w:t>
      </w:r>
    </w:p>
    <w:p w:rsidR="00E254E7" w:rsidRPr="00A870C1" w:rsidRDefault="00E254E7" w:rsidP="00E254E7">
      <w:pPr>
        <w:spacing w:before="100" w:beforeAutospacing="1" w:line="360" w:lineRule="auto"/>
        <w:ind w:firstLine="1134"/>
        <w:jc w:val="both"/>
        <w:rPr>
          <w:rFonts w:ascii="Arial" w:hAnsi="Arial" w:cs="Arial"/>
          <w:sz w:val="26"/>
          <w:szCs w:val="26"/>
        </w:rPr>
      </w:pPr>
      <w:r w:rsidRPr="00A870C1">
        <w:rPr>
          <w:rFonts w:ascii="Arial" w:hAnsi="Arial" w:cs="Arial"/>
          <w:sz w:val="26"/>
          <w:szCs w:val="26"/>
        </w:rPr>
        <w:t>Ahora bien, analizadas las constancias que integran el recurso de queja, en relación con los agravios formulados por</w:t>
      </w:r>
      <w:r w:rsidRPr="00E254E7">
        <w:rPr>
          <w:rFonts w:ascii="Arial" w:hAnsi="Arial" w:cs="Arial"/>
          <w:b/>
          <w:sz w:val="26"/>
          <w:szCs w:val="26"/>
        </w:rPr>
        <w:t xml:space="preserve"> ELIMINADO</w:t>
      </w:r>
      <w:r w:rsidRPr="00A870C1">
        <w:rPr>
          <w:rFonts w:ascii="Arial" w:hAnsi="Arial" w:cs="Arial"/>
          <w:sz w:val="26"/>
          <w:szCs w:val="26"/>
        </w:rPr>
        <w:t>, se llega a la convicción de que éstos devienen inoperantes.</w:t>
      </w:r>
    </w:p>
    <w:p w:rsidR="00E254E7" w:rsidRPr="00FC3BF3" w:rsidRDefault="00E254E7" w:rsidP="00E254E7">
      <w:pPr>
        <w:spacing w:before="100" w:beforeAutospacing="1" w:line="360" w:lineRule="auto"/>
        <w:ind w:firstLine="1134"/>
        <w:jc w:val="both"/>
        <w:rPr>
          <w:rFonts w:ascii="Arial" w:hAnsi="Arial" w:cs="Arial"/>
          <w:sz w:val="26"/>
          <w:szCs w:val="26"/>
        </w:rPr>
      </w:pPr>
      <w:r w:rsidRPr="00FC3BF3">
        <w:rPr>
          <w:rFonts w:ascii="Arial" w:hAnsi="Arial" w:cs="Arial"/>
          <w:sz w:val="26"/>
          <w:szCs w:val="26"/>
        </w:rPr>
        <w:t>Se sostiene lo anterior, cuenta habida que, la Primera Sala de la Suprema Corte de Justicia de la Nación, analizó la institución de cosa juzgada, así como la prohibición convencional de la usura, y determinó el alcance de esta última frente a la institución de referencia, todo ello en la ejecutoria que resolvió la contradicción de tesis 284/2015, de la que derivó jurisprudencia de rubro y texto</w:t>
      </w:r>
      <w:r>
        <w:rPr>
          <w:rFonts w:ascii="Arial" w:hAnsi="Arial" w:cs="Arial"/>
          <w:sz w:val="26"/>
          <w:szCs w:val="26"/>
        </w:rPr>
        <w:t xml:space="preserve"> siguiente</w:t>
      </w:r>
      <w:r w:rsidRPr="00FC3BF3">
        <w:rPr>
          <w:rFonts w:ascii="Arial" w:hAnsi="Arial" w:cs="Arial"/>
          <w:sz w:val="26"/>
          <w:szCs w:val="26"/>
        </w:rPr>
        <w:t>:</w:t>
      </w:r>
    </w:p>
    <w:p w:rsidR="00E254E7" w:rsidRPr="00FC3BF3" w:rsidRDefault="00E254E7" w:rsidP="00E254E7">
      <w:pPr>
        <w:spacing w:before="100" w:beforeAutospacing="1" w:line="360" w:lineRule="auto"/>
        <w:ind w:left="1418" w:right="826"/>
        <w:jc w:val="both"/>
        <w:rPr>
          <w:rFonts w:ascii="Arial" w:hAnsi="Arial" w:cs="Arial"/>
          <w:bCs/>
        </w:rPr>
      </w:pPr>
      <w:r w:rsidRPr="00FC3BF3">
        <w:rPr>
          <w:rFonts w:ascii="Arial" w:hAnsi="Arial" w:cs="Arial"/>
          <w:bCs/>
        </w:rPr>
        <w:t>“</w:t>
      </w:r>
      <w:r w:rsidRPr="00FC3BF3">
        <w:rPr>
          <w:rFonts w:ascii="Arial" w:hAnsi="Arial" w:cs="Arial"/>
          <w:b/>
          <w:bCs/>
        </w:rPr>
        <w:t>USURA. SU ANÁLISIS ENCUENTRA LÍMITE EN LA INSTITUCIÓN DE LA COSA JUZGADA.</w:t>
      </w:r>
      <w:r w:rsidRPr="00FC3BF3">
        <w:rPr>
          <w:rFonts w:ascii="Arial" w:hAnsi="Arial" w:cs="Arial"/>
          <w:bCs/>
        </w:rPr>
        <w:t xml:space="preserve"> El derecho de propiedad se encuentra reconocido en el artículo 21.3 de la Convención Americana sobre Derechos Humanos; por tanto, si bien el juzgador como una forma de protección a ese derecho, al advertir indicios de un interés excesivo o desproporcionado derivado de un préstamo, está obligado a analizar de oficio la posible configuración de usura y, de ser el caso, actuar en consecuencia, lo cierto es que, por seguridad y certeza jurídica, esa obligación necesariamente encuentra límite en la institución de la cosa juzgada. Por ello, si bien al momento de emitir la sentencia correspondiente en cumplimiento a la obligación que se deriva del precepto convencional mencionado está obligado a analizar de oficio la posible configuración de usura y, de ser el caso, actuar en consecuencia, lo cierto es que una vez que la sentencia respectiva queda firme, esa decisión es inmutable y debe ejecutarse en sus términos; por ello, aunque el análisis de la usura puede efectuarse mientras la sentencia que condena a su pago se encuentre sub júdice, lo cierto es que una vez que la condena respectiva pierde esa característica y adquiere firmeza, necesariamente debe ejecutarse, pues ello es una consecuencia del derecho de acceso a una justicia completa y efectiva; de ahí que en la etapa de ejecución de la sentencia, el juzgador ya no puede introducir de manera oficiosa ni a petición de parte, el análisis de usura respecto de puntos o elementos que ya fueron determinados en la sentencia; y que por ende, constituyen cosa juzgada, por ello, la determinación que condenó al pago de los intereses a una tasa específica en monto porcentual, debe considerarse firme. Así, </w:t>
      </w:r>
      <w:r w:rsidRPr="00FC3BF3">
        <w:rPr>
          <w:rFonts w:ascii="Arial" w:hAnsi="Arial" w:cs="Arial"/>
          <w:bCs/>
        </w:rPr>
        <w:lastRenderedPageBreak/>
        <w:t>aunque los intereses se siguen devengando después de dictada la sentencia, ello no puede conducir a considerar que el control de usura pueda efectuarse respecto de éstos, pues no debe perderse de vista que la condena al pago de los intereses conforme a la tasa pactada, no sólo abarca a los intereses que ya se devengaron, sino que además comprende todos aquellos que se sigan generando hasta que se cumpla con el pago de la suerte principal.”</w:t>
      </w:r>
      <w:r w:rsidRPr="00FC3BF3">
        <w:rPr>
          <w:bCs/>
        </w:rPr>
        <w:footnoteReference w:id="3"/>
      </w:r>
      <w:r w:rsidRPr="00FC3BF3">
        <w:rPr>
          <w:rFonts w:ascii="Arial" w:hAnsi="Arial" w:cs="Arial"/>
          <w:bCs/>
        </w:rPr>
        <w:t xml:space="preserve">. </w:t>
      </w:r>
    </w:p>
    <w:p w:rsidR="00E254E7" w:rsidRPr="00A870C1" w:rsidRDefault="00E254E7" w:rsidP="00E254E7">
      <w:pPr>
        <w:spacing w:before="100" w:beforeAutospacing="1" w:line="360" w:lineRule="auto"/>
        <w:ind w:firstLine="1134"/>
        <w:jc w:val="both"/>
        <w:rPr>
          <w:rFonts w:ascii="Arial" w:hAnsi="Arial" w:cs="Arial"/>
          <w:sz w:val="26"/>
          <w:szCs w:val="26"/>
        </w:rPr>
      </w:pPr>
      <w:r w:rsidRPr="00FC3BF3">
        <w:rPr>
          <w:rFonts w:ascii="Arial" w:hAnsi="Arial" w:cs="Arial"/>
          <w:sz w:val="26"/>
          <w:szCs w:val="26"/>
        </w:rPr>
        <w:t>En</w:t>
      </w:r>
      <w:r>
        <w:rPr>
          <w:rFonts w:ascii="Arial" w:hAnsi="Arial" w:cs="Arial"/>
          <w:sz w:val="26"/>
          <w:szCs w:val="26"/>
        </w:rPr>
        <w:t xml:space="preserve"> efecto, en la ejecutoria que resolvió</w:t>
      </w:r>
      <w:r w:rsidRPr="00FC3BF3">
        <w:rPr>
          <w:rFonts w:ascii="Arial" w:hAnsi="Arial" w:cs="Arial"/>
          <w:sz w:val="26"/>
          <w:szCs w:val="26"/>
        </w:rPr>
        <w:t xml:space="preserve"> la contradicción de tesis 284/2015, se señaló en primer término, que la institución procesal de la cosa juzgada, como se advierte de los artículos 14, segundo párrafo, y 17, tercer párrafo, de la Constitución de los Estados Unidos Mexicanos, se relaciona con el derecho de acceso a una justicia completa y efectiva; además, se vincula a la seguridad</w:t>
      </w:r>
      <w:r w:rsidRPr="00A870C1">
        <w:rPr>
          <w:rFonts w:ascii="Arial" w:hAnsi="Arial" w:cs="Arial"/>
          <w:sz w:val="26"/>
          <w:szCs w:val="26"/>
        </w:rPr>
        <w:t xml:space="preserve"> jurídica, en la medida en que se identifica con una sentencia que al provenir de un juicio concluido, en el que se presume fueron cumplidas las formalidades esenciales del procedimiento, constituye una verdad legal que ya no es susceptible de discusión.</w:t>
      </w:r>
    </w:p>
    <w:p w:rsidR="00E254E7" w:rsidRPr="00FC3BF3" w:rsidRDefault="00E254E7" w:rsidP="00E254E7">
      <w:pPr>
        <w:spacing w:before="100" w:beforeAutospacing="1" w:line="360" w:lineRule="auto"/>
        <w:ind w:firstLine="1134"/>
        <w:jc w:val="both"/>
        <w:rPr>
          <w:rFonts w:ascii="Arial" w:hAnsi="Arial" w:cs="Arial"/>
          <w:sz w:val="26"/>
          <w:szCs w:val="26"/>
        </w:rPr>
      </w:pPr>
      <w:r w:rsidRPr="00FC3BF3">
        <w:rPr>
          <w:rFonts w:ascii="Arial" w:hAnsi="Arial" w:cs="Arial"/>
          <w:sz w:val="26"/>
          <w:szCs w:val="26"/>
        </w:rPr>
        <w:t>Asimismo, en la referida ejecutoria, la Primera Sala de la Suprema Corte de Justicia de la Nación, en lo relativo a la prohibición convencional de usura, precisó que si bien en la diversa contradicción de tesis 350/2013, se indicó que cuando se adviertan</w:t>
      </w:r>
      <w:r w:rsidRPr="00A870C1">
        <w:rPr>
          <w:rFonts w:ascii="Arial" w:hAnsi="Arial" w:cs="Arial"/>
          <w:sz w:val="26"/>
          <w:szCs w:val="26"/>
        </w:rPr>
        <w:t xml:space="preserve"> indicios de un interés excesivo o desproporcionado, se debe analizar de oficio la posible configuración de u</w:t>
      </w:r>
      <w:r>
        <w:rPr>
          <w:rFonts w:ascii="Arial" w:hAnsi="Arial" w:cs="Arial"/>
          <w:sz w:val="26"/>
          <w:szCs w:val="26"/>
        </w:rPr>
        <w:t>sura, análisis que se consideró</w:t>
      </w:r>
      <w:r w:rsidRPr="00A870C1">
        <w:rPr>
          <w:rFonts w:ascii="Arial" w:hAnsi="Arial" w:cs="Arial"/>
          <w:sz w:val="26"/>
          <w:szCs w:val="26"/>
        </w:rPr>
        <w:t xml:space="preserve"> no es violatorio de la garantía de audiencia de la parte acreedora en el juicio respectivo, pues la aplicación de la ley en un sentido acorde con la Constitución Federal, al emitir una sentencia no depende de la labor procesal de las partes y, además, la eventual decisión oficiosa sobre la existencia de la usura por el cobro excesivo de intereses, sólo puede derivar de la apreciación de hechos notorios y de las propias </w:t>
      </w:r>
      <w:r w:rsidRPr="00FC3BF3">
        <w:rPr>
          <w:rFonts w:ascii="Arial" w:hAnsi="Arial" w:cs="Arial"/>
          <w:sz w:val="26"/>
          <w:szCs w:val="26"/>
        </w:rPr>
        <w:t>constancias que integren el expediente al momento de emitir la sentencia respectiva.</w:t>
      </w:r>
    </w:p>
    <w:p w:rsidR="00E254E7" w:rsidRPr="00FC3BF3" w:rsidRDefault="00E254E7" w:rsidP="00E254E7">
      <w:pPr>
        <w:spacing w:before="100" w:beforeAutospacing="1" w:line="360" w:lineRule="auto"/>
        <w:ind w:firstLine="1134"/>
        <w:jc w:val="both"/>
        <w:rPr>
          <w:rFonts w:ascii="Arial" w:hAnsi="Arial" w:cs="Arial"/>
          <w:sz w:val="26"/>
          <w:szCs w:val="26"/>
        </w:rPr>
      </w:pPr>
      <w:r w:rsidRPr="00FC3BF3">
        <w:rPr>
          <w:rFonts w:ascii="Arial" w:hAnsi="Arial" w:cs="Arial"/>
          <w:sz w:val="26"/>
          <w:szCs w:val="26"/>
        </w:rPr>
        <w:t>De igual manera, la Primera Sala de la Suprema Corte de Justicia de la Nación, sostuvo que, aun cuando en la diversa ejecutoria de la contradicción de tesis</w:t>
      </w:r>
      <w:r>
        <w:rPr>
          <w:rFonts w:ascii="Arial" w:hAnsi="Arial" w:cs="Arial"/>
          <w:sz w:val="26"/>
          <w:szCs w:val="26"/>
        </w:rPr>
        <w:t xml:space="preserve"> </w:t>
      </w:r>
      <w:r w:rsidRPr="008A5CEC">
        <w:rPr>
          <w:rFonts w:ascii="Arial" w:hAnsi="Arial" w:cs="Arial"/>
          <w:sz w:val="26"/>
          <w:szCs w:val="26"/>
        </w:rPr>
        <w:t>350/2013</w:t>
      </w:r>
      <w:r>
        <w:rPr>
          <w:rFonts w:ascii="Arial" w:hAnsi="Arial" w:cs="Arial"/>
          <w:sz w:val="26"/>
          <w:szCs w:val="26"/>
        </w:rPr>
        <w:t xml:space="preserve">, </w:t>
      </w:r>
      <w:r w:rsidRPr="00A870C1">
        <w:rPr>
          <w:rFonts w:ascii="Arial" w:hAnsi="Arial" w:cs="Arial"/>
          <w:sz w:val="26"/>
          <w:szCs w:val="26"/>
        </w:rPr>
        <w:t xml:space="preserve">se dijo que el análisis de la usura </w:t>
      </w:r>
      <w:r w:rsidRPr="00A870C1">
        <w:rPr>
          <w:rFonts w:ascii="Arial" w:hAnsi="Arial" w:cs="Arial"/>
          <w:sz w:val="26"/>
          <w:szCs w:val="26"/>
        </w:rPr>
        <w:lastRenderedPageBreak/>
        <w:t xml:space="preserve">es oficioso cuando se adviertan indicios de un interés excesivo o desproporcionado, lo cierto es que no se dilucidó hasta qué momento es válido realizar ese análisis, por lo que, al confrontar la prohibición convencional de la usura frente a la cosa juzgada determinó que, si bien el juzgador como una forma de protección al derecho </w:t>
      </w:r>
      <w:r>
        <w:rPr>
          <w:rFonts w:ascii="Arial" w:hAnsi="Arial" w:cs="Arial"/>
          <w:sz w:val="26"/>
          <w:szCs w:val="26"/>
        </w:rPr>
        <w:t>de</w:t>
      </w:r>
      <w:r w:rsidRPr="00A870C1">
        <w:rPr>
          <w:rFonts w:ascii="Arial" w:hAnsi="Arial" w:cs="Arial"/>
          <w:sz w:val="26"/>
          <w:szCs w:val="26"/>
        </w:rPr>
        <w:t xml:space="preserve"> propiedad, al advertir indicios </w:t>
      </w:r>
      <w:r w:rsidRPr="00FC3BF3">
        <w:rPr>
          <w:rFonts w:ascii="Arial" w:hAnsi="Arial" w:cs="Arial"/>
          <w:sz w:val="26"/>
          <w:szCs w:val="26"/>
        </w:rPr>
        <w:t>de un interés excesivo o desproporcionado derivado de un préstamo, está obligado a analizar de oficio la posible configuración de usura y de ser el caso, actuar en consecuencia, por seguridad y certeza jurídica; sin embargo, puntualizó que esa obligación necesariamente encuentra como límite la institución de la cosa juzgada.</w:t>
      </w:r>
    </w:p>
    <w:p w:rsidR="00E254E7" w:rsidRPr="00FC3BF3" w:rsidRDefault="00E254E7" w:rsidP="00E254E7">
      <w:pPr>
        <w:spacing w:before="100" w:beforeAutospacing="1" w:line="360" w:lineRule="auto"/>
        <w:ind w:firstLine="1134"/>
        <w:jc w:val="both"/>
        <w:rPr>
          <w:rFonts w:ascii="Arial" w:hAnsi="Arial" w:cs="Arial"/>
          <w:sz w:val="26"/>
          <w:szCs w:val="26"/>
        </w:rPr>
      </w:pPr>
      <w:r w:rsidRPr="00FC3BF3">
        <w:rPr>
          <w:rFonts w:ascii="Arial" w:hAnsi="Arial" w:cs="Arial"/>
          <w:sz w:val="26"/>
          <w:szCs w:val="26"/>
        </w:rPr>
        <w:t>Lo que se esgrimió obedece a lo siguiente:</w:t>
      </w:r>
    </w:p>
    <w:p w:rsidR="00E254E7" w:rsidRPr="00A870C1" w:rsidRDefault="00E254E7" w:rsidP="00E254E7">
      <w:pPr>
        <w:spacing w:before="100" w:beforeAutospacing="1" w:line="360" w:lineRule="auto"/>
        <w:ind w:firstLine="1134"/>
        <w:jc w:val="both"/>
        <w:rPr>
          <w:rFonts w:ascii="Arial" w:hAnsi="Arial" w:cs="Arial"/>
          <w:sz w:val="26"/>
          <w:szCs w:val="26"/>
        </w:rPr>
      </w:pPr>
      <w:r w:rsidRPr="00FC3BF3">
        <w:rPr>
          <w:rFonts w:ascii="Arial" w:hAnsi="Arial" w:cs="Arial"/>
          <w:sz w:val="26"/>
          <w:szCs w:val="26"/>
        </w:rPr>
        <w:t>Por regla general, cuando el acreedor se ve obligado a demandar en la vía judicial el pago de un préstamo que no ha sido saldado, no sólo demanda el monto de la cantidad prestada, sino que además, atendiendo al principio de concentración procesal, también demanda el pago de los intereses ordinarios o moratorios que ese</w:t>
      </w:r>
      <w:r w:rsidRPr="00A870C1">
        <w:rPr>
          <w:rFonts w:ascii="Arial" w:hAnsi="Arial" w:cs="Arial"/>
          <w:sz w:val="26"/>
          <w:szCs w:val="26"/>
        </w:rPr>
        <w:t xml:space="preserve"> préstamo haya devengado, conforme al acuerdo de voluntades asumido en el documento base de la acción.</w:t>
      </w:r>
    </w:p>
    <w:p w:rsidR="00E254E7" w:rsidRPr="00A870C1" w:rsidRDefault="00E254E7" w:rsidP="00E254E7">
      <w:pPr>
        <w:spacing w:before="100" w:beforeAutospacing="1" w:line="360" w:lineRule="auto"/>
        <w:ind w:firstLine="1134"/>
        <w:jc w:val="both"/>
        <w:rPr>
          <w:rFonts w:ascii="Arial" w:hAnsi="Arial" w:cs="Arial"/>
          <w:sz w:val="26"/>
          <w:szCs w:val="26"/>
        </w:rPr>
      </w:pPr>
      <w:r w:rsidRPr="00A870C1">
        <w:rPr>
          <w:rFonts w:ascii="Arial" w:hAnsi="Arial" w:cs="Arial"/>
          <w:sz w:val="26"/>
          <w:szCs w:val="26"/>
        </w:rPr>
        <w:t xml:space="preserve">Por ello, al momento de emitir la sentencia correspondiente, el juzgador, atendiendo al principio de congruencia que rige a las determinaciones judiciales, no sólo debe pronunciarse con relación a la suerte principal reclamada como monto del préstamo, sino que además, debe hacer un pronunciamiento en relación con los intereses devengados, por ello, si bien al momento de emitir la sentencia correspondiente en cumplimiento a lo dispuesto en el artículo 21.3 de la Convención Americana sobre Derechos Humanos en relación con lo dispuesto en los artículos 1o. y 133 de la Constitución Federal, </w:t>
      </w:r>
      <w:r>
        <w:rPr>
          <w:rFonts w:ascii="Arial" w:hAnsi="Arial" w:cs="Arial"/>
          <w:sz w:val="26"/>
          <w:szCs w:val="26"/>
        </w:rPr>
        <w:t>se tiene la obligación de</w:t>
      </w:r>
      <w:r w:rsidRPr="00A870C1">
        <w:rPr>
          <w:rFonts w:ascii="Arial" w:hAnsi="Arial" w:cs="Arial"/>
          <w:sz w:val="26"/>
          <w:szCs w:val="26"/>
        </w:rPr>
        <w:t xml:space="preserve"> analizar de oficio la posible configuración de usura y de ser el caso, actuar en consecuencia, lo cierto es que una vez que la sentencia respectiva queda firme</w:t>
      </w:r>
      <w:r>
        <w:rPr>
          <w:rFonts w:ascii="Arial" w:hAnsi="Arial" w:cs="Arial"/>
          <w:sz w:val="26"/>
          <w:szCs w:val="26"/>
        </w:rPr>
        <w:t>,</w:t>
      </w:r>
      <w:r w:rsidRPr="00A870C1">
        <w:rPr>
          <w:rFonts w:ascii="Arial" w:hAnsi="Arial" w:cs="Arial"/>
          <w:sz w:val="26"/>
          <w:szCs w:val="26"/>
        </w:rPr>
        <w:t xml:space="preserve"> porque en su contra ya no procede ningún recurso ordinario o extraordinario, esa decisión se vuelve inmutable; de ahí que deba ejecutarse en sus términos.</w:t>
      </w:r>
    </w:p>
    <w:p w:rsidR="00E254E7" w:rsidRPr="00A870C1" w:rsidRDefault="00E254E7" w:rsidP="00E254E7">
      <w:pPr>
        <w:spacing w:before="100" w:beforeAutospacing="1" w:line="360" w:lineRule="auto"/>
        <w:ind w:firstLine="1134"/>
        <w:jc w:val="both"/>
        <w:rPr>
          <w:rFonts w:ascii="Arial" w:hAnsi="Arial" w:cs="Arial"/>
          <w:sz w:val="26"/>
          <w:szCs w:val="26"/>
        </w:rPr>
      </w:pPr>
      <w:r w:rsidRPr="00FC3BF3">
        <w:rPr>
          <w:rFonts w:ascii="Arial" w:hAnsi="Arial" w:cs="Arial"/>
          <w:sz w:val="26"/>
          <w:szCs w:val="26"/>
        </w:rPr>
        <w:t>Qu</w:t>
      </w:r>
      <w:r>
        <w:rPr>
          <w:rFonts w:ascii="Arial" w:hAnsi="Arial" w:cs="Arial"/>
          <w:sz w:val="26"/>
          <w:szCs w:val="26"/>
        </w:rPr>
        <w:t xml:space="preserve">e aun cuando </w:t>
      </w:r>
      <w:r w:rsidRPr="00A870C1">
        <w:rPr>
          <w:rFonts w:ascii="Arial" w:hAnsi="Arial" w:cs="Arial"/>
          <w:sz w:val="26"/>
          <w:szCs w:val="26"/>
        </w:rPr>
        <w:t xml:space="preserve">el análisis de la usura puede efectuarse de manera oficiosa mientras la sentencia que condena al pago de los </w:t>
      </w:r>
      <w:r w:rsidRPr="00A870C1">
        <w:rPr>
          <w:rFonts w:ascii="Arial" w:hAnsi="Arial" w:cs="Arial"/>
          <w:sz w:val="26"/>
          <w:szCs w:val="26"/>
        </w:rPr>
        <w:lastRenderedPageBreak/>
        <w:t>intereses derivados de un préstamo se encuentre sub júdice, una vez que la condena respectiva pierde esa característica y adquiere firmeza, necesariamente debe ejecutarse, pues ello es una consecuencia del derecho de acceso a una justicia completa y efectiva, hecho valer por el acreedor.</w:t>
      </w:r>
    </w:p>
    <w:p w:rsidR="00E254E7" w:rsidRPr="00A870C1" w:rsidRDefault="00E254E7" w:rsidP="00E254E7">
      <w:pPr>
        <w:spacing w:before="100" w:beforeAutospacing="1" w:line="360" w:lineRule="auto"/>
        <w:ind w:firstLine="1134"/>
        <w:jc w:val="both"/>
        <w:rPr>
          <w:rFonts w:ascii="Arial" w:hAnsi="Arial" w:cs="Arial"/>
          <w:sz w:val="26"/>
          <w:szCs w:val="26"/>
        </w:rPr>
      </w:pPr>
      <w:r>
        <w:rPr>
          <w:rFonts w:ascii="Arial" w:hAnsi="Arial" w:cs="Arial"/>
          <w:sz w:val="26"/>
          <w:szCs w:val="26"/>
        </w:rPr>
        <w:t xml:space="preserve">De ahí </w:t>
      </w:r>
      <w:r w:rsidRPr="00FC3BF3">
        <w:rPr>
          <w:rFonts w:ascii="Arial" w:hAnsi="Arial" w:cs="Arial"/>
          <w:sz w:val="26"/>
          <w:szCs w:val="26"/>
        </w:rPr>
        <w:t>que,</w:t>
      </w:r>
      <w:r w:rsidRPr="00A870C1">
        <w:rPr>
          <w:rFonts w:ascii="Arial" w:hAnsi="Arial" w:cs="Arial"/>
          <w:sz w:val="26"/>
          <w:szCs w:val="26"/>
        </w:rPr>
        <w:t xml:space="preserve"> en la etapa de ejecución de la sentencia, el juzgador ya no puede introducir de manera oficiosa ni a petición de parte, el análisis de usura, pues la determinación que condenó al pago de los intereses a una tasa especifica en monto porcentual, debe considerarse firme.</w:t>
      </w:r>
    </w:p>
    <w:p w:rsidR="00E254E7" w:rsidRPr="00A870C1" w:rsidRDefault="00E254E7" w:rsidP="00E254E7">
      <w:pPr>
        <w:spacing w:before="100" w:beforeAutospacing="1" w:line="360" w:lineRule="auto"/>
        <w:ind w:firstLine="1134"/>
        <w:jc w:val="both"/>
        <w:rPr>
          <w:rFonts w:ascii="Arial" w:hAnsi="Arial" w:cs="Arial"/>
          <w:sz w:val="26"/>
          <w:szCs w:val="26"/>
        </w:rPr>
      </w:pPr>
      <w:r w:rsidRPr="00FC3BF3">
        <w:rPr>
          <w:rFonts w:ascii="Arial" w:hAnsi="Arial" w:cs="Arial"/>
          <w:sz w:val="26"/>
          <w:szCs w:val="26"/>
        </w:rPr>
        <w:t>Que lo anterior es</w:t>
      </w:r>
      <w:r w:rsidRPr="00A870C1">
        <w:rPr>
          <w:rFonts w:ascii="Arial" w:hAnsi="Arial" w:cs="Arial"/>
          <w:sz w:val="26"/>
          <w:szCs w:val="26"/>
        </w:rPr>
        <w:t xml:space="preserve"> así, porque si bien no pasa inadvertido que mientras no se cubra la suerte principal, los intereses se siguen devengando, ello no puede conducir a considerar que, si bien ya no se puede ejercer el control de usura sobre los devengados hasta el momento e</w:t>
      </w:r>
      <w:r>
        <w:rPr>
          <w:rFonts w:ascii="Arial" w:hAnsi="Arial" w:cs="Arial"/>
          <w:sz w:val="26"/>
          <w:szCs w:val="26"/>
        </w:rPr>
        <w:t>n que se emitió la sentencia</w:t>
      </w:r>
      <w:r w:rsidRPr="00FC3BF3">
        <w:rPr>
          <w:rFonts w:ascii="Arial" w:hAnsi="Arial" w:cs="Arial"/>
          <w:sz w:val="26"/>
          <w:szCs w:val="26"/>
        </w:rPr>
        <w:t>, sí podría</w:t>
      </w:r>
      <w:r w:rsidRPr="00A870C1">
        <w:rPr>
          <w:rFonts w:ascii="Arial" w:hAnsi="Arial" w:cs="Arial"/>
          <w:sz w:val="26"/>
          <w:szCs w:val="26"/>
        </w:rPr>
        <w:t xml:space="preserve"> ejercerse respecto de los que se sigan generando después de emitida, </w:t>
      </w:r>
      <w:r>
        <w:rPr>
          <w:rFonts w:ascii="Arial" w:hAnsi="Arial" w:cs="Arial"/>
          <w:sz w:val="26"/>
          <w:szCs w:val="26"/>
        </w:rPr>
        <w:t>ya que</w:t>
      </w:r>
      <w:r w:rsidRPr="00A870C1">
        <w:rPr>
          <w:rFonts w:ascii="Arial" w:hAnsi="Arial" w:cs="Arial"/>
          <w:sz w:val="26"/>
          <w:szCs w:val="26"/>
        </w:rPr>
        <w:t xml:space="preserve"> no debe perderse de vista que cuando se emite la sentencia respectiva, la condena al pago de los intereses</w:t>
      </w:r>
      <w:r>
        <w:rPr>
          <w:rFonts w:ascii="Arial" w:hAnsi="Arial" w:cs="Arial"/>
          <w:sz w:val="26"/>
          <w:szCs w:val="26"/>
        </w:rPr>
        <w:t>,</w:t>
      </w:r>
      <w:r w:rsidRPr="00A870C1">
        <w:rPr>
          <w:rFonts w:ascii="Arial" w:hAnsi="Arial" w:cs="Arial"/>
          <w:sz w:val="26"/>
          <w:szCs w:val="26"/>
        </w:rPr>
        <w:t xml:space="preserve"> conforme a l</w:t>
      </w:r>
      <w:r>
        <w:rPr>
          <w:rFonts w:ascii="Arial" w:hAnsi="Arial" w:cs="Arial"/>
          <w:sz w:val="26"/>
          <w:szCs w:val="26"/>
        </w:rPr>
        <w:t>a tasa pactada, no sólo abarca</w:t>
      </w:r>
      <w:r w:rsidRPr="00A870C1">
        <w:rPr>
          <w:rFonts w:ascii="Arial" w:hAnsi="Arial" w:cs="Arial"/>
          <w:sz w:val="26"/>
          <w:szCs w:val="26"/>
        </w:rPr>
        <w:t xml:space="preserve"> los intereses que ya se devengaron, sino que además, comprende todos aquellos que se sigan generando hasta que se cumpla con el pago de la suerte principal, de ahí que, la circunstancia de que los intereses se sigan devengando, aun después de emitida la sentencia</w:t>
      </w:r>
      <w:r>
        <w:rPr>
          <w:rFonts w:ascii="Arial" w:hAnsi="Arial" w:cs="Arial"/>
          <w:sz w:val="26"/>
          <w:szCs w:val="26"/>
        </w:rPr>
        <w:t>,</w:t>
      </w:r>
      <w:r w:rsidRPr="00A870C1">
        <w:rPr>
          <w:rFonts w:ascii="Arial" w:hAnsi="Arial" w:cs="Arial"/>
          <w:sz w:val="26"/>
          <w:szCs w:val="26"/>
        </w:rPr>
        <w:t xml:space="preserve"> no autoriza a considerar que en la etapa de ejecución de </w:t>
      </w:r>
      <w:r>
        <w:rPr>
          <w:rFonts w:ascii="Arial" w:hAnsi="Arial" w:cs="Arial"/>
          <w:sz w:val="26"/>
          <w:szCs w:val="26"/>
        </w:rPr>
        <w:t xml:space="preserve">la misma </w:t>
      </w:r>
      <w:r w:rsidRPr="00A870C1">
        <w:rPr>
          <w:rFonts w:ascii="Arial" w:hAnsi="Arial" w:cs="Arial"/>
          <w:sz w:val="26"/>
          <w:szCs w:val="26"/>
        </w:rPr>
        <w:t>pueda ejercerse el control de usura respecto de dichos intereses, pues aun y cuando éstos se están generando después de emitida la sentencia que se pretende ejecutar, lo cierto es que la condena que obliga a su pago a una tasa específica en monto porcentual, deriva de una sentencia que se encuentra firme, de ahí que pese a la obligación que tienen los juzgadores de proteger, respetar y promover los derechos humanos, no es dable que en la etapa de ejecución de sentencia se pretenda ejercer un control de usura sobre los intereses devengados, ni siquiera aún de los que se siguen generando después de emitida la sentencia que condena a su pago.</w:t>
      </w:r>
    </w:p>
    <w:p w:rsidR="00E254E7" w:rsidRDefault="00E254E7" w:rsidP="00E254E7">
      <w:pPr>
        <w:spacing w:before="100" w:beforeAutospacing="1" w:line="360" w:lineRule="auto"/>
        <w:ind w:firstLine="1134"/>
        <w:jc w:val="both"/>
        <w:rPr>
          <w:rFonts w:ascii="Arial" w:hAnsi="Arial" w:cs="Arial"/>
          <w:sz w:val="26"/>
          <w:szCs w:val="26"/>
        </w:rPr>
      </w:pPr>
      <w:r w:rsidRPr="00A870C1">
        <w:rPr>
          <w:rFonts w:ascii="Arial" w:hAnsi="Arial" w:cs="Arial"/>
          <w:sz w:val="26"/>
          <w:szCs w:val="26"/>
        </w:rPr>
        <w:lastRenderedPageBreak/>
        <w:t>En esta tesitura, al existir criterio de la Suprema Corte de Justicia de la Nación, en el sentido que, en la etapa de ejecuci</w:t>
      </w:r>
      <w:r>
        <w:rPr>
          <w:rFonts w:ascii="Arial" w:hAnsi="Arial" w:cs="Arial"/>
          <w:sz w:val="26"/>
          <w:szCs w:val="26"/>
        </w:rPr>
        <w:t xml:space="preserve">ón de la sentencia, el juzgador de primera o segunda instancia, </w:t>
      </w:r>
      <w:r w:rsidRPr="00A870C1">
        <w:rPr>
          <w:rFonts w:ascii="Arial" w:hAnsi="Arial" w:cs="Arial"/>
          <w:sz w:val="26"/>
          <w:szCs w:val="26"/>
        </w:rPr>
        <w:t>no puede introducir de manera oficiosa ni a petición de parte, lo usurario de la tasa de interés que se aprobó en la sentencia</w:t>
      </w:r>
      <w:r>
        <w:rPr>
          <w:rFonts w:ascii="Arial" w:hAnsi="Arial" w:cs="Arial"/>
          <w:sz w:val="26"/>
          <w:szCs w:val="26"/>
        </w:rPr>
        <w:t xml:space="preserve"> firme</w:t>
      </w:r>
      <w:r w:rsidRPr="00A870C1">
        <w:rPr>
          <w:rFonts w:ascii="Arial" w:hAnsi="Arial" w:cs="Arial"/>
          <w:sz w:val="26"/>
          <w:szCs w:val="26"/>
        </w:rPr>
        <w:t xml:space="preserve">, inconcuso resulta que, </w:t>
      </w:r>
      <w:r>
        <w:rPr>
          <w:rFonts w:ascii="Arial" w:hAnsi="Arial" w:cs="Arial"/>
          <w:sz w:val="26"/>
          <w:szCs w:val="26"/>
        </w:rPr>
        <w:t xml:space="preserve">los agravios esgrimidos por la quejosa </w:t>
      </w:r>
      <w:r w:rsidRPr="00A870C1">
        <w:rPr>
          <w:rFonts w:ascii="Arial" w:hAnsi="Arial" w:cs="Arial"/>
          <w:sz w:val="26"/>
          <w:szCs w:val="26"/>
        </w:rPr>
        <w:t>en su libelo de inconformidades,</w:t>
      </w:r>
      <w:r>
        <w:rPr>
          <w:rFonts w:ascii="Arial" w:hAnsi="Arial" w:cs="Arial"/>
          <w:sz w:val="26"/>
          <w:szCs w:val="26"/>
        </w:rPr>
        <w:t xml:space="preserve"> </w:t>
      </w:r>
      <w:r w:rsidRPr="00A870C1">
        <w:rPr>
          <w:rFonts w:ascii="Arial" w:hAnsi="Arial" w:cs="Arial"/>
          <w:sz w:val="26"/>
          <w:szCs w:val="26"/>
        </w:rPr>
        <w:t xml:space="preserve">recibido en la Presidencia de este Tribunal, el día 02 dos de agosto de la presente anualidad, es decir, lo relativo a que la tasa de interés que se aprobó en la sentencia recurrida es muy superior a la que prevalece en el mundo de los negocios y que no corresponde a la que se maneja en el mercado, y que </w:t>
      </w:r>
      <w:r>
        <w:rPr>
          <w:rFonts w:ascii="Arial" w:hAnsi="Arial" w:cs="Arial"/>
          <w:sz w:val="26"/>
          <w:szCs w:val="26"/>
        </w:rPr>
        <w:t>ese</w:t>
      </w:r>
      <w:r w:rsidRPr="00A870C1">
        <w:rPr>
          <w:rFonts w:ascii="Arial" w:hAnsi="Arial" w:cs="Arial"/>
          <w:sz w:val="26"/>
          <w:szCs w:val="26"/>
        </w:rPr>
        <w:t xml:space="preserve"> exceso y desproporción de los intereses referidos, es conculcatorio </w:t>
      </w:r>
      <w:r>
        <w:rPr>
          <w:rFonts w:ascii="Arial" w:hAnsi="Arial" w:cs="Arial"/>
          <w:sz w:val="26"/>
          <w:szCs w:val="26"/>
        </w:rPr>
        <w:t xml:space="preserve">de sus </w:t>
      </w:r>
      <w:r w:rsidRPr="00A870C1">
        <w:rPr>
          <w:rFonts w:ascii="Arial" w:hAnsi="Arial" w:cs="Arial"/>
          <w:sz w:val="26"/>
          <w:szCs w:val="26"/>
        </w:rPr>
        <w:t>derechos humanos</w:t>
      </w:r>
      <w:r>
        <w:rPr>
          <w:rFonts w:ascii="Arial" w:hAnsi="Arial" w:cs="Arial"/>
          <w:sz w:val="26"/>
          <w:szCs w:val="26"/>
        </w:rPr>
        <w:t>,</w:t>
      </w:r>
      <w:r w:rsidRPr="00F62402">
        <w:rPr>
          <w:rFonts w:ascii="Arial" w:hAnsi="Arial" w:cs="Arial"/>
          <w:sz w:val="26"/>
          <w:szCs w:val="26"/>
        </w:rPr>
        <w:t xml:space="preserve"> </w:t>
      </w:r>
      <w:r>
        <w:rPr>
          <w:rFonts w:ascii="Arial" w:hAnsi="Arial" w:cs="Arial"/>
          <w:sz w:val="26"/>
          <w:szCs w:val="26"/>
        </w:rPr>
        <w:t>resultan inoperantes</w:t>
      </w:r>
      <w:r w:rsidRPr="00A870C1">
        <w:rPr>
          <w:rFonts w:ascii="Arial" w:hAnsi="Arial" w:cs="Arial"/>
          <w:sz w:val="26"/>
          <w:szCs w:val="26"/>
        </w:rPr>
        <w:t xml:space="preserve">; </w:t>
      </w:r>
      <w:r w:rsidRPr="00FC3BF3">
        <w:rPr>
          <w:rFonts w:ascii="Arial" w:hAnsi="Arial" w:cs="Arial"/>
          <w:sz w:val="26"/>
          <w:szCs w:val="26"/>
        </w:rPr>
        <w:t>pues</w:t>
      </w:r>
      <w:r w:rsidRPr="00A870C1">
        <w:rPr>
          <w:rFonts w:ascii="Arial" w:hAnsi="Arial" w:cs="Arial"/>
          <w:sz w:val="26"/>
          <w:szCs w:val="26"/>
        </w:rPr>
        <w:t xml:space="preserve"> la determinación que condenó al pago de los intereses a una tasa especifica en monto porcentual, se encuentra firme, por así haberse declarado en el procedimiento de origen, mediante proveído de </w:t>
      </w:r>
      <w:r w:rsidRPr="00A870C1">
        <w:rPr>
          <w:rFonts w:ascii="Arial" w:hAnsi="Arial" w:cs="Arial"/>
          <w:sz w:val="26"/>
          <w:szCs w:val="26"/>
          <w:lang w:val="es-MX"/>
        </w:rPr>
        <w:t xml:space="preserve">15 quince de octubre de 2020 dos mil veinte, al no haber sido impugnada por las </w:t>
      </w:r>
      <w:r w:rsidRPr="00C903CA">
        <w:rPr>
          <w:rFonts w:ascii="Arial" w:hAnsi="Arial" w:cs="Arial"/>
          <w:sz w:val="26"/>
          <w:szCs w:val="26"/>
          <w:lang w:val="es-MX"/>
        </w:rPr>
        <w:t>partes</w:t>
      </w:r>
      <w:r w:rsidRPr="00C903CA">
        <w:rPr>
          <w:rFonts w:ascii="Arial" w:hAnsi="Arial" w:cs="Arial"/>
          <w:sz w:val="26"/>
          <w:szCs w:val="26"/>
        </w:rPr>
        <w:t xml:space="preserve"> y se reitera, existe</w:t>
      </w:r>
      <w:r>
        <w:rPr>
          <w:rFonts w:ascii="Arial" w:hAnsi="Arial" w:cs="Arial"/>
          <w:sz w:val="26"/>
          <w:szCs w:val="26"/>
        </w:rPr>
        <w:t xml:space="preserve"> jurisprudencia de la Suprema Corte de Justicia de la Nación, en el sentido que, en la etapa de ejecución de la sentencia, el juzgador no puede introducir de manera oficiosa ni a petición de parte, el análisis de usura respecto de puntos o elementos que ya fueron determinados en la sentencia y que, por ende,</w:t>
      </w:r>
      <w:r>
        <w:t xml:space="preserve"> </w:t>
      </w:r>
      <w:r>
        <w:rPr>
          <w:rFonts w:ascii="Arial" w:hAnsi="Arial" w:cs="Arial"/>
          <w:sz w:val="26"/>
          <w:szCs w:val="26"/>
        </w:rPr>
        <w:t>constituyen cosa juzgada.</w:t>
      </w:r>
    </w:p>
    <w:p w:rsidR="00E254E7" w:rsidRPr="00A870C1" w:rsidRDefault="00E254E7" w:rsidP="00E254E7">
      <w:pPr>
        <w:spacing w:before="100" w:beforeAutospacing="1" w:line="360" w:lineRule="auto"/>
        <w:ind w:firstLine="1134"/>
        <w:jc w:val="both"/>
        <w:rPr>
          <w:rFonts w:ascii="Arial" w:hAnsi="Arial" w:cs="Arial"/>
          <w:sz w:val="26"/>
          <w:szCs w:val="26"/>
        </w:rPr>
      </w:pPr>
      <w:r w:rsidRPr="00A870C1">
        <w:rPr>
          <w:rFonts w:ascii="Arial" w:hAnsi="Arial" w:cs="Arial"/>
          <w:sz w:val="26"/>
          <w:szCs w:val="26"/>
        </w:rPr>
        <w:t>En apoyo a lo inoperante del concepto de agravio que nos ocupa, se cita, por identidad de razón, la jurisprudencia 1ª./J.14/97, sustentada por la Primera Sala de la Suprema Corte de la Nación, publicada en el Semanario Judicial de la Federación y su Gaceta, Novena Época, registro digital</w:t>
      </w:r>
      <w:r w:rsidRPr="00A870C1">
        <w:rPr>
          <w:rFonts w:ascii="Arial" w:hAnsi="Arial" w:cs="Arial"/>
          <w:sz w:val="26"/>
          <w:szCs w:val="26"/>
          <w:lang w:val="es-MX"/>
        </w:rPr>
        <w:t>: 198920,</w:t>
      </w:r>
      <w:r>
        <w:rPr>
          <w:rFonts w:ascii="Arial" w:hAnsi="Arial" w:cs="Arial"/>
          <w:sz w:val="26"/>
          <w:szCs w:val="26"/>
          <w:lang w:val="es-MX"/>
        </w:rPr>
        <w:t xml:space="preserve"> T</w:t>
      </w:r>
      <w:r w:rsidRPr="00A870C1">
        <w:rPr>
          <w:rFonts w:ascii="Arial" w:hAnsi="Arial" w:cs="Arial"/>
          <w:sz w:val="26"/>
          <w:szCs w:val="26"/>
          <w:lang w:val="es-MX"/>
        </w:rPr>
        <w:t>omo V, Abril de 1997, página 21,</w:t>
      </w:r>
      <w:r w:rsidRPr="00A870C1">
        <w:rPr>
          <w:rFonts w:ascii="Arial" w:hAnsi="Arial" w:cs="Arial"/>
          <w:sz w:val="26"/>
          <w:szCs w:val="26"/>
        </w:rPr>
        <w:t xml:space="preserve"> de rubro y contenido siguiente: </w:t>
      </w:r>
    </w:p>
    <w:p w:rsidR="00E254E7" w:rsidRPr="00A870C1" w:rsidRDefault="00E254E7" w:rsidP="00E254E7">
      <w:pPr>
        <w:spacing w:before="100" w:beforeAutospacing="1" w:line="360" w:lineRule="auto"/>
        <w:ind w:left="1418" w:right="826"/>
        <w:jc w:val="both"/>
        <w:rPr>
          <w:rFonts w:ascii="Arial" w:hAnsi="Arial" w:cs="Arial"/>
          <w:bCs/>
        </w:rPr>
      </w:pPr>
      <w:r w:rsidRPr="00A870C1">
        <w:rPr>
          <w:rFonts w:ascii="Arial" w:hAnsi="Arial" w:cs="Arial"/>
          <w:bCs/>
        </w:rPr>
        <w:t>“</w:t>
      </w:r>
      <w:r w:rsidRPr="00A870C1">
        <w:rPr>
          <w:rFonts w:ascii="Arial" w:hAnsi="Arial" w:cs="Arial"/>
          <w:b/>
          <w:bCs/>
        </w:rPr>
        <w:t>AGRAVIOS INOPERANTES. INNECESARIO SU ANÁLISIS CUANDO EXISTE JURISPRUDENCIA.</w:t>
      </w:r>
      <w:r w:rsidRPr="00A870C1">
        <w:rPr>
          <w:rFonts w:ascii="Arial" w:hAnsi="Arial" w:cs="Arial"/>
          <w:bCs/>
        </w:rPr>
        <w:t xml:space="preserve"> Resulta innecesario realizar las consideraciones que sustenten la inoperancia de los agravios hechos valer, si existe jurisprudencia aplicable, ya que, en todo caso, con la aplicación de dicha tesis se da respuesta en forma integral al tema de fondo planteado.”</w:t>
      </w:r>
    </w:p>
    <w:p w:rsidR="00E254E7" w:rsidRDefault="00E254E7" w:rsidP="00E254E7">
      <w:pPr>
        <w:spacing w:before="100" w:beforeAutospacing="1" w:line="360" w:lineRule="auto"/>
        <w:ind w:firstLine="1134"/>
        <w:jc w:val="both"/>
        <w:rPr>
          <w:rFonts w:ascii="Arial" w:hAnsi="Arial" w:cs="Arial"/>
          <w:sz w:val="26"/>
          <w:szCs w:val="26"/>
        </w:rPr>
      </w:pPr>
      <w:r>
        <w:rPr>
          <w:rFonts w:ascii="Arial" w:hAnsi="Arial" w:cs="Arial"/>
          <w:sz w:val="26"/>
          <w:szCs w:val="26"/>
        </w:rPr>
        <w:t xml:space="preserve">Asimismo, resulta ilustrativa, por analogía, la jurisprudencia 2ª./J.188/2009, emitida por la Segunda Sala de la Suprema Corte de </w:t>
      </w:r>
      <w:r>
        <w:rPr>
          <w:rFonts w:ascii="Arial" w:hAnsi="Arial" w:cs="Arial"/>
          <w:sz w:val="26"/>
          <w:szCs w:val="26"/>
        </w:rPr>
        <w:lastRenderedPageBreak/>
        <w:t xml:space="preserve">Justicia de la Nación, publicada en el </w:t>
      </w:r>
      <w:r w:rsidRPr="00FC03D4">
        <w:rPr>
          <w:rFonts w:ascii="Arial" w:hAnsi="Arial" w:cs="Arial"/>
          <w:sz w:val="26"/>
          <w:szCs w:val="26"/>
          <w:lang w:val="es-MX"/>
        </w:rPr>
        <w:t>Semanario Judici</w:t>
      </w:r>
      <w:r>
        <w:rPr>
          <w:rFonts w:ascii="Arial" w:hAnsi="Arial" w:cs="Arial"/>
          <w:sz w:val="26"/>
          <w:szCs w:val="26"/>
          <w:lang w:val="es-MX"/>
        </w:rPr>
        <w:t xml:space="preserve">al de la Federación y su Gaceta, </w:t>
      </w:r>
      <w:r w:rsidRPr="00FC03D4">
        <w:rPr>
          <w:rFonts w:ascii="Arial" w:hAnsi="Arial" w:cs="Arial"/>
          <w:sz w:val="26"/>
          <w:szCs w:val="26"/>
          <w:lang w:val="es-MX"/>
        </w:rPr>
        <w:t>Novena Época</w:t>
      </w:r>
      <w:r>
        <w:rPr>
          <w:rFonts w:ascii="Arial" w:hAnsi="Arial" w:cs="Arial"/>
          <w:sz w:val="26"/>
          <w:szCs w:val="26"/>
          <w:lang w:val="es-MX"/>
        </w:rPr>
        <w:t>, r</w:t>
      </w:r>
      <w:r w:rsidRPr="00FC03D4">
        <w:rPr>
          <w:rFonts w:ascii="Arial" w:hAnsi="Arial" w:cs="Arial"/>
          <w:sz w:val="26"/>
          <w:szCs w:val="26"/>
          <w:lang w:val="es-MX"/>
        </w:rPr>
        <w:t>egistro digital: 166031</w:t>
      </w:r>
      <w:r>
        <w:rPr>
          <w:rFonts w:ascii="Arial" w:hAnsi="Arial" w:cs="Arial"/>
          <w:sz w:val="26"/>
          <w:szCs w:val="26"/>
          <w:lang w:val="es-MX"/>
        </w:rPr>
        <w:t xml:space="preserve">, </w:t>
      </w:r>
      <w:r w:rsidRPr="00FC03D4">
        <w:rPr>
          <w:rFonts w:ascii="Arial" w:hAnsi="Arial" w:cs="Arial"/>
          <w:sz w:val="26"/>
          <w:szCs w:val="26"/>
          <w:lang w:val="es-MX"/>
        </w:rPr>
        <w:t>Tomo XXX, Noviembre de 2009, página 424</w:t>
      </w:r>
      <w:r>
        <w:rPr>
          <w:rFonts w:ascii="Arial" w:hAnsi="Arial" w:cs="Arial"/>
          <w:sz w:val="26"/>
          <w:szCs w:val="26"/>
          <w:lang w:val="es-MX"/>
        </w:rPr>
        <w:t>,</w:t>
      </w:r>
      <w:r w:rsidRPr="00FC03D4">
        <w:rPr>
          <w:rFonts w:ascii="Arial" w:hAnsi="Arial" w:cs="Arial"/>
          <w:sz w:val="26"/>
          <w:szCs w:val="26"/>
          <w:lang w:val="es-MX"/>
        </w:rPr>
        <w:t xml:space="preserve"> </w:t>
      </w:r>
      <w:r>
        <w:rPr>
          <w:rFonts w:ascii="Arial" w:hAnsi="Arial" w:cs="Arial"/>
          <w:sz w:val="26"/>
          <w:szCs w:val="26"/>
        </w:rPr>
        <w:t>de rubro y texto siguiente:</w:t>
      </w:r>
    </w:p>
    <w:p w:rsidR="00E254E7" w:rsidRDefault="00E254E7" w:rsidP="00E254E7">
      <w:pPr>
        <w:spacing w:before="100" w:beforeAutospacing="1" w:line="360" w:lineRule="auto"/>
        <w:ind w:left="1418" w:right="826"/>
        <w:jc w:val="both"/>
        <w:rPr>
          <w:rFonts w:ascii="Arial" w:hAnsi="Arial" w:cs="Arial"/>
          <w:sz w:val="26"/>
          <w:szCs w:val="26"/>
        </w:rPr>
      </w:pPr>
      <w:r w:rsidRPr="008846C0">
        <w:rPr>
          <w:rFonts w:ascii="Arial" w:hAnsi="Arial" w:cs="Arial"/>
          <w:b/>
          <w:bCs/>
        </w:rPr>
        <w:t xml:space="preserve">“AGRAVIOS INOPERANTES EN LA REVISIÓN. SON AQUELLOS EN LOS QUE SE PRODUCE UN IMPEDIMENTO TÉCNICO QUE IMPOSIBILITA EL EXAMEN DEL PLANTEAMIENTO QUE CONTIENEN. </w:t>
      </w:r>
      <w:r w:rsidRPr="008846C0">
        <w:rPr>
          <w:rFonts w:ascii="Arial" w:hAnsi="Arial" w:cs="Arial"/>
          <w:bCs/>
        </w:rPr>
        <w:t xml:space="preserve">Conforme a los artículos </w:t>
      </w:r>
      <w:hyperlink r:id="rId7" w:history="1">
        <w:r w:rsidRPr="008846C0">
          <w:rPr>
            <w:rFonts w:ascii="Arial" w:hAnsi="Arial" w:cs="Arial"/>
          </w:rPr>
          <w:t>107, fracción III, de la Constitución Política de los Estados Unidos Mexicanos</w:t>
        </w:r>
      </w:hyperlink>
      <w:r w:rsidRPr="008846C0">
        <w:rPr>
          <w:rFonts w:ascii="Arial" w:hAnsi="Arial" w:cs="Arial"/>
          <w:bCs/>
        </w:rPr>
        <w:t xml:space="preserve">, </w:t>
      </w:r>
      <w:hyperlink r:id="rId8" w:history="1">
        <w:r w:rsidRPr="008846C0">
          <w:rPr>
            <w:rFonts w:ascii="Arial" w:hAnsi="Arial" w:cs="Arial"/>
          </w:rPr>
          <w:t>83, fracción IV, 87, 88 y 91, fracciones I a IV, de la Ley de Amparo</w:t>
        </w:r>
      </w:hyperlink>
      <w:r w:rsidRPr="008846C0">
        <w:rPr>
          <w:rFonts w:ascii="Arial" w:hAnsi="Arial" w:cs="Arial"/>
          <w:bCs/>
        </w:rPr>
        <w:t>, el recurso de revisión es un medio de defensa establecido con el fin de revisar la legalidad de la sentencia dictada en el juicio de amparo indirecto y el respeto a las normas fundamentales que rigen el procedimiento, de ahí que es un instrumento técnico que tiende a asegurar un óptimo ejercicio de la función jurisdiccional, cuya materia se circunscribe a la sentencia dictada en la audiencia constitucional, incluyendo las determinaciones contenidas en ésta y, en general, al examen del respeto a las normas fundamentales que rigen el procedimiento del juicio, labor realizada por el órgano revisor a la luz de los agravios expuestos por el recurrente, con el objeto de atacar las consideraciones que sustentan la sentencia recurrida o para demostrar las circunstancias que revelan su ilegalidad. En ese tenor, la inoperancia de los agravios en la revisión se presenta ante la actualización de algún impedimento técnico que imposibilite el examen del planteamiento efectuado que puede derivar de la falta de afectación directa al promovente de la parte considerativa que controvierte; de la omisión de la expresión de agravios referidos a la cuestión debatida; de su formulación material incorrecta, por incumplir las condiciones atinentes a su contenido, que puede darse: a) al no controvertir de manera suficiente y eficaz las consideraciones que rigen la sentencia; b) al introducir pruebas o argumentos novedosos a la litis del juicio de amparo; y, c) en caso de reclamar infracción a las normas fundamentales del procedimiento, al omitir patentizar que se hubiese dejado sin defensa al recurrente o su relevancia en el dictado de la sentencia; o, en su caso, de la concreción de cualquier obstáculo que se advierta y que impida al órgano revisor el examen de fondo del planteamiento propuesto, como puede ser cuando se desatienda la naturaleza de la revisión y del órgano que emitió la sentencia o la existencia de jurisprudencia que resuelve el fondo del asunto planteado.”.</w:t>
      </w:r>
      <w:r>
        <w:rPr>
          <w:rFonts w:ascii="Arial" w:hAnsi="Arial" w:cs="Arial"/>
          <w:bCs/>
        </w:rPr>
        <w:t xml:space="preserve"> </w:t>
      </w:r>
    </w:p>
    <w:p w:rsidR="00E254E7" w:rsidRPr="00A870C1" w:rsidRDefault="00E254E7" w:rsidP="00E254E7">
      <w:pPr>
        <w:spacing w:before="100" w:beforeAutospacing="1" w:line="360" w:lineRule="auto"/>
        <w:ind w:firstLine="1134"/>
        <w:jc w:val="both"/>
        <w:rPr>
          <w:rFonts w:ascii="Arial" w:hAnsi="Arial" w:cs="Arial"/>
          <w:sz w:val="26"/>
          <w:szCs w:val="26"/>
        </w:rPr>
      </w:pPr>
      <w:r w:rsidRPr="00A870C1">
        <w:rPr>
          <w:rFonts w:ascii="Arial" w:hAnsi="Arial" w:cs="Arial"/>
          <w:sz w:val="26"/>
          <w:szCs w:val="26"/>
        </w:rPr>
        <w:t>En conclusión, resultan inoperantes los motivos de inconfor</w:t>
      </w:r>
      <w:r>
        <w:rPr>
          <w:rFonts w:ascii="Arial" w:hAnsi="Arial" w:cs="Arial"/>
          <w:sz w:val="26"/>
          <w:szCs w:val="26"/>
        </w:rPr>
        <w:t xml:space="preserve">midad analizados, toda </w:t>
      </w:r>
      <w:r w:rsidRPr="00C903CA">
        <w:rPr>
          <w:rFonts w:ascii="Arial" w:hAnsi="Arial" w:cs="Arial"/>
          <w:sz w:val="26"/>
          <w:szCs w:val="26"/>
        </w:rPr>
        <w:t>vez que como quedó</w:t>
      </w:r>
      <w:r>
        <w:rPr>
          <w:rFonts w:ascii="Arial" w:hAnsi="Arial" w:cs="Arial"/>
          <w:sz w:val="26"/>
          <w:szCs w:val="26"/>
        </w:rPr>
        <w:t xml:space="preserve"> establecido con antelación, </w:t>
      </w:r>
      <w:r w:rsidRPr="00A870C1">
        <w:rPr>
          <w:rFonts w:ascii="Arial" w:hAnsi="Arial" w:cs="Arial"/>
          <w:sz w:val="26"/>
          <w:szCs w:val="26"/>
        </w:rPr>
        <w:t xml:space="preserve">existe criterio de la Suprema Corte de Justicia de la Nación, </w:t>
      </w:r>
      <w:r w:rsidRPr="00A870C1">
        <w:rPr>
          <w:rFonts w:ascii="Arial" w:hAnsi="Arial" w:cs="Arial"/>
          <w:sz w:val="26"/>
          <w:szCs w:val="26"/>
        </w:rPr>
        <w:lastRenderedPageBreak/>
        <w:t xml:space="preserve">en el sentido de que, en tratándose de sentencias firmes, el juzgador de primera </w:t>
      </w:r>
      <w:r w:rsidRPr="00C903CA">
        <w:rPr>
          <w:rFonts w:ascii="Arial" w:hAnsi="Arial" w:cs="Arial"/>
          <w:sz w:val="26"/>
          <w:szCs w:val="26"/>
        </w:rPr>
        <w:t>instancia, no está</w:t>
      </w:r>
      <w:r w:rsidRPr="00A870C1">
        <w:rPr>
          <w:rFonts w:ascii="Arial" w:hAnsi="Arial" w:cs="Arial"/>
          <w:sz w:val="26"/>
          <w:szCs w:val="26"/>
        </w:rPr>
        <w:t xml:space="preserve"> facultado para abordar el tema de la usura, ya que su análisis encuentra límite en la cosa juzgada, y en el caso, la determinación que condenó al pago de</w:t>
      </w:r>
      <w:r>
        <w:rPr>
          <w:rFonts w:ascii="Arial" w:hAnsi="Arial" w:cs="Arial"/>
          <w:sz w:val="26"/>
          <w:szCs w:val="26"/>
        </w:rPr>
        <w:t xml:space="preserve"> los intereses a una tasa especí</w:t>
      </w:r>
      <w:r w:rsidRPr="00A870C1">
        <w:rPr>
          <w:rFonts w:ascii="Arial" w:hAnsi="Arial" w:cs="Arial"/>
          <w:sz w:val="26"/>
          <w:szCs w:val="26"/>
        </w:rPr>
        <w:t xml:space="preserve">fica en monto porcentual, se encuentra firme, por así haberse declarado en el procedimiento de origen, mediante proveído de </w:t>
      </w:r>
      <w:r w:rsidRPr="00A870C1">
        <w:rPr>
          <w:rFonts w:ascii="Arial" w:hAnsi="Arial" w:cs="Arial"/>
          <w:sz w:val="26"/>
          <w:szCs w:val="26"/>
          <w:lang w:val="es-MX"/>
        </w:rPr>
        <w:t>15 quince de octubre de 2020 dos mil veinte, al no haber sido impugnada por las partes,  tan es así que</w:t>
      </w:r>
      <w:r w:rsidRPr="00A870C1">
        <w:rPr>
          <w:rFonts w:ascii="Arial" w:hAnsi="Arial" w:cs="Arial"/>
          <w:sz w:val="26"/>
          <w:szCs w:val="26"/>
        </w:rPr>
        <w:t xml:space="preserve"> la interlocutoria que se revisa fue dictada en la etapa de ejecución de sentencia, lo que implica que, en el caso, existe sentencia firme inmutable.</w:t>
      </w:r>
    </w:p>
    <w:p w:rsidR="00E254E7" w:rsidRPr="00A870C1" w:rsidRDefault="00E254E7" w:rsidP="00E254E7">
      <w:pPr>
        <w:spacing w:before="100" w:beforeAutospacing="1" w:line="360" w:lineRule="auto"/>
        <w:ind w:firstLine="1134"/>
        <w:jc w:val="both"/>
        <w:rPr>
          <w:rFonts w:ascii="Arial" w:hAnsi="Arial" w:cs="Arial"/>
          <w:sz w:val="26"/>
          <w:szCs w:val="26"/>
        </w:rPr>
      </w:pPr>
      <w:r w:rsidRPr="00A870C1">
        <w:rPr>
          <w:rFonts w:ascii="Arial" w:hAnsi="Arial" w:cs="Arial"/>
          <w:sz w:val="26"/>
          <w:szCs w:val="26"/>
        </w:rPr>
        <w:t xml:space="preserve">En esa virtud, al no estar fundada en derecho y con fundamento en lo dispuesto por el artículo 974 TER del Código de Procedimientos Civiles para el Estado, se desecha la queja interpuesta por </w:t>
      </w:r>
      <w:r w:rsidRPr="00E254E7">
        <w:rPr>
          <w:rFonts w:ascii="Arial" w:hAnsi="Arial" w:cs="Arial"/>
          <w:b/>
          <w:iCs/>
          <w:sz w:val="26"/>
          <w:szCs w:val="26"/>
        </w:rPr>
        <w:t xml:space="preserve"> ELIMINADO </w:t>
      </w:r>
      <w:r w:rsidRPr="00A870C1">
        <w:rPr>
          <w:rFonts w:ascii="Arial" w:hAnsi="Arial" w:cs="Arial"/>
          <w:sz w:val="26"/>
          <w:szCs w:val="26"/>
        </w:rPr>
        <w:t xml:space="preserve"> contra la interlocutoria de liquidación de intereses de 13 trece de julio de 2021 dos mil veintiuno, pronunciada en el expediente número </w:t>
      </w:r>
      <w:r w:rsidR="00662CA0">
        <w:rPr>
          <w:rFonts w:ascii="Arial" w:hAnsi="Arial" w:cs="Arial"/>
          <w:b/>
          <w:sz w:val="26"/>
          <w:szCs w:val="26"/>
        </w:rPr>
        <w:t>ELIMINADO</w:t>
      </w:r>
      <w:r w:rsidRPr="00A870C1">
        <w:rPr>
          <w:rFonts w:ascii="Arial" w:hAnsi="Arial" w:cs="Arial"/>
          <w:bCs/>
          <w:sz w:val="26"/>
          <w:szCs w:val="26"/>
        </w:rPr>
        <w:t xml:space="preserve">, del índice del Juzgado Tercero Civil de esta Capital, </w:t>
      </w:r>
      <w:r w:rsidRPr="00A870C1">
        <w:rPr>
          <w:rFonts w:ascii="Arial" w:hAnsi="Arial" w:cs="Arial"/>
          <w:sz w:val="26"/>
          <w:szCs w:val="26"/>
        </w:rPr>
        <w:t xml:space="preserve">relativo al </w:t>
      </w:r>
      <w:r w:rsidRPr="00A870C1">
        <w:rPr>
          <w:rFonts w:ascii="Arial" w:hAnsi="Arial" w:cs="Arial"/>
          <w:bCs/>
          <w:sz w:val="26"/>
          <w:szCs w:val="26"/>
        </w:rPr>
        <w:t>juicio extraordinario civil hipotecario,</w:t>
      </w:r>
      <w:r w:rsidRPr="00A870C1">
        <w:rPr>
          <w:rFonts w:ascii="Arial" w:hAnsi="Arial" w:cs="Arial"/>
          <w:sz w:val="26"/>
          <w:szCs w:val="26"/>
        </w:rPr>
        <w:t xml:space="preserve"> promovido por </w:t>
      </w:r>
      <w:r w:rsidRPr="00E254E7">
        <w:rPr>
          <w:rFonts w:ascii="Arial" w:hAnsi="Arial" w:cs="Arial"/>
          <w:b/>
          <w:sz w:val="26"/>
          <w:szCs w:val="26"/>
        </w:rPr>
        <w:t xml:space="preserve"> ELIMINADO</w:t>
      </w:r>
      <w:r w:rsidRPr="00A870C1">
        <w:rPr>
          <w:rFonts w:ascii="Arial" w:hAnsi="Arial" w:cs="Arial"/>
          <w:b/>
          <w:sz w:val="26"/>
          <w:szCs w:val="26"/>
        </w:rPr>
        <w:t xml:space="preserve">, </w:t>
      </w:r>
      <w:r w:rsidRPr="00A870C1">
        <w:rPr>
          <w:rFonts w:ascii="Arial" w:hAnsi="Arial" w:cs="Arial"/>
          <w:sz w:val="26"/>
          <w:szCs w:val="26"/>
        </w:rPr>
        <w:t xml:space="preserve">y continuado por </w:t>
      </w:r>
      <w:r w:rsidR="00662CA0">
        <w:rPr>
          <w:rFonts w:ascii="Arial" w:hAnsi="Arial" w:cs="Arial"/>
          <w:b/>
          <w:sz w:val="26"/>
          <w:szCs w:val="26"/>
        </w:rPr>
        <w:t>ELIMINADO</w:t>
      </w:r>
      <w:r w:rsidRPr="00A870C1">
        <w:rPr>
          <w:rFonts w:ascii="Arial" w:hAnsi="Arial" w:cs="Arial"/>
          <w:sz w:val="26"/>
          <w:szCs w:val="26"/>
        </w:rPr>
        <w:t xml:space="preserve">, </w:t>
      </w:r>
      <w:r w:rsidRPr="00A870C1">
        <w:rPr>
          <w:rFonts w:ascii="Arial" w:hAnsi="Arial" w:cs="Arial"/>
          <w:sz w:val="26"/>
          <w:szCs w:val="24"/>
        </w:rPr>
        <w:t xml:space="preserve">en su carácter de cesionario de los derechos de crédito, litigiosos y derechos derivados de los mismos, </w:t>
      </w:r>
      <w:r w:rsidRPr="00A870C1">
        <w:rPr>
          <w:rFonts w:ascii="Arial" w:hAnsi="Arial" w:cs="Arial"/>
          <w:sz w:val="26"/>
          <w:szCs w:val="26"/>
        </w:rPr>
        <w:t xml:space="preserve">por conducto de su apoderado legal licenciado </w:t>
      </w:r>
      <w:r w:rsidRPr="00E254E7">
        <w:rPr>
          <w:rFonts w:ascii="Arial" w:hAnsi="Arial" w:cs="Arial"/>
          <w:b/>
          <w:sz w:val="26"/>
          <w:szCs w:val="26"/>
        </w:rPr>
        <w:t xml:space="preserve"> ELIMINADO </w:t>
      </w:r>
      <w:r w:rsidRPr="00A870C1">
        <w:rPr>
          <w:rFonts w:ascii="Arial" w:hAnsi="Arial" w:cs="Arial"/>
          <w:sz w:val="26"/>
          <w:szCs w:val="26"/>
        </w:rPr>
        <w:t xml:space="preserve">en contra de </w:t>
      </w:r>
      <w:r w:rsidR="00662CA0">
        <w:rPr>
          <w:rFonts w:ascii="Arial" w:hAnsi="Arial" w:cs="Arial"/>
          <w:b/>
          <w:sz w:val="26"/>
          <w:szCs w:val="26"/>
        </w:rPr>
        <w:t xml:space="preserve"> ELIMINADO</w:t>
      </w:r>
      <w:r w:rsidRPr="00A870C1">
        <w:rPr>
          <w:rFonts w:ascii="Arial" w:hAnsi="Arial" w:cs="Arial"/>
          <w:sz w:val="26"/>
          <w:szCs w:val="26"/>
        </w:rPr>
        <w:t>; y en consecuencia, se confirma la resolución impugnada.</w:t>
      </w:r>
    </w:p>
    <w:p w:rsidR="00E254E7" w:rsidRPr="00A870C1" w:rsidRDefault="00E254E7" w:rsidP="00E254E7">
      <w:pPr>
        <w:spacing w:before="100" w:beforeAutospacing="1" w:line="360" w:lineRule="auto"/>
        <w:ind w:firstLine="1134"/>
        <w:jc w:val="both"/>
        <w:rPr>
          <w:rFonts w:ascii="Arial" w:hAnsi="Arial" w:cs="Arial"/>
          <w:b/>
          <w:sz w:val="26"/>
          <w:szCs w:val="26"/>
        </w:rPr>
      </w:pPr>
      <w:r w:rsidRPr="00A870C1">
        <w:rPr>
          <w:rFonts w:ascii="Arial" w:hAnsi="Arial" w:cs="Arial"/>
          <w:b/>
          <w:sz w:val="26"/>
          <w:szCs w:val="26"/>
        </w:rPr>
        <w:t>Quinto. Multa</w:t>
      </w:r>
      <w:r>
        <w:rPr>
          <w:rFonts w:ascii="Arial" w:hAnsi="Arial" w:cs="Arial"/>
          <w:b/>
          <w:sz w:val="26"/>
          <w:szCs w:val="26"/>
        </w:rPr>
        <w:t>.</w:t>
      </w:r>
    </w:p>
    <w:p w:rsidR="00E254E7" w:rsidRPr="00A870C1" w:rsidRDefault="00E254E7" w:rsidP="00E254E7">
      <w:pPr>
        <w:spacing w:before="100" w:beforeAutospacing="1" w:line="360" w:lineRule="auto"/>
        <w:ind w:firstLine="1134"/>
        <w:jc w:val="both"/>
        <w:rPr>
          <w:rFonts w:ascii="Arial" w:hAnsi="Arial" w:cs="Arial"/>
          <w:sz w:val="26"/>
          <w:szCs w:val="26"/>
        </w:rPr>
      </w:pPr>
      <w:r w:rsidRPr="00A870C1">
        <w:rPr>
          <w:rFonts w:ascii="Arial" w:hAnsi="Arial" w:cs="Arial"/>
          <w:sz w:val="26"/>
          <w:szCs w:val="26"/>
        </w:rPr>
        <w:t>El artículo 975 del Código de Procedimientos Civiles del Estado, prevé que se impondrá multa al promovente si su queja no resulta apoyada en hecho cierto, si no estuviere fundada en derecho, o bien, si procediere recurso ordinario contra la resolución reclamada.</w:t>
      </w:r>
    </w:p>
    <w:p w:rsidR="00E254E7" w:rsidRPr="00A870C1" w:rsidRDefault="00E254E7" w:rsidP="00E254E7">
      <w:pPr>
        <w:spacing w:before="100" w:beforeAutospacing="1" w:line="360" w:lineRule="auto"/>
        <w:ind w:firstLine="1134"/>
        <w:jc w:val="both"/>
        <w:rPr>
          <w:rFonts w:ascii="Arial" w:hAnsi="Arial" w:cs="Arial"/>
          <w:sz w:val="26"/>
          <w:szCs w:val="26"/>
        </w:rPr>
      </w:pPr>
      <w:r w:rsidRPr="00A870C1">
        <w:rPr>
          <w:rFonts w:ascii="Arial" w:hAnsi="Arial" w:cs="Arial"/>
          <w:sz w:val="26"/>
          <w:szCs w:val="26"/>
        </w:rPr>
        <w:t>En el caso, no se advierte que la quejosa, mediante la interposición del presente recurso, haya tenido el ánimo de entorpecer el procedimiento, ni que su proceder haya sido de mala fe, por consiguiente, no se impone la multa a que se refiere la norma en comento.</w:t>
      </w:r>
    </w:p>
    <w:p w:rsidR="00E254E7" w:rsidRPr="00A870C1" w:rsidRDefault="00E254E7" w:rsidP="00E254E7">
      <w:pPr>
        <w:pStyle w:val="Normal0"/>
        <w:spacing w:before="100" w:beforeAutospacing="1" w:line="360" w:lineRule="auto"/>
        <w:ind w:firstLine="1134"/>
        <w:jc w:val="both"/>
        <w:rPr>
          <w:b/>
          <w:sz w:val="26"/>
          <w:szCs w:val="26"/>
          <w:lang w:val="es-ES_tradnl"/>
        </w:rPr>
      </w:pPr>
      <w:r w:rsidRPr="00A870C1">
        <w:rPr>
          <w:b/>
          <w:sz w:val="26"/>
          <w:szCs w:val="26"/>
          <w:lang w:val="es-ES_tradnl"/>
        </w:rPr>
        <w:t>Sexto. Publicidad de la resolución</w:t>
      </w:r>
      <w:r>
        <w:rPr>
          <w:b/>
          <w:sz w:val="26"/>
          <w:szCs w:val="26"/>
          <w:lang w:val="es-ES_tradnl"/>
        </w:rPr>
        <w:t>.</w:t>
      </w:r>
    </w:p>
    <w:p w:rsidR="00E254E7" w:rsidRPr="00A870C1" w:rsidRDefault="00E254E7" w:rsidP="00E254E7">
      <w:pPr>
        <w:pStyle w:val="Normal0"/>
        <w:spacing w:before="100" w:beforeAutospacing="1" w:line="360" w:lineRule="auto"/>
        <w:ind w:firstLine="1134"/>
        <w:jc w:val="both"/>
        <w:rPr>
          <w:bCs/>
          <w:sz w:val="26"/>
          <w:szCs w:val="26"/>
          <w:lang w:val="es-ES_tradnl"/>
        </w:rPr>
      </w:pPr>
      <w:r w:rsidRPr="00A870C1">
        <w:rPr>
          <w:sz w:val="26"/>
          <w:szCs w:val="26"/>
          <w:lang w:val="es-ES_tradnl"/>
        </w:rPr>
        <w:lastRenderedPageBreak/>
        <w:t>De conformidad con la circular número 06/2020, signada por la Presidenta del Supremo Tribunal de Justicia y del Consejo de la Judicatura del Poder Judicial del Estado, de 21 veintiuno de enero del 2020 dos mil veinte, se hace del conocimiento de las partes,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que con fundamento en lo establecido en los artículos 1068 del Código de Comercio 106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p>
    <w:p w:rsidR="00E254E7" w:rsidRPr="00A870C1" w:rsidRDefault="00E254E7" w:rsidP="00E254E7">
      <w:pPr>
        <w:widowControl w:val="0"/>
        <w:spacing w:before="100" w:beforeAutospacing="1" w:after="100" w:afterAutospacing="1" w:line="360" w:lineRule="auto"/>
        <w:ind w:firstLine="1134"/>
        <w:jc w:val="both"/>
        <w:rPr>
          <w:rFonts w:ascii="Arial" w:hAnsi="Arial" w:cs="Arial"/>
          <w:bCs/>
          <w:sz w:val="26"/>
          <w:szCs w:val="26"/>
          <w:lang w:val="es-MX"/>
        </w:rPr>
      </w:pPr>
      <w:r w:rsidRPr="00A870C1">
        <w:rPr>
          <w:rFonts w:ascii="Arial" w:hAnsi="Arial" w:cs="Arial"/>
          <w:bCs/>
          <w:sz w:val="26"/>
          <w:szCs w:val="26"/>
          <w:lang w:val="es-MX"/>
        </w:rPr>
        <w:t>Por lo expuesto y fundado, con sustento además en los artículos 81, 83, 974 Bis y demás relativos del Código de Procedimientos Civiles del Estado, se resuelve:</w:t>
      </w:r>
    </w:p>
    <w:p w:rsidR="00E254E7" w:rsidRPr="00A870C1" w:rsidRDefault="00E254E7" w:rsidP="00E254E7">
      <w:pPr>
        <w:widowControl w:val="0"/>
        <w:spacing w:before="100" w:beforeAutospacing="1" w:after="100" w:afterAutospacing="1" w:line="360" w:lineRule="auto"/>
        <w:ind w:firstLine="1134"/>
        <w:jc w:val="both"/>
        <w:rPr>
          <w:rFonts w:ascii="Arial" w:hAnsi="Arial" w:cs="Arial"/>
          <w:bCs/>
          <w:sz w:val="26"/>
          <w:szCs w:val="26"/>
          <w:lang w:val="es-MX"/>
        </w:rPr>
      </w:pPr>
      <w:r w:rsidRPr="00A870C1">
        <w:rPr>
          <w:rFonts w:ascii="Arial" w:hAnsi="Arial" w:cs="Arial"/>
          <w:b/>
          <w:bCs/>
          <w:sz w:val="26"/>
          <w:szCs w:val="26"/>
          <w:lang w:val="es-MX"/>
        </w:rPr>
        <w:t xml:space="preserve">Primero. </w:t>
      </w:r>
      <w:r w:rsidRPr="00A870C1">
        <w:rPr>
          <w:rFonts w:ascii="Arial" w:hAnsi="Arial" w:cs="Arial"/>
          <w:bCs/>
          <w:sz w:val="26"/>
          <w:szCs w:val="26"/>
          <w:lang w:val="es-MX"/>
        </w:rPr>
        <w:t>Este Tribunal en Pleno, resultó competente para resolver del presente asunto y el trámite seguido se encontró ajustado a derecho.</w:t>
      </w:r>
    </w:p>
    <w:p w:rsidR="00E254E7" w:rsidRPr="00A870C1" w:rsidRDefault="00E254E7" w:rsidP="00E254E7">
      <w:pPr>
        <w:spacing w:before="100" w:beforeAutospacing="1" w:line="360" w:lineRule="auto"/>
        <w:ind w:firstLine="1134"/>
        <w:jc w:val="both"/>
        <w:rPr>
          <w:rFonts w:ascii="Arial" w:hAnsi="Arial" w:cs="Arial"/>
          <w:sz w:val="26"/>
          <w:szCs w:val="26"/>
        </w:rPr>
      </w:pPr>
      <w:r w:rsidRPr="00A870C1">
        <w:rPr>
          <w:rFonts w:ascii="Arial" w:hAnsi="Arial" w:cs="Arial"/>
          <w:b/>
          <w:bCs/>
          <w:sz w:val="26"/>
          <w:szCs w:val="26"/>
          <w:lang w:val="es-ES_tradnl"/>
        </w:rPr>
        <w:t>Segundo.</w:t>
      </w:r>
      <w:r w:rsidRPr="00A870C1">
        <w:rPr>
          <w:rFonts w:ascii="Arial" w:hAnsi="Arial" w:cs="Arial"/>
          <w:sz w:val="26"/>
          <w:szCs w:val="26"/>
          <w:lang w:val="es-ES_tradnl"/>
        </w:rPr>
        <w:t xml:space="preserve"> </w:t>
      </w:r>
      <w:r w:rsidRPr="00A870C1">
        <w:rPr>
          <w:rFonts w:ascii="Arial" w:hAnsi="Arial" w:cs="Arial"/>
          <w:bCs/>
          <w:sz w:val="26"/>
          <w:szCs w:val="26"/>
          <w:lang w:val="es-MX"/>
        </w:rPr>
        <w:t xml:space="preserve">Los motivos de inconformidad expuestos por </w:t>
      </w:r>
      <w:r w:rsidRPr="00E254E7">
        <w:rPr>
          <w:rFonts w:ascii="Arial" w:hAnsi="Arial" w:cs="Arial"/>
          <w:b/>
          <w:sz w:val="26"/>
          <w:szCs w:val="26"/>
        </w:rPr>
        <w:t xml:space="preserve"> ELIMINADO</w:t>
      </w:r>
      <w:r w:rsidRPr="00A870C1">
        <w:rPr>
          <w:rFonts w:ascii="Arial" w:hAnsi="Arial" w:cs="Arial"/>
          <w:b/>
          <w:sz w:val="26"/>
          <w:szCs w:val="26"/>
        </w:rPr>
        <w:t>,</w:t>
      </w:r>
      <w:r w:rsidRPr="00A870C1">
        <w:rPr>
          <w:rFonts w:ascii="Arial" w:hAnsi="Arial" w:cs="Arial"/>
          <w:sz w:val="26"/>
          <w:szCs w:val="26"/>
        </w:rPr>
        <w:t xml:space="preserve"> resultaron inoperantes.</w:t>
      </w:r>
    </w:p>
    <w:p w:rsidR="00E254E7" w:rsidRPr="00A870C1" w:rsidRDefault="00E254E7" w:rsidP="00E254E7">
      <w:pPr>
        <w:spacing w:before="100" w:beforeAutospacing="1" w:line="360" w:lineRule="auto"/>
        <w:ind w:firstLine="1134"/>
        <w:jc w:val="both"/>
        <w:rPr>
          <w:rFonts w:ascii="Arial" w:hAnsi="Arial" w:cs="Arial"/>
          <w:bCs/>
          <w:sz w:val="26"/>
          <w:szCs w:val="26"/>
        </w:rPr>
      </w:pPr>
      <w:r w:rsidRPr="00A870C1">
        <w:rPr>
          <w:rFonts w:ascii="Arial" w:hAnsi="Arial" w:cs="Arial"/>
          <w:b/>
          <w:bCs/>
          <w:sz w:val="26"/>
          <w:szCs w:val="26"/>
          <w:lang w:val="es-ES_tradnl"/>
        </w:rPr>
        <w:lastRenderedPageBreak/>
        <w:t xml:space="preserve">Tercero. </w:t>
      </w:r>
      <w:r w:rsidRPr="00A870C1">
        <w:rPr>
          <w:rFonts w:ascii="Arial" w:hAnsi="Arial" w:cs="Arial"/>
          <w:bCs/>
          <w:sz w:val="26"/>
          <w:szCs w:val="26"/>
          <w:lang w:val="es-ES_tradnl"/>
        </w:rPr>
        <w:t xml:space="preserve">En consecuencia, al no estar fundado en derecho, se desecha por improcedente el recurso de queja interpuesto por </w:t>
      </w:r>
      <w:r w:rsidRPr="00E254E7">
        <w:rPr>
          <w:rFonts w:ascii="Arial" w:hAnsi="Arial" w:cs="Arial"/>
          <w:b/>
          <w:bCs/>
          <w:sz w:val="26"/>
          <w:szCs w:val="26"/>
          <w:lang w:val="es-ES_tradnl"/>
        </w:rPr>
        <w:t xml:space="preserve"> ELIMINADO </w:t>
      </w:r>
      <w:r w:rsidRPr="00A870C1">
        <w:rPr>
          <w:rFonts w:ascii="Arial" w:hAnsi="Arial" w:cs="Arial"/>
          <w:bCs/>
          <w:sz w:val="26"/>
          <w:szCs w:val="26"/>
          <w:lang w:val="es-ES_tradnl"/>
        </w:rPr>
        <w:t xml:space="preserve">en </w:t>
      </w:r>
      <w:r w:rsidRPr="00A870C1">
        <w:rPr>
          <w:rFonts w:ascii="Arial" w:hAnsi="Arial" w:cs="Arial"/>
          <w:bCs/>
          <w:sz w:val="26"/>
          <w:szCs w:val="26"/>
        </w:rPr>
        <w:t xml:space="preserve">contra </w:t>
      </w:r>
      <w:r w:rsidRPr="00A870C1">
        <w:rPr>
          <w:rFonts w:ascii="Arial" w:hAnsi="Arial" w:cs="Arial"/>
          <w:sz w:val="26"/>
          <w:szCs w:val="26"/>
        </w:rPr>
        <w:t>de la interlocutoria de liquidación de intereses de 13 trece de julio de 2021 dos mil veintiuno, pronunciada en el expediente número</w:t>
      </w:r>
      <w:r w:rsidRPr="00E254E7">
        <w:rPr>
          <w:rFonts w:ascii="Arial" w:hAnsi="Arial" w:cs="Arial"/>
          <w:b/>
          <w:sz w:val="26"/>
          <w:szCs w:val="26"/>
        </w:rPr>
        <w:t xml:space="preserve"> ELIMINADO</w:t>
      </w:r>
      <w:r w:rsidRPr="00A870C1">
        <w:rPr>
          <w:rFonts w:ascii="Arial" w:hAnsi="Arial" w:cs="Arial"/>
          <w:bCs/>
          <w:sz w:val="26"/>
          <w:szCs w:val="26"/>
        </w:rPr>
        <w:t xml:space="preserve">, del índice del Juzgado Tercero Civil de esta Capital, </w:t>
      </w:r>
      <w:r w:rsidRPr="00A870C1">
        <w:rPr>
          <w:rFonts w:ascii="Arial" w:hAnsi="Arial" w:cs="Arial"/>
          <w:sz w:val="26"/>
          <w:szCs w:val="26"/>
        </w:rPr>
        <w:t xml:space="preserve">relativo al </w:t>
      </w:r>
      <w:r w:rsidRPr="00A870C1">
        <w:rPr>
          <w:rFonts w:ascii="Arial" w:hAnsi="Arial" w:cs="Arial"/>
          <w:bCs/>
          <w:sz w:val="26"/>
          <w:szCs w:val="26"/>
        </w:rPr>
        <w:t>juicio extraordinario civil hipotecario,</w:t>
      </w:r>
      <w:r w:rsidRPr="00A870C1">
        <w:rPr>
          <w:rFonts w:ascii="Arial" w:hAnsi="Arial" w:cs="Arial"/>
          <w:sz w:val="26"/>
          <w:szCs w:val="26"/>
        </w:rPr>
        <w:t xml:space="preserve"> promovido por </w:t>
      </w:r>
      <w:r w:rsidRPr="00E254E7">
        <w:rPr>
          <w:rFonts w:ascii="Arial" w:hAnsi="Arial" w:cs="Arial"/>
          <w:b/>
          <w:sz w:val="26"/>
          <w:szCs w:val="26"/>
        </w:rPr>
        <w:t xml:space="preserve"> ELIMINADO</w:t>
      </w:r>
      <w:r w:rsidRPr="00A870C1">
        <w:rPr>
          <w:rFonts w:ascii="Arial" w:hAnsi="Arial" w:cs="Arial"/>
          <w:b/>
          <w:sz w:val="26"/>
          <w:szCs w:val="26"/>
        </w:rPr>
        <w:t xml:space="preserve">, </w:t>
      </w:r>
      <w:r w:rsidRPr="00A870C1">
        <w:rPr>
          <w:rFonts w:ascii="Arial" w:hAnsi="Arial" w:cs="Arial"/>
          <w:sz w:val="26"/>
          <w:szCs w:val="26"/>
        </w:rPr>
        <w:t xml:space="preserve">y continuado por </w:t>
      </w:r>
      <w:r w:rsidRPr="00E254E7">
        <w:rPr>
          <w:rFonts w:ascii="Arial" w:hAnsi="Arial" w:cs="Arial"/>
          <w:b/>
          <w:sz w:val="26"/>
          <w:szCs w:val="26"/>
        </w:rPr>
        <w:t>ELIMINADO</w:t>
      </w:r>
      <w:r w:rsidRPr="00A870C1">
        <w:rPr>
          <w:rFonts w:ascii="Arial" w:hAnsi="Arial" w:cs="Arial"/>
          <w:sz w:val="26"/>
          <w:szCs w:val="26"/>
        </w:rPr>
        <w:t xml:space="preserve">, </w:t>
      </w:r>
      <w:r w:rsidRPr="00A870C1">
        <w:rPr>
          <w:rFonts w:ascii="Arial" w:hAnsi="Arial" w:cs="Arial"/>
          <w:sz w:val="26"/>
          <w:szCs w:val="24"/>
        </w:rPr>
        <w:t xml:space="preserve">en su carácter de cesionario de los derechos de crédito, litigiosos y derechos derivados de los mismos, </w:t>
      </w:r>
      <w:r w:rsidRPr="00A870C1">
        <w:rPr>
          <w:rFonts w:ascii="Arial" w:hAnsi="Arial" w:cs="Arial"/>
          <w:sz w:val="26"/>
          <w:szCs w:val="26"/>
        </w:rPr>
        <w:t xml:space="preserve">por conducto de su apoderado legal licenciado </w:t>
      </w:r>
      <w:r w:rsidRPr="00E254E7">
        <w:rPr>
          <w:rFonts w:ascii="Arial" w:hAnsi="Arial" w:cs="Arial"/>
          <w:b/>
          <w:sz w:val="26"/>
          <w:szCs w:val="26"/>
        </w:rPr>
        <w:t xml:space="preserve"> ELIMINADO </w:t>
      </w:r>
      <w:r w:rsidRPr="00A870C1">
        <w:rPr>
          <w:rFonts w:ascii="Arial" w:hAnsi="Arial" w:cs="Arial"/>
          <w:sz w:val="26"/>
          <w:szCs w:val="26"/>
        </w:rPr>
        <w:t xml:space="preserve">en contra de </w:t>
      </w:r>
      <w:r w:rsidRPr="00E254E7">
        <w:rPr>
          <w:rFonts w:ascii="Arial" w:hAnsi="Arial" w:cs="Arial"/>
          <w:b/>
          <w:sz w:val="26"/>
          <w:szCs w:val="26"/>
        </w:rPr>
        <w:t xml:space="preserve"> ELIMINADO</w:t>
      </w:r>
      <w:r w:rsidRPr="00A870C1">
        <w:rPr>
          <w:rFonts w:ascii="Arial" w:hAnsi="Arial" w:cs="Arial"/>
          <w:b/>
          <w:sz w:val="26"/>
          <w:szCs w:val="26"/>
        </w:rPr>
        <w:t>.</w:t>
      </w:r>
    </w:p>
    <w:p w:rsidR="00E254E7" w:rsidRPr="00A870C1" w:rsidRDefault="00E254E7" w:rsidP="00E254E7">
      <w:pPr>
        <w:spacing w:before="100" w:beforeAutospacing="1" w:line="360" w:lineRule="auto"/>
        <w:ind w:firstLine="1134"/>
        <w:jc w:val="both"/>
        <w:rPr>
          <w:rFonts w:ascii="Arial" w:hAnsi="Arial" w:cs="Arial"/>
          <w:bCs/>
          <w:sz w:val="26"/>
          <w:szCs w:val="26"/>
          <w:lang w:val="es-ES_tradnl"/>
        </w:rPr>
      </w:pPr>
      <w:r w:rsidRPr="00A870C1">
        <w:rPr>
          <w:rFonts w:ascii="Arial" w:hAnsi="Arial" w:cs="Arial"/>
          <w:b/>
          <w:bCs/>
          <w:sz w:val="26"/>
          <w:szCs w:val="26"/>
          <w:lang w:val="es-ES_tradnl"/>
        </w:rPr>
        <w:t xml:space="preserve">Cuarto. </w:t>
      </w:r>
      <w:r w:rsidRPr="00A870C1">
        <w:rPr>
          <w:rFonts w:ascii="Arial" w:hAnsi="Arial" w:cs="Arial"/>
          <w:bCs/>
          <w:sz w:val="26"/>
          <w:szCs w:val="26"/>
          <w:lang w:val="es-ES_tradnl"/>
        </w:rPr>
        <w:t>No ha lugar a imponer multa a la parte quejosa.</w:t>
      </w:r>
    </w:p>
    <w:p w:rsidR="00E254E7" w:rsidRPr="00A870C1" w:rsidRDefault="00E254E7" w:rsidP="00E254E7">
      <w:pPr>
        <w:spacing w:before="100" w:beforeAutospacing="1" w:line="360" w:lineRule="auto"/>
        <w:ind w:firstLine="1134"/>
        <w:jc w:val="both"/>
        <w:rPr>
          <w:rFonts w:ascii="Arial" w:hAnsi="Arial" w:cs="Arial"/>
          <w:sz w:val="26"/>
          <w:szCs w:val="26"/>
          <w:lang w:val="es-ES_tradnl"/>
        </w:rPr>
      </w:pPr>
      <w:r w:rsidRPr="00A870C1">
        <w:rPr>
          <w:rFonts w:ascii="Arial" w:hAnsi="Arial" w:cs="Arial"/>
          <w:b/>
          <w:bCs/>
          <w:sz w:val="26"/>
          <w:szCs w:val="26"/>
          <w:lang w:val="es-ES_tradnl"/>
        </w:rPr>
        <w:t xml:space="preserve">Quinto. </w:t>
      </w:r>
      <w:r w:rsidRPr="00A870C1">
        <w:rPr>
          <w:rFonts w:ascii="Arial" w:hAnsi="Arial" w:cs="Arial"/>
          <w:sz w:val="26"/>
          <w:szCs w:val="26"/>
          <w:lang w:val="es-ES_tradnl"/>
        </w:rPr>
        <w:t xml:space="preserve">La presente sentencia estará a disposición del público para su consulta, cuando así se solicite, en los términos precisados en el considerando </w:t>
      </w:r>
      <w:r>
        <w:rPr>
          <w:rFonts w:ascii="Arial" w:hAnsi="Arial" w:cs="Arial"/>
          <w:sz w:val="26"/>
          <w:szCs w:val="26"/>
          <w:lang w:val="es-ES_tradnl"/>
        </w:rPr>
        <w:t>sexto</w:t>
      </w:r>
      <w:r w:rsidRPr="00A870C1">
        <w:rPr>
          <w:rFonts w:ascii="Arial" w:hAnsi="Arial" w:cs="Arial"/>
          <w:sz w:val="26"/>
          <w:szCs w:val="26"/>
          <w:lang w:val="es-ES_tradnl"/>
        </w:rPr>
        <w:t xml:space="preserve"> de esta resolución.</w:t>
      </w:r>
    </w:p>
    <w:p w:rsidR="00E254E7" w:rsidRPr="00A870C1" w:rsidRDefault="00E254E7" w:rsidP="00E254E7">
      <w:pPr>
        <w:spacing w:before="100" w:beforeAutospacing="1" w:line="360" w:lineRule="auto"/>
        <w:ind w:firstLine="1134"/>
        <w:jc w:val="both"/>
        <w:rPr>
          <w:rFonts w:ascii="Arial" w:hAnsi="Arial" w:cs="Arial"/>
          <w:bCs/>
          <w:sz w:val="26"/>
          <w:szCs w:val="26"/>
          <w:lang w:val="es-ES_tradnl"/>
        </w:rPr>
      </w:pPr>
      <w:r w:rsidRPr="00A870C1">
        <w:rPr>
          <w:rFonts w:ascii="Arial" w:hAnsi="Arial" w:cs="Arial"/>
          <w:b/>
          <w:sz w:val="26"/>
          <w:szCs w:val="26"/>
          <w:lang w:val="es-ES_tradnl"/>
        </w:rPr>
        <w:t xml:space="preserve">Sexto. </w:t>
      </w:r>
      <w:r w:rsidRPr="00A870C1">
        <w:rPr>
          <w:rFonts w:ascii="Arial" w:hAnsi="Arial" w:cs="Arial"/>
          <w:bCs/>
          <w:sz w:val="26"/>
          <w:szCs w:val="26"/>
          <w:lang w:val="es-ES_tradnl"/>
        </w:rPr>
        <w:t xml:space="preserve">Remítase copia certificada de la presente resolución al Juez Tercero del Ramo Civil </w:t>
      </w:r>
      <w:r w:rsidRPr="00A870C1">
        <w:rPr>
          <w:rFonts w:ascii="Arial" w:hAnsi="Arial" w:cs="Arial"/>
          <w:sz w:val="26"/>
          <w:szCs w:val="24"/>
        </w:rPr>
        <w:t>en la ciudad</w:t>
      </w:r>
      <w:r w:rsidRPr="00A870C1">
        <w:rPr>
          <w:rFonts w:ascii="Arial" w:hAnsi="Arial" w:cs="Arial"/>
          <w:bCs/>
          <w:sz w:val="26"/>
          <w:szCs w:val="26"/>
          <w:lang w:val="es-ES_tradnl"/>
        </w:rPr>
        <w:t>, para los efectos legales consiguientes y en su oportunidad archívese el toca como asunto concluido.</w:t>
      </w:r>
    </w:p>
    <w:p w:rsidR="00E254E7" w:rsidRPr="00A870C1" w:rsidRDefault="00E254E7" w:rsidP="00E254E7">
      <w:pPr>
        <w:spacing w:before="100" w:beforeAutospacing="1" w:line="360" w:lineRule="auto"/>
        <w:ind w:firstLine="1134"/>
        <w:jc w:val="both"/>
        <w:rPr>
          <w:rFonts w:ascii="Arial" w:hAnsi="Arial" w:cs="Arial"/>
          <w:bCs/>
          <w:sz w:val="26"/>
          <w:szCs w:val="26"/>
          <w:lang w:val="es-ES_tradnl"/>
        </w:rPr>
      </w:pPr>
      <w:r w:rsidRPr="00A870C1">
        <w:rPr>
          <w:rFonts w:ascii="Arial" w:hAnsi="Arial" w:cs="Arial"/>
          <w:b/>
          <w:sz w:val="26"/>
          <w:szCs w:val="26"/>
          <w:lang w:val="es-ES_tradnl"/>
        </w:rPr>
        <w:t>Séptimo</w:t>
      </w:r>
      <w:r w:rsidRPr="00A870C1">
        <w:rPr>
          <w:rFonts w:ascii="Arial" w:hAnsi="Arial" w:cs="Arial"/>
          <w:b/>
          <w:bCs/>
          <w:sz w:val="26"/>
          <w:szCs w:val="26"/>
          <w:lang w:val="es-ES_tradnl"/>
        </w:rPr>
        <w:t xml:space="preserve">. </w:t>
      </w:r>
      <w:r w:rsidRPr="00A870C1">
        <w:rPr>
          <w:rFonts w:ascii="Arial" w:hAnsi="Arial" w:cs="Arial"/>
          <w:sz w:val="26"/>
          <w:szCs w:val="26"/>
          <w:lang w:val="es-ES_tradnl"/>
        </w:rPr>
        <w:t>N</w:t>
      </w:r>
      <w:r w:rsidRPr="00A870C1">
        <w:rPr>
          <w:rFonts w:ascii="Arial" w:hAnsi="Arial" w:cs="Arial"/>
          <w:bCs/>
          <w:sz w:val="26"/>
          <w:szCs w:val="26"/>
          <w:lang w:val="es-ES_tradnl"/>
        </w:rPr>
        <w:t>otifíquese personalmente a las partes, comuníquese y cúmplase.</w:t>
      </w:r>
    </w:p>
    <w:p w:rsidR="00E254E7" w:rsidRDefault="00E254E7" w:rsidP="00E254E7">
      <w:pPr>
        <w:spacing w:before="100" w:beforeAutospacing="1" w:after="100" w:afterAutospacing="1" w:line="360" w:lineRule="auto"/>
        <w:ind w:firstLine="1134"/>
        <w:jc w:val="both"/>
        <w:rPr>
          <w:rFonts w:ascii="Arial" w:hAnsi="Arial" w:cs="Arial"/>
          <w:bCs/>
          <w:sz w:val="26"/>
          <w:szCs w:val="26"/>
          <w:lang w:val="es-MX"/>
        </w:rPr>
      </w:pPr>
      <w:r w:rsidRPr="00A870C1">
        <w:rPr>
          <w:rFonts w:ascii="Arial" w:hAnsi="Arial" w:cs="Arial"/>
          <w:b/>
          <w:bCs/>
          <w:sz w:val="26"/>
          <w:szCs w:val="26"/>
          <w:lang w:val="es-MX"/>
        </w:rPr>
        <w:t>A S Í</w:t>
      </w:r>
      <w:r w:rsidRPr="00A870C1">
        <w:rPr>
          <w:rFonts w:ascii="Arial" w:hAnsi="Arial" w:cs="Arial"/>
          <w:bCs/>
          <w:sz w:val="26"/>
          <w:szCs w:val="26"/>
          <w:lang w:val="es-MX"/>
        </w:rPr>
        <w:t xml:space="preserve">, por unanimidad de votos de los presentes, lo resolvieron y firman los Magistrados y Magistradas </w:t>
      </w:r>
      <w:r w:rsidRPr="00A870C1">
        <w:rPr>
          <w:rFonts w:ascii="Arial" w:hAnsi="Arial" w:cs="Arial"/>
          <w:b/>
          <w:sz w:val="26"/>
          <w:szCs w:val="26"/>
          <w:lang w:val="es-MX"/>
        </w:rPr>
        <w:t>Olga Regina García López, Ma. Guadalupe Orozco Santiago</w:t>
      </w:r>
      <w:r w:rsidRPr="00A870C1">
        <w:rPr>
          <w:rFonts w:ascii="Arial" w:hAnsi="Arial" w:cs="Arial"/>
          <w:sz w:val="26"/>
          <w:szCs w:val="26"/>
          <w:lang w:val="es-MX"/>
        </w:rPr>
        <w:t xml:space="preserve">, </w:t>
      </w:r>
      <w:r w:rsidRPr="00A870C1">
        <w:rPr>
          <w:rFonts w:ascii="Arial" w:hAnsi="Arial" w:cs="Arial"/>
          <w:b/>
          <w:sz w:val="26"/>
          <w:szCs w:val="26"/>
          <w:lang w:val="es-MX"/>
        </w:rPr>
        <w:t>José Armando Martínez Vázquez</w:t>
      </w:r>
      <w:r w:rsidRPr="00A870C1">
        <w:rPr>
          <w:rFonts w:ascii="Arial" w:hAnsi="Arial" w:cs="Arial"/>
          <w:sz w:val="26"/>
          <w:szCs w:val="26"/>
          <w:lang w:val="es-MX"/>
        </w:rPr>
        <w:t xml:space="preserve">, </w:t>
      </w:r>
      <w:r w:rsidRPr="00A870C1">
        <w:rPr>
          <w:rFonts w:ascii="Arial" w:hAnsi="Arial" w:cs="Arial"/>
          <w:b/>
          <w:sz w:val="26"/>
          <w:szCs w:val="26"/>
          <w:lang w:val="es-MX"/>
        </w:rPr>
        <w:t>Carlos Alejandro Robledo Zapata</w:t>
      </w:r>
      <w:r w:rsidRPr="00A870C1">
        <w:rPr>
          <w:rFonts w:ascii="Arial" w:hAnsi="Arial" w:cs="Arial"/>
          <w:sz w:val="26"/>
          <w:szCs w:val="26"/>
          <w:lang w:val="es-MX"/>
        </w:rPr>
        <w:t xml:space="preserve">, </w:t>
      </w:r>
      <w:r w:rsidRPr="00A870C1">
        <w:rPr>
          <w:rFonts w:ascii="Arial" w:hAnsi="Arial" w:cs="Arial"/>
          <w:b/>
          <w:sz w:val="26"/>
          <w:szCs w:val="26"/>
          <w:lang w:val="es-MX"/>
        </w:rPr>
        <w:t>Luz María Enriqueta Cabrero Romero</w:t>
      </w:r>
      <w:r w:rsidRPr="00A870C1">
        <w:rPr>
          <w:rFonts w:ascii="Arial" w:hAnsi="Arial" w:cs="Arial"/>
          <w:sz w:val="26"/>
          <w:szCs w:val="26"/>
          <w:lang w:val="es-MX"/>
        </w:rPr>
        <w:t xml:space="preserve">, </w:t>
      </w:r>
      <w:r w:rsidRPr="00A870C1">
        <w:rPr>
          <w:rFonts w:ascii="Arial" w:hAnsi="Arial" w:cs="Arial"/>
          <w:b/>
          <w:sz w:val="26"/>
          <w:szCs w:val="26"/>
          <w:lang w:val="es-MX"/>
        </w:rPr>
        <w:t>Rebeca Anastacia Medina García</w:t>
      </w:r>
      <w:r w:rsidRPr="00A870C1">
        <w:rPr>
          <w:rFonts w:ascii="Arial" w:hAnsi="Arial" w:cs="Arial"/>
          <w:sz w:val="26"/>
          <w:szCs w:val="26"/>
          <w:lang w:val="es-MX"/>
        </w:rPr>
        <w:t xml:space="preserve">, </w:t>
      </w:r>
      <w:r w:rsidRPr="00A870C1">
        <w:rPr>
          <w:rFonts w:ascii="Arial" w:hAnsi="Arial" w:cs="Arial"/>
          <w:b/>
          <w:sz w:val="26"/>
          <w:szCs w:val="26"/>
          <w:lang w:val="es-MX"/>
        </w:rPr>
        <w:t>Juan Paulo Almazán Cue</w:t>
      </w:r>
      <w:r w:rsidRPr="00A870C1">
        <w:rPr>
          <w:rFonts w:ascii="Arial" w:hAnsi="Arial" w:cs="Arial"/>
          <w:sz w:val="26"/>
          <w:szCs w:val="26"/>
          <w:lang w:val="es-MX"/>
        </w:rPr>
        <w:t xml:space="preserve">, </w:t>
      </w:r>
      <w:r w:rsidRPr="00A870C1">
        <w:rPr>
          <w:rFonts w:ascii="Arial" w:hAnsi="Arial" w:cs="Arial"/>
          <w:b/>
          <w:sz w:val="26"/>
          <w:szCs w:val="26"/>
          <w:lang w:val="es-MX"/>
        </w:rPr>
        <w:t xml:space="preserve">María Manuela García Cázares, </w:t>
      </w:r>
      <w:r w:rsidRPr="00A870C1">
        <w:rPr>
          <w:rFonts w:ascii="Arial" w:hAnsi="Arial" w:cs="Arial"/>
          <w:b/>
          <w:bCs/>
          <w:sz w:val="26"/>
          <w:szCs w:val="26"/>
          <w:lang w:val="es-ES_tradnl"/>
        </w:rPr>
        <w:t>María América Onofre Díaz, Armando Rafael Oviedo Ábrego, Silvia Torres Sánchez</w:t>
      </w:r>
      <w:r w:rsidRPr="00A870C1">
        <w:rPr>
          <w:rFonts w:ascii="Arial" w:hAnsi="Arial" w:cs="Arial"/>
          <w:bCs/>
          <w:sz w:val="26"/>
          <w:szCs w:val="26"/>
          <w:lang w:val="es-ES_tradnl"/>
        </w:rPr>
        <w:t xml:space="preserve">, </w:t>
      </w:r>
      <w:r w:rsidRPr="00A870C1">
        <w:rPr>
          <w:rFonts w:ascii="Arial" w:hAnsi="Arial" w:cs="Arial"/>
          <w:b/>
          <w:bCs/>
          <w:sz w:val="26"/>
          <w:szCs w:val="26"/>
          <w:lang w:val="es-MX"/>
        </w:rPr>
        <w:t xml:space="preserve">Jesús María Ponce de León Montes, </w:t>
      </w:r>
      <w:r w:rsidRPr="00A870C1">
        <w:rPr>
          <w:rFonts w:ascii="Arial" w:hAnsi="Arial" w:cs="Arial"/>
          <w:b/>
          <w:bCs/>
          <w:sz w:val="26"/>
          <w:szCs w:val="26"/>
          <w:lang w:val="es-ES_tradnl"/>
        </w:rPr>
        <w:t>Adriana Monter Guerrero,</w:t>
      </w:r>
      <w:r w:rsidRPr="00A870C1">
        <w:rPr>
          <w:rFonts w:ascii="Arial" w:hAnsi="Arial" w:cs="Arial"/>
          <w:b/>
          <w:bCs/>
          <w:sz w:val="26"/>
          <w:szCs w:val="26"/>
          <w:lang w:val="es-MX"/>
        </w:rPr>
        <w:t xml:space="preserve"> Alejandro Hernández Castillo y Graciela Treviño Rodríguez</w:t>
      </w:r>
      <w:r w:rsidRPr="00A870C1">
        <w:rPr>
          <w:rFonts w:ascii="Arial" w:hAnsi="Arial" w:cs="Arial"/>
          <w:sz w:val="26"/>
          <w:szCs w:val="26"/>
          <w:lang w:val="es-MX"/>
        </w:rPr>
        <w:t xml:space="preserve">, </w:t>
      </w:r>
      <w:r>
        <w:rPr>
          <w:rFonts w:ascii="Arial" w:hAnsi="Arial" w:cs="Arial"/>
          <w:sz w:val="26"/>
          <w:szCs w:val="26"/>
          <w:lang w:val="es-MX"/>
        </w:rPr>
        <w:t xml:space="preserve">con ausencia justificada de la Magistrada </w:t>
      </w:r>
      <w:r>
        <w:rPr>
          <w:rFonts w:ascii="Arial" w:hAnsi="Arial" w:cs="Arial"/>
          <w:b/>
          <w:sz w:val="26"/>
          <w:szCs w:val="26"/>
          <w:lang w:val="es-MX"/>
        </w:rPr>
        <w:t xml:space="preserve">Alma Delia González Centeno, </w:t>
      </w:r>
      <w:r w:rsidRPr="00A870C1">
        <w:rPr>
          <w:rFonts w:ascii="Arial" w:hAnsi="Arial" w:cs="Arial"/>
          <w:bCs/>
          <w:sz w:val="26"/>
          <w:szCs w:val="26"/>
          <w:lang w:val="es-MX"/>
        </w:rPr>
        <w:t>quienes integran el Pleno del Supremo Tribunal de Justicia del Estado, siendo ponente la magistrada</w:t>
      </w:r>
      <w:r w:rsidRPr="00A870C1">
        <w:rPr>
          <w:rFonts w:ascii="Arial" w:hAnsi="Arial" w:cs="Arial"/>
          <w:b/>
          <w:sz w:val="26"/>
          <w:szCs w:val="26"/>
          <w:lang w:val="es-MX"/>
        </w:rPr>
        <w:t xml:space="preserve"> </w:t>
      </w:r>
      <w:r w:rsidRPr="00A870C1">
        <w:rPr>
          <w:rFonts w:ascii="Arial" w:hAnsi="Arial" w:cs="Arial"/>
          <w:b/>
          <w:bCs/>
          <w:sz w:val="26"/>
          <w:szCs w:val="26"/>
          <w:lang w:val="es-ES_tradnl"/>
        </w:rPr>
        <w:t>Silvia Torres Sánchez</w:t>
      </w:r>
      <w:r w:rsidRPr="00A870C1">
        <w:rPr>
          <w:rFonts w:ascii="Arial" w:hAnsi="Arial" w:cs="Arial"/>
          <w:sz w:val="26"/>
          <w:szCs w:val="26"/>
          <w:lang w:val="es-MX"/>
        </w:rPr>
        <w:t xml:space="preserve">; </w:t>
      </w:r>
      <w:r w:rsidRPr="00A870C1">
        <w:rPr>
          <w:rFonts w:ascii="Arial" w:hAnsi="Arial" w:cs="Arial"/>
          <w:bCs/>
          <w:sz w:val="26"/>
          <w:szCs w:val="26"/>
          <w:lang w:val="es-MX"/>
        </w:rPr>
        <w:t xml:space="preserve">y actúan con secretaria </w:t>
      </w:r>
      <w:r w:rsidRPr="00A870C1">
        <w:rPr>
          <w:rFonts w:ascii="Arial" w:hAnsi="Arial" w:cs="Arial"/>
          <w:bCs/>
          <w:sz w:val="26"/>
          <w:szCs w:val="26"/>
          <w:lang w:val="es-MX"/>
        </w:rPr>
        <w:lastRenderedPageBreak/>
        <w:t xml:space="preserve">general de acuerdos, licenciada </w:t>
      </w:r>
      <w:r w:rsidRPr="00A870C1">
        <w:rPr>
          <w:rFonts w:ascii="Arial" w:hAnsi="Arial" w:cs="Arial"/>
          <w:b/>
          <w:sz w:val="26"/>
          <w:szCs w:val="26"/>
          <w:lang w:val="es-MX"/>
        </w:rPr>
        <w:t>Ma. del Rosario Torres Mancilla</w:t>
      </w:r>
      <w:r w:rsidRPr="00A870C1">
        <w:rPr>
          <w:rFonts w:ascii="Arial" w:hAnsi="Arial" w:cs="Arial"/>
          <w:sz w:val="26"/>
          <w:szCs w:val="26"/>
          <w:lang w:val="es-MX"/>
        </w:rPr>
        <w:t xml:space="preserve">, </w:t>
      </w:r>
      <w:r w:rsidRPr="00A870C1">
        <w:rPr>
          <w:rFonts w:ascii="Arial" w:hAnsi="Arial" w:cs="Arial"/>
          <w:bCs/>
          <w:sz w:val="26"/>
          <w:szCs w:val="26"/>
          <w:lang w:val="es-MX"/>
        </w:rPr>
        <w:t>que autoriza y da fe.</w:t>
      </w:r>
    </w:p>
    <w:p w:rsidR="00E254E7" w:rsidRDefault="00E254E7" w:rsidP="00E254E7">
      <w:pPr>
        <w:spacing w:before="100" w:beforeAutospacing="1" w:after="100" w:afterAutospacing="1" w:line="360" w:lineRule="auto"/>
        <w:ind w:firstLine="1134"/>
        <w:jc w:val="both"/>
        <w:rPr>
          <w:rFonts w:ascii="Arial" w:hAnsi="Arial" w:cs="Arial"/>
          <w:bCs/>
          <w:kern w:val="16"/>
          <w:sz w:val="26"/>
          <w:szCs w:val="26"/>
          <w:lang w:val="es-ES_tradnl"/>
        </w:rPr>
      </w:pPr>
    </w:p>
    <w:p w:rsidR="00E254E7" w:rsidRDefault="00E254E7" w:rsidP="00E254E7">
      <w:pPr>
        <w:spacing w:before="100" w:beforeAutospacing="1" w:after="100" w:afterAutospacing="1" w:line="360" w:lineRule="auto"/>
        <w:ind w:firstLine="1134"/>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A31C55" w:rsidRDefault="00E254E7" w:rsidP="00E254E7">
      <w:pPr>
        <w:jc w:val="both"/>
        <w:rPr>
          <w:rFonts w:ascii="Arial" w:hAnsi="Arial" w:cs="Arial"/>
          <w:b/>
          <w:bCs/>
          <w:kern w:val="16"/>
          <w:sz w:val="26"/>
          <w:szCs w:val="26"/>
          <w:lang w:val="es-ES_tradnl"/>
        </w:rPr>
      </w:pPr>
      <w:r w:rsidRPr="00A31C55">
        <w:rPr>
          <w:rFonts w:ascii="Arial" w:hAnsi="Arial" w:cs="Arial"/>
          <w:b/>
          <w:bCs/>
          <w:kern w:val="16"/>
          <w:sz w:val="26"/>
          <w:szCs w:val="26"/>
          <w:lang w:val="es-ES_tradnl"/>
        </w:rPr>
        <w:t>MGDA. OLGA REGINA GARCÍA LÓPEZ</w:t>
      </w:r>
    </w:p>
    <w:p w:rsidR="00E254E7" w:rsidRDefault="00E254E7" w:rsidP="00E254E7">
      <w:pPr>
        <w:jc w:val="both"/>
        <w:rPr>
          <w:rFonts w:ascii="Arial" w:hAnsi="Arial" w:cs="Arial"/>
          <w:bCs/>
          <w:kern w:val="16"/>
          <w:sz w:val="26"/>
          <w:szCs w:val="26"/>
          <w:lang w:val="es-ES_tradnl"/>
        </w:rPr>
      </w:pPr>
      <w:r>
        <w:rPr>
          <w:rFonts w:ascii="Arial" w:hAnsi="Arial" w:cs="Arial"/>
          <w:bCs/>
          <w:kern w:val="16"/>
          <w:sz w:val="26"/>
          <w:szCs w:val="26"/>
          <w:lang w:val="es-ES_tradnl"/>
        </w:rPr>
        <w:t>Presidenta del Supremo Tribunal de Justicia del Estado</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864AA1"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MGDA. MA. GUDALUPE OROZCO SANTIAGO</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line="360" w:lineRule="auto"/>
        <w:ind w:firstLine="1134"/>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864AA1"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MGDO. JOSÉ ARMANDO MARTÍNEZ VÁZQUEZ</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line="360" w:lineRule="auto"/>
        <w:ind w:firstLine="1134"/>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864AA1"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 xml:space="preserve">MGDO. CARLOS ALEJANDRO ROBLEDO ZAPATA </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864AA1"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MGDA. LUZ MARÍA ENRIQUETA CABRERO ROMERO</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864AA1"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 xml:space="preserve">MGDA. REBECA ANASTACIA MEDINA GARCÍA </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864AA1"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MGDO. JUAN PAULO ALMAZÁN CUE</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MGDA. MARIA MANUELA GARCÍA CAZARES</w:t>
      </w:r>
    </w:p>
    <w:p w:rsidR="00E254E7" w:rsidRDefault="00E254E7" w:rsidP="00E254E7">
      <w:pPr>
        <w:spacing w:before="100" w:beforeAutospacing="1" w:after="100" w:afterAutospacing="1"/>
        <w:jc w:val="both"/>
        <w:rPr>
          <w:rFonts w:ascii="Arial" w:hAnsi="Arial" w:cs="Arial"/>
          <w:b/>
          <w:bCs/>
          <w:kern w:val="16"/>
          <w:sz w:val="26"/>
          <w:szCs w:val="26"/>
          <w:lang w:val="es-ES_tradnl"/>
        </w:rPr>
      </w:pPr>
    </w:p>
    <w:p w:rsidR="00E254E7" w:rsidRDefault="00E254E7" w:rsidP="00E254E7">
      <w:pPr>
        <w:spacing w:before="100" w:beforeAutospacing="1" w:after="100" w:afterAutospacing="1"/>
        <w:jc w:val="both"/>
        <w:rPr>
          <w:rFonts w:ascii="Arial" w:hAnsi="Arial" w:cs="Arial"/>
          <w:b/>
          <w:bCs/>
          <w:kern w:val="16"/>
          <w:sz w:val="26"/>
          <w:szCs w:val="26"/>
          <w:lang w:val="es-ES_tradnl"/>
        </w:rPr>
      </w:pPr>
    </w:p>
    <w:p w:rsidR="00E254E7" w:rsidRDefault="00E254E7" w:rsidP="00E254E7">
      <w:pPr>
        <w:spacing w:before="100" w:beforeAutospacing="1" w:after="100" w:afterAutospacing="1"/>
        <w:jc w:val="both"/>
        <w:rPr>
          <w:rFonts w:ascii="Arial" w:hAnsi="Arial" w:cs="Arial"/>
          <w:b/>
          <w:bCs/>
          <w:kern w:val="16"/>
          <w:sz w:val="26"/>
          <w:szCs w:val="26"/>
          <w:lang w:val="es-ES_tradnl"/>
        </w:rPr>
      </w:pPr>
    </w:p>
    <w:p w:rsidR="00E254E7" w:rsidRDefault="00E254E7" w:rsidP="00E254E7">
      <w:pPr>
        <w:spacing w:before="100" w:beforeAutospacing="1" w:after="100" w:afterAutospacing="1"/>
        <w:jc w:val="both"/>
        <w:rPr>
          <w:rFonts w:ascii="Arial" w:hAnsi="Arial" w:cs="Arial"/>
          <w:b/>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w:t>
      </w:r>
    </w:p>
    <w:p w:rsidR="00E254E7" w:rsidRPr="00864AA1"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MGDA. MARÍA AMÉRICA ONOFRE DÍAZ</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864AA1"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MGDO. ARMANDO RAFAEL OVIEDO ABREGO</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864AA1"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MGDA. SILVIA TORRES SÁNCHEZ</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864AA1"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MGDO. JESÚS MARÍA PONCE DE LEÓN MONTES</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864AA1"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MGDA. ADRIANA MONTER GUERRERO</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864AA1"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MGDO. ALEJANDRO HERNÁNDEZ CASTILLO</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12"/>
          <w:szCs w:val="12"/>
          <w:lang w:val="es-ES_tradnl"/>
        </w:rPr>
      </w:pPr>
    </w:p>
    <w:p w:rsidR="00E254E7" w:rsidRPr="00AB5ECB" w:rsidRDefault="00E254E7" w:rsidP="00E254E7">
      <w:pPr>
        <w:spacing w:before="100" w:beforeAutospacing="1" w:after="100" w:afterAutospacing="1"/>
        <w:jc w:val="both"/>
        <w:rPr>
          <w:rFonts w:ascii="Arial" w:hAnsi="Arial" w:cs="Arial"/>
          <w:bCs/>
          <w:kern w:val="16"/>
          <w:sz w:val="12"/>
          <w:szCs w:val="12"/>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864AA1" w:rsidRDefault="00E254E7" w:rsidP="00E254E7">
      <w:pPr>
        <w:spacing w:before="100" w:beforeAutospacing="1" w:after="100" w:afterAutospacing="1"/>
        <w:jc w:val="both"/>
        <w:rPr>
          <w:rFonts w:ascii="Arial" w:hAnsi="Arial" w:cs="Arial"/>
          <w:b/>
          <w:bCs/>
          <w:kern w:val="16"/>
          <w:sz w:val="26"/>
          <w:szCs w:val="26"/>
          <w:lang w:val="es-ES_tradnl"/>
        </w:rPr>
      </w:pPr>
      <w:r w:rsidRPr="00864AA1">
        <w:rPr>
          <w:rFonts w:ascii="Arial" w:hAnsi="Arial" w:cs="Arial"/>
          <w:b/>
          <w:bCs/>
          <w:kern w:val="16"/>
          <w:sz w:val="26"/>
          <w:szCs w:val="26"/>
          <w:lang w:val="es-ES_tradnl"/>
        </w:rPr>
        <w:t>MGDA. GRACIELA TREVIÑO RODRÍGUEZ</w:t>
      </w:r>
    </w:p>
    <w:p w:rsidR="00E254E7" w:rsidRDefault="00E254E7" w:rsidP="00E254E7">
      <w:pPr>
        <w:spacing w:before="100" w:beforeAutospacing="1" w:after="100" w:afterAutospacing="1"/>
        <w:jc w:val="both"/>
        <w:rPr>
          <w:rFonts w:ascii="Arial" w:hAnsi="Arial" w:cs="Arial"/>
          <w:bCs/>
          <w:kern w:val="16"/>
          <w:sz w:val="26"/>
          <w:szCs w:val="26"/>
          <w:lang w:val="es-ES_tradnl"/>
        </w:rPr>
      </w:pPr>
    </w:p>
    <w:p w:rsidR="00E254E7" w:rsidRDefault="00E254E7" w:rsidP="00E254E7">
      <w:pPr>
        <w:spacing w:before="100" w:beforeAutospacing="1" w:after="100" w:afterAutospacing="1"/>
        <w:jc w:val="both"/>
        <w:rPr>
          <w:rFonts w:ascii="Arial" w:hAnsi="Arial" w:cs="Arial"/>
          <w:bCs/>
          <w:kern w:val="16"/>
          <w:sz w:val="14"/>
          <w:szCs w:val="14"/>
          <w:lang w:val="es-ES_tradnl"/>
        </w:rPr>
      </w:pPr>
    </w:p>
    <w:p w:rsidR="00E254E7" w:rsidRDefault="00E254E7" w:rsidP="00E254E7">
      <w:pPr>
        <w:spacing w:before="100" w:beforeAutospacing="1" w:after="100" w:afterAutospacing="1"/>
        <w:jc w:val="both"/>
        <w:rPr>
          <w:rFonts w:ascii="Arial" w:hAnsi="Arial" w:cs="Arial"/>
          <w:bCs/>
          <w:kern w:val="16"/>
          <w:sz w:val="14"/>
          <w:szCs w:val="14"/>
          <w:lang w:val="es-ES_tradnl"/>
        </w:rPr>
      </w:pPr>
    </w:p>
    <w:p w:rsidR="00E254E7" w:rsidRDefault="00E254E7" w:rsidP="00E254E7">
      <w:pPr>
        <w:spacing w:before="100" w:beforeAutospacing="1" w:after="100" w:afterAutospacing="1"/>
        <w:jc w:val="both"/>
        <w:rPr>
          <w:rFonts w:ascii="Arial" w:hAnsi="Arial" w:cs="Arial"/>
          <w:bCs/>
          <w:kern w:val="16"/>
          <w:sz w:val="26"/>
          <w:szCs w:val="26"/>
          <w:lang w:val="es-ES_tradnl"/>
        </w:rPr>
      </w:pPr>
      <w:r>
        <w:rPr>
          <w:rFonts w:ascii="Arial" w:hAnsi="Arial" w:cs="Arial"/>
          <w:bCs/>
          <w:kern w:val="16"/>
          <w:sz w:val="26"/>
          <w:szCs w:val="26"/>
          <w:lang w:val="es-ES_tradnl"/>
        </w:rPr>
        <w:t>____________________________________</w:t>
      </w:r>
    </w:p>
    <w:p w:rsidR="00E254E7" w:rsidRPr="00864AA1" w:rsidRDefault="00E254E7" w:rsidP="00E254E7">
      <w:pPr>
        <w:jc w:val="both"/>
        <w:rPr>
          <w:rFonts w:ascii="Arial" w:hAnsi="Arial" w:cs="Arial"/>
          <w:b/>
          <w:bCs/>
          <w:kern w:val="16"/>
          <w:sz w:val="26"/>
          <w:szCs w:val="26"/>
          <w:lang w:val="es-ES_tradnl"/>
        </w:rPr>
      </w:pPr>
      <w:r w:rsidRPr="00864AA1">
        <w:rPr>
          <w:rFonts w:ascii="Arial" w:hAnsi="Arial" w:cs="Arial"/>
          <w:b/>
          <w:bCs/>
          <w:kern w:val="16"/>
          <w:sz w:val="26"/>
          <w:szCs w:val="26"/>
          <w:lang w:val="es-ES_tradnl"/>
        </w:rPr>
        <w:t>LIC. MARIA DEL ROSARIO TORRES MANCILLA</w:t>
      </w:r>
    </w:p>
    <w:p w:rsidR="00E254E7" w:rsidRPr="00A43662" w:rsidRDefault="00E254E7" w:rsidP="00E254E7">
      <w:pPr>
        <w:jc w:val="both"/>
        <w:rPr>
          <w:rFonts w:ascii="Arial" w:hAnsi="Arial" w:cs="Arial"/>
          <w:bCs/>
          <w:kern w:val="16"/>
          <w:sz w:val="26"/>
          <w:szCs w:val="26"/>
          <w:lang w:val="es-ES_tradnl"/>
        </w:rPr>
      </w:pPr>
      <w:r>
        <w:rPr>
          <w:rFonts w:ascii="Arial" w:hAnsi="Arial" w:cs="Arial"/>
          <w:bCs/>
          <w:kern w:val="16"/>
          <w:sz w:val="26"/>
          <w:szCs w:val="26"/>
          <w:lang w:val="es-ES_tradnl"/>
        </w:rPr>
        <w:t>Secretaria General de Acuerdos</w:t>
      </w:r>
    </w:p>
    <w:p w:rsidR="00723C71" w:rsidRDefault="00723C71"/>
    <w:sectPr w:rsidR="00723C71" w:rsidSect="00E254E7">
      <w:headerReference w:type="even" r:id="rId9"/>
      <w:headerReference w:type="default" r:id="rId10"/>
      <w:headerReference w:type="first" r:id="rId11"/>
      <w:pgSz w:w="12242" w:h="20163" w:code="5"/>
      <w:pgMar w:top="1843" w:right="1134" w:bottom="1985" w:left="357" w:header="709" w:footer="709" w:gutter="2552"/>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7AF7" w:rsidRDefault="00687AF7" w:rsidP="00E254E7">
      <w:r>
        <w:separator/>
      </w:r>
    </w:p>
  </w:endnote>
  <w:endnote w:type="continuationSeparator" w:id="0">
    <w:p w:rsidR="00687AF7" w:rsidRDefault="00687AF7" w:rsidP="00E25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7AF7" w:rsidRDefault="00687AF7" w:rsidP="00E254E7">
      <w:r>
        <w:separator/>
      </w:r>
    </w:p>
  </w:footnote>
  <w:footnote w:type="continuationSeparator" w:id="0">
    <w:p w:rsidR="00687AF7" w:rsidRDefault="00687AF7" w:rsidP="00E254E7">
      <w:r>
        <w:continuationSeparator/>
      </w:r>
    </w:p>
  </w:footnote>
  <w:footnote w:id="1">
    <w:p w:rsidR="00E254E7" w:rsidRPr="000F7F53" w:rsidRDefault="00E254E7" w:rsidP="00E254E7">
      <w:pPr>
        <w:pStyle w:val="Textonotapie"/>
        <w:jc w:val="both"/>
        <w:rPr>
          <w:lang w:val="es-MX"/>
        </w:rPr>
      </w:pPr>
      <w:r>
        <w:rPr>
          <w:rStyle w:val="Refdenotaalpie"/>
        </w:rPr>
        <w:footnoteRef/>
      </w:r>
      <w:r>
        <w:t xml:space="preserve"> L</w:t>
      </w:r>
      <w:r w:rsidRPr="000F7F53">
        <w:t xml:space="preserve">iquidación de intereses de 13 trece de julio de 2021 dos mil veintiuno, pronunciada en el expediente número </w:t>
      </w:r>
      <w:r w:rsidR="00D003CB" w:rsidRPr="00D003CB">
        <w:rPr>
          <w:b/>
        </w:rPr>
        <w:t>ELIMINADO</w:t>
      </w:r>
      <w:r w:rsidRPr="000F7F53">
        <w:rPr>
          <w:bCs/>
        </w:rPr>
        <w:t xml:space="preserve">, del índice del Juzgado </w:t>
      </w:r>
      <w:r w:rsidR="00D003CB" w:rsidRPr="00D003CB">
        <w:rPr>
          <w:b/>
          <w:bCs/>
        </w:rPr>
        <w:t>ELIMINADO</w:t>
      </w:r>
      <w:r>
        <w:rPr>
          <w:bCs/>
        </w:rPr>
        <w:t>.</w:t>
      </w:r>
    </w:p>
  </w:footnote>
  <w:footnote w:id="2">
    <w:p w:rsidR="00E254E7" w:rsidRPr="007F20B9" w:rsidRDefault="00E254E7" w:rsidP="00E254E7">
      <w:pPr>
        <w:pStyle w:val="Textonotapie"/>
        <w:rPr>
          <w:lang w:val="es-MX"/>
        </w:rPr>
      </w:pPr>
      <w:r>
        <w:rPr>
          <w:rStyle w:val="Refdenotaalpie"/>
        </w:rPr>
        <w:footnoteRef/>
      </w:r>
      <w:r>
        <w:t xml:space="preserve"> </w:t>
      </w:r>
      <w:r>
        <w:rPr>
          <w:lang w:val="es-MX"/>
        </w:rPr>
        <w:t>Mediante</w:t>
      </w:r>
      <w:r w:rsidRPr="007F20B9">
        <w:rPr>
          <w:lang w:val="es-MX"/>
        </w:rPr>
        <w:t xml:space="preserve"> escrito recibido en 14 catorce de noviembre de 2019 dos mil diecinueve, en el Juzgado</w:t>
      </w:r>
      <w:r w:rsidRPr="007F20B9">
        <w:t xml:space="preserve"> </w:t>
      </w:r>
      <w:r w:rsidR="00D003CB">
        <w:t>ELIMINADO</w:t>
      </w:r>
      <w:r w:rsidRPr="007F20B9">
        <w:t xml:space="preserve"> de esta Ciudad</w:t>
      </w:r>
      <w:r>
        <w:rPr>
          <w:lang w:val="es-MX"/>
        </w:rPr>
        <w:t>.</w:t>
      </w:r>
    </w:p>
  </w:footnote>
  <w:footnote w:id="3">
    <w:p w:rsidR="00E254E7" w:rsidRPr="00340B6A" w:rsidRDefault="00E254E7" w:rsidP="00E254E7">
      <w:pPr>
        <w:pStyle w:val="Textonotapie"/>
        <w:jc w:val="both"/>
        <w:rPr>
          <w:lang w:val="es-MX"/>
        </w:rPr>
      </w:pPr>
      <w:r>
        <w:rPr>
          <w:rStyle w:val="Refdenotaalpie"/>
        </w:rPr>
        <w:footnoteRef/>
      </w:r>
      <w:r>
        <w:t xml:space="preserve"> Publicada</w:t>
      </w:r>
      <w:r w:rsidRPr="006C0869">
        <w:t xml:space="preserve"> </w:t>
      </w:r>
      <w:r>
        <w:t xml:space="preserve">en la Gaceta del Semanario Judicial de la Federación, Libro 45, Agosto de 2017, Tomo I, página 657, Décima Época.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DC1" w:rsidRDefault="00104CB8">
    <w:pPr>
      <w:pStyle w:val="Encabezado"/>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20</w:t>
    </w:r>
    <w:r>
      <w:rPr>
        <w:rStyle w:val="Nmerodepgina"/>
      </w:rPr>
      <w:fldChar w:fldCharType="end"/>
    </w:r>
  </w:p>
  <w:p w:rsidR="00D84B4F" w:rsidRDefault="00135194" w:rsidP="00D84B4F">
    <w:pPr>
      <w:pStyle w:val="Encabezado"/>
      <w:jc w:val="center"/>
      <w:rPr>
        <w:rFonts w:ascii="Arial" w:hAnsi="Arial" w:cs="Arial"/>
      </w:rPr>
    </w:pPr>
  </w:p>
  <w:p w:rsidR="00454C5D" w:rsidRPr="00454C5D" w:rsidRDefault="00104CB8" w:rsidP="00454C5D">
    <w:pPr>
      <w:pStyle w:val="Encabezado"/>
      <w:jc w:val="both"/>
      <w:rPr>
        <w:rFonts w:ascii="Arial" w:hAnsi="Arial" w:cs="Arial"/>
      </w:rPr>
    </w:pPr>
    <w:r>
      <w:rPr>
        <w:rFonts w:ascii="Arial" w:hAnsi="Arial" w:cs="Arial"/>
      </w:rPr>
      <w:t xml:space="preserve">                                                          </w:t>
    </w:r>
    <w:r w:rsidRPr="00454C5D">
      <w:rPr>
        <w:rFonts w:ascii="Arial" w:hAnsi="Arial" w:cs="Arial"/>
      </w:rPr>
      <w:t>Recurso de Queja</w:t>
    </w:r>
  </w:p>
  <w:p w:rsidR="00213DC1" w:rsidRDefault="00104CB8" w:rsidP="00454C5D">
    <w:pPr>
      <w:pStyle w:val="Encabezado"/>
      <w:jc w:val="both"/>
      <w:rPr>
        <w:rFonts w:ascii="Arial" w:hAnsi="Arial" w:cs="Arial"/>
      </w:rPr>
    </w:pPr>
    <w:r w:rsidRPr="00454C5D">
      <w:rPr>
        <w:rFonts w:ascii="Arial" w:hAnsi="Arial" w:cs="Arial"/>
      </w:rPr>
      <w:t xml:space="preserve">                                                               Toca 133-21</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DC1" w:rsidRDefault="00104CB8">
    <w:pPr>
      <w:pStyle w:val="Encabezado"/>
      <w:framePr w:wrap="around" w:vAnchor="text" w:hAnchor="margin" w:xAlign="center" w:y="1"/>
      <w:rPr>
        <w:rStyle w:val="Nmerodepgina"/>
        <w:rFonts w:ascii="Arial" w:hAnsi="Arial" w:cs="Arial"/>
      </w:rPr>
    </w:pPr>
    <w:r>
      <w:rPr>
        <w:rStyle w:val="Nmerodepgina"/>
        <w:rFonts w:ascii="Arial" w:hAnsi="Arial" w:cs="Arial"/>
      </w:rPr>
      <w:fldChar w:fldCharType="begin"/>
    </w:r>
    <w:r>
      <w:rPr>
        <w:rStyle w:val="Nmerodepgina"/>
        <w:rFonts w:ascii="Arial" w:hAnsi="Arial" w:cs="Arial"/>
      </w:rPr>
      <w:instrText xml:space="preserve">PAGE  </w:instrText>
    </w:r>
    <w:r>
      <w:rPr>
        <w:rStyle w:val="Nmerodepgina"/>
        <w:rFonts w:ascii="Arial" w:hAnsi="Arial" w:cs="Arial"/>
      </w:rPr>
      <w:fldChar w:fldCharType="separate"/>
    </w:r>
    <w:r w:rsidR="00135194">
      <w:rPr>
        <w:rStyle w:val="Nmerodepgina"/>
        <w:rFonts w:ascii="Arial" w:hAnsi="Arial" w:cs="Arial"/>
        <w:noProof/>
      </w:rPr>
      <w:t>19</w:t>
    </w:r>
    <w:r>
      <w:rPr>
        <w:rStyle w:val="Nmerodepgina"/>
        <w:rFonts w:ascii="Arial" w:hAnsi="Arial" w:cs="Arial"/>
      </w:rPr>
      <w:fldChar w:fldCharType="end"/>
    </w:r>
  </w:p>
  <w:p w:rsidR="0054237D" w:rsidRDefault="005D5236" w:rsidP="0054237D">
    <w:pPr>
      <w:pStyle w:val="Encabezado"/>
      <w:jc w:val="center"/>
      <w:rPr>
        <w:rFonts w:ascii="Arial" w:hAnsi="Arial" w:cs="Arial"/>
      </w:rPr>
    </w:pPr>
    <w:r>
      <w:rPr>
        <w:noProof/>
        <w:lang w:val="es-MX" w:eastAsia="es-MX"/>
      </w:rPr>
      <w:drawing>
        <wp:anchor distT="0" distB="0" distL="114300" distR="114300" simplePos="0" relativeHeight="251663360" behindDoc="1" locked="0" layoutInCell="1" allowOverlap="1" wp14:anchorId="70F8BB48" wp14:editId="1135B4F1">
          <wp:simplePos x="0" y="0"/>
          <wp:positionH relativeFrom="column">
            <wp:posOffset>3859754</wp:posOffset>
          </wp:positionH>
          <wp:positionV relativeFrom="paragraph">
            <wp:posOffset>34419</wp:posOffset>
          </wp:positionV>
          <wp:extent cx="1475740" cy="716280"/>
          <wp:effectExtent l="0" t="0" r="0" b="0"/>
          <wp:wrapNone/>
          <wp:docPr id="8"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740" cy="716280"/>
                  </a:xfrm>
                  <a:prstGeom prst="rect">
                    <a:avLst/>
                  </a:prstGeom>
                  <a:noFill/>
                  <a:ln>
                    <a:noFill/>
                  </a:ln>
                </pic:spPr>
              </pic:pic>
            </a:graphicData>
          </a:graphic>
          <wp14:sizeRelH relativeFrom="page">
            <wp14:pctWidth>0</wp14:pctWidth>
          </wp14:sizeRelH>
          <wp14:sizeRelV relativeFrom="page">
            <wp14:pctHeight>0</wp14:pctHeight>
          </wp14:sizeRelV>
        </wp:anchor>
      </w:drawing>
    </w:r>
    <w:r w:rsidR="00104CB8">
      <w:rPr>
        <w:noProof/>
        <w:lang w:val="es-MX" w:eastAsia="es-MX"/>
      </w:rPr>
      <w:drawing>
        <wp:anchor distT="0" distB="0" distL="114300" distR="114300" simplePos="0" relativeHeight="251661312" behindDoc="1" locked="0" layoutInCell="1" allowOverlap="1" wp14:anchorId="29E1C7F8" wp14:editId="55C13AC7">
          <wp:simplePos x="0" y="0"/>
          <wp:positionH relativeFrom="column">
            <wp:posOffset>-1094105</wp:posOffset>
          </wp:positionH>
          <wp:positionV relativeFrom="paragraph">
            <wp:posOffset>-106045</wp:posOffset>
          </wp:positionV>
          <wp:extent cx="867410" cy="770255"/>
          <wp:effectExtent l="0" t="0" r="0" b="0"/>
          <wp:wrapNone/>
          <wp:docPr id="7"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D5236">
      <w:rPr>
        <w:noProof/>
        <w:lang w:val="es-MX" w:eastAsia="es-MX"/>
      </w:rPr>
      <w:t xml:space="preserve"> </w:t>
    </w:r>
  </w:p>
  <w:p w:rsidR="0054237D" w:rsidRDefault="00104CB8" w:rsidP="00D84B4F">
    <w:pPr>
      <w:pStyle w:val="Encabezado"/>
      <w:jc w:val="center"/>
      <w:rPr>
        <w:rFonts w:ascii="Arial" w:hAnsi="Arial" w:cs="Arial"/>
      </w:rPr>
    </w:pPr>
    <w:r>
      <w:rPr>
        <w:rFonts w:ascii="Arial" w:hAnsi="Arial" w:cs="Arial"/>
      </w:rPr>
      <w:t xml:space="preserve">                                                           </w:t>
    </w:r>
  </w:p>
  <w:p w:rsidR="00D84B4F" w:rsidRPr="00D84B4F" w:rsidRDefault="00104CB8" w:rsidP="00D84B4F">
    <w:pPr>
      <w:pStyle w:val="Encabezado"/>
      <w:jc w:val="center"/>
      <w:rPr>
        <w:rFonts w:ascii="Arial" w:hAnsi="Arial" w:cs="Arial"/>
      </w:rPr>
    </w:pPr>
    <w:r w:rsidRPr="00D84B4F">
      <w:rPr>
        <w:rFonts w:ascii="Arial" w:hAnsi="Arial" w:cs="Arial"/>
      </w:rPr>
      <w:t>Recurso de Queja</w:t>
    </w:r>
    <w:r w:rsidR="005D5236" w:rsidRPr="005D5236">
      <w:rPr>
        <w:noProof/>
        <w:lang w:val="es-MX" w:eastAsia="es-MX"/>
      </w:rPr>
      <w:t xml:space="preserve"> </w:t>
    </w:r>
  </w:p>
  <w:p w:rsidR="00213DC1" w:rsidRDefault="00104CB8" w:rsidP="00D84B4F">
    <w:pPr>
      <w:pStyle w:val="Encabezado"/>
      <w:rPr>
        <w:rFonts w:ascii="Arial" w:hAnsi="Arial" w:cs="Arial"/>
      </w:rPr>
    </w:pPr>
    <w:r>
      <w:rPr>
        <w:rFonts w:ascii="Arial" w:hAnsi="Arial" w:cs="Arial"/>
      </w:rPr>
      <w:t xml:space="preserve">                                                               </w:t>
    </w:r>
    <w:r w:rsidRPr="00D84B4F">
      <w:rPr>
        <w:rFonts w:ascii="Arial" w:hAnsi="Arial" w:cs="Arial"/>
      </w:rPr>
      <w:t>Toca 133-21</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237D" w:rsidRDefault="00104CB8" w:rsidP="0054237D">
    <w:pPr>
      <w:pStyle w:val="Encabezado"/>
      <w:jc w:val="center"/>
      <w:rPr>
        <w:rFonts w:ascii="Arial" w:hAnsi="Arial" w:cs="Arial"/>
      </w:rPr>
    </w:pPr>
    <w:r>
      <w:rPr>
        <w:noProof/>
        <w:lang w:val="es-MX" w:eastAsia="es-MX"/>
      </w:rPr>
      <w:drawing>
        <wp:anchor distT="0" distB="0" distL="114300" distR="114300" simplePos="0" relativeHeight="251660288" behindDoc="1" locked="0" layoutInCell="1" allowOverlap="1" wp14:anchorId="722E2C23" wp14:editId="70603213">
          <wp:simplePos x="0" y="0"/>
          <wp:positionH relativeFrom="column">
            <wp:posOffset>4318635</wp:posOffset>
          </wp:positionH>
          <wp:positionV relativeFrom="paragraph">
            <wp:posOffset>-106045</wp:posOffset>
          </wp:positionV>
          <wp:extent cx="1475740" cy="716280"/>
          <wp:effectExtent l="0" t="0" r="0" b="0"/>
          <wp:wrapNone/>
          <wp:docPr id="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740" cy="7162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1" locked="0" layoutInCell="1" allowOverlap="1" wp14:anchorId="356DEA61" wp14:editId="54C55F3B">
          <wp:simplePos x="0" y="0"/>
          <wp:positionH relativeFrom="column">
            <wp:posOffset>-1094105</wp:posOffset>
          </wp:positionH>
          <wp:positionV relativeFrom="paragraph">
            <wp:posOffset>-106045</wp:posOffset>
          </wp:positionV>
          <wp:extent cx="867410" cy="770255"/>
          <wp:effectExtent l="0" t="0" r="0" b="0"/>
          <wp:wrapNone/>
          <wp:docPr id="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237D" w:rsidRDefault="00104CB8" w:rsidP="0054237D">
    <w:pPr>
      <w:pStyle w:val="Encabezado"/>
      <w:jc w:val="center"/>
      <w:rPr>
        <w:rFonts w:ascii="Arial" w:hAnsi="Arial" w:cs="Arial"/>
      </w:rPr>
    </w:pPr>
    <w:r>
      <w:rPr>
        <w:rFonts w:ascii="Arial" w:hAnsi="Arial" w:cs="Arial"/>
      </w:rPr>
      <w:t>Recurso de Queja</w:t>
    </w:r>
  </w:p>
  <w:p w:rsidR="00213DC1" w:rsidRDefault="00104CB8" w:rsidP="0054237D">
    <w:pPr>
      <w:pStyle w:val="Encabezado"/>
      <w:jc w:val="center"/>
      <w:rPr>
        <w:rFonts w:ascii="Arial" w:hAnsi="Arial" w:cs="Arial"/>
        <w:b/>
        <w:bCs/>
        <w:sz w:val="18"/>
        <w:szCs w:val="18"/>
      </w:rPr>
    </w:pPr>
    <w:r>
      <w:rPr>
        <w:rFonts w:ascii="Arial" w:hAnsi="Arial" w:cs="Arial"/>
      </w:rPr>
      <w:t>Toca 133-21</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AB27F5"/>
    <w:multiLevelType w:val="hybridMultilevel"/>
    <w:tmpl w:val="F17838BC"/>
    <w:lvl w:ilvl="0" w:tplc="BDF2904A">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mirrorMargins/>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4E7"/>
    <w:rsid w:val="00104CB8"/>
    <w:rsid w:val="00135194"/>
    <w:rsid w:val="005D5236"/>
    <w:rsid w:val="00662CA0"/>
    <w:rsid w:val="00687AF7"/>
    <w:rsid w:val="00723C71"/>
    <w:rsid w:val="00D003CB"/>
    <w:rsid w:val="00E254E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EFF0E6B9-D4B1-4C81-8A41-F76BEFB1D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4E7"/>
    <w:pPr>
      <w:spacing w:after="0" w:line="240" w:lineRule="auto"/>
    </w:pPr>
    <w:rPr>
      <w:rFonts w:ascii="Times New Roman" w:eastAsia="Times New Roman" w:hAnsi="Times New Roman" w:cs="Times New Roman"/>
      <w:sz w:val="20"/>
      <w:szCs w:val="20"/>
      <w:lang w:val="es-ES" w:eastAsia="es-ES"/>
    </w:rPr>
  </w:style>
  <w:style w:type="paragraph" w:styleId="Ttulo1">
    <w:name w:val="heading 1"/>
    <w:basedOn w:val="Normal"/>
    <w:next w:val="Normal"/>
    <w:link w:val="Ttulo1Car"/>
    <w:qFormat/>
    <w:rsid w:val="00E254E7"/>
    <w:pPr>
      <w:keepNext/>
      <w:spacing w:line="360" w:lineRule="auto"/>
      <w:jc w:val="center"/>
      <w:outlineLvl w:val="0"/>
    </w:pPr>
    <w:rPr>
      <w:rFonts w:ascii="Bookman Old Style" w:hAnsi="Bookman Old Style"/>
      <w:b/>
      <w:bCs/>
      <w:sz w:val="28"/>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E254E7"/>
    <w:rPr>
      <w:rFonts w:ascii="Bookman Old Style" w:eastAsia="Times New Roman" w:hAnsi="Bookman Old Style" w:cs="Times New Roman"/>
      <w:b/>
      <w:bCs/>
      <w:sz w:val="28"/>
      <w:szCs w:val="20"/>
    </w:rPr>
  </w:style>
  <w:style w:type="paragraph" w:styleId="Encabezado">
    <w:name w:val="header"/>
    <w:basedOn w:val="Normal"/>
    <w:link w:val="EncabezadoCar"/>
    <w:semiHidden/>
    <w:rsid w:val="00E254E7"/>
    <w:pPr>
      <w:tabs>
        <w:tab w:val="center" w:pos="4419"/>
        <w:tab w:val="right" w:pos="8838"/>
      </w:tabs>
    </w:pPr>
  </w:style>
  <w:style w:type="character" w:customStyle="1" w:styleId="EncabezadoCar">
    <w:name w:val="Encabezado Car"/>
    <w:basedOn w:val="Fuentedeprrafopredeter"/>
    <w:link w:val="Encabezado"/>
    <w:semiHidden/>
    <w:rsid w:val="00E254E7"/>
    <w:rPr>
      <w:rFonts w:ascii="Times New Roman" w:eastAsia="Times New Roman" w:hAnsi="Times New Roman" w:cs="Times New Roman"/>
      <w:sz w:val="20"/>
      <w:szCs w:val="20"/>
      <w:lang w:val="es-ES" w:eastAsia="es-ES"/>
    </w:rPr>
  </w:style>
  <w:style w:type="character" w:styleId="Nmerodepgina">
    <w:name w:val="page number"/>
    <w:basedOn w:val="Fuentedeprrafopredeter"/>
    <w:semiHidden/>
    <w:rsid w:val="00E254E7"/>
  </w:style>
  <w:style w:type="paragraph" w:styleId="Textoindependiente">
    <w:name w:val="Body Text"/>
    <w:basedOn w:val="Normal"/>
    <w:link w:val="TextoindependienteCar"/>
    <w:semiHidden/>
    <w:rsid w:val="00E254E7"/>
    <w:pPr>
      <w:spacing w:line="360" w:lineRule="auto"/>
      <w:jc w:val="both"/>
    </w:pPr>
    <w:rPr>
      <w:rFonts w:ascii="Bookman Old Style" w:hAnsi="Bookman Old Style"/>
      <w:sz w:val="28"/>
      <w:lang w:val="es-MX"/>
    </w:rPr>
  </w:style>
  <w:style w:type="character" w:customStyle="1" w:styleId="TextoindependienteCar">
    <w:name w:val="Texto independiente Car"/>
    <w:basedOn w:val="Fuentedeprrafopredeter"/>
    <w:link w:val="Textoindependiente"/>
    <w:semiHidden/>
    <w:rsid w:val="00E254E7"/>
    <w:rPr>
      <w:rFonts w:ascii="Bookman Old Style" w:eastAsia="Times New Roman" w:hAnsi="Bookman Old Style" w:cs="Times New Roman"/>
      <w:sz w:val="28"/>
      <w:szCs w:val="20"/>
      <w:lang w:eastAsia="es-ES"/>
    </w:rPr>
  </w:style>
  <w:style w:type="paragraph" w:styleId="Textonotapie">
    <w:name w:val="footnote text"/>
    <w:basedOn w:val="Normal"/>
    <w:link w:val="TextonotapieCar"/>
    <w:semiHidden/>
    <w:rsid w:val="00E254E7"/>
  </w:style>
  <w:style w:type="character" w:customStyle="1" w:styleId="TextonotapieCar">
    <w:name w:val="Texto nota pie Car"/>
    <w:basedOn w:val="Fuentedeprrafopredeter"/>
    <w:link w:val="Textonotapie"/>
    <w:semiHidden/>
    <w:rsid w:val="00E254E7"/>
    <w:rPr>
      <w:rFonts w:ascii="Times New Roman" w:eastAsia="Times New Roman" w:hAnsi="Times New Roman" w:cs="Times New Roman"/>
      <w:sz w:val="20"/>
      <w:szCs w:val="20"/>
      <w:lang w:val="es-ES" w:eastAsia="es-ES"/>
    </w:rPr>
  </w:style>
  <w:style w:type="character" w:styleId="Refdenotaalpie">
    <w:name w:val="footnote reference"/>
    <w:semiHidden/>
    <w:rsid w:val="00E254E7"/>
    <w:rPr>
      <w:vertAlign w:val="superscript"/>
    </w:rPr>
  </w:style>
  <w:style w:type="paragraph" w:customStyle="1" w:styleId="Normal0">
    <w:name w:val="[Normal]"/>
    <w:uiPriority w:val="99"/>
    <w:rsid w:val="00E254E7"/>
    <w:pPr>
      <w:autoSpaceDE w:val="0"/>
      <w:autoSpaceDN w:val="0"/>
      <w:adjustRightInd w:val="0"/>
      <w:spacing w:after="0" w:line="240" w:lineRule="auto"/>
    </w:pPr>
    <w:rPr>
      <w:rFonts w:ascii="Arial" w:eastAsia="Times New Roman" w:hAnsi="Arial" w:cs="Arial"/>
      <w:sz w:val="24"/>
      <w:szCs w:val="24"/>
      <w:lang w:val="es-ES" w:eastAsia="es-ES"/>
    </w:rPr>
  </w:style>
  <w:style w:type="table" w:styleId="Tablaconcuadrcula">
    <w:name w:val="Table Grid"/>
    <w:basedOn w:val="Tablanormal"/>
    <w:uiPriority w:val="59"/>
    <w:rsid w:val="00E254E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254E7"/>
    <w:pPr>
      <w:ind w:left="720"/>
      <w:contextualSpacing/>
    </w:pPr>
    <w:rPr>
      <w:sz w:val="24"/>
      <w:szCs w:val="24"/>
    </w:rPr>
  </w:style>
  <w:style w:type="paragraph" w:styleId="Piedepgina">
    <w:name w:val="footer"/>
    <w:basedOn w:val="Normal"/>
    <w:link w:val="PiedepginaCar"/>
    <w:uiPriority w:val="99"/>
    <w:unhideWhenUsed/>
    <w:rsid w:val="005D5236"/>
    <w:pPr>
      <w:tabs>
        <w:tab w:val="center" w:pos="4419"/>
        <w:tab w:val="right" w:pos="8838"/>
      </w:tabs>
    </w:pPr>
  </w:style>
  <w:style w:type="character" w:customStyle="1" w:styleId="PiedepginaCar">
    <w:name w:val="Pie de página Car"/>
    <w:basedOn w:val="Fuentedeprrafopredeter"/>
    <w:link w:val="Piedepgina"/>
    <w:uiPriority w:val="99"/>
    <w:rsid w:val="005D5236"/>
    <w:rPr>
      <w:rFonts w:ascii="Times New Roman" w:eastAsia="Times New Roman" w:hAnsi="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javascript:void(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5766</Words>
  <Characters>31715</Characters>
  <Application>Microsoft Office Word</Application>
  <DocSecurity>0</DocSecurity>
  <Lines>264</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GUADALUPE RODRIGUEZ T</dc:creator>
  <cp:keywords/>
  <dc:description/>
  <cp:lastModifiedBy>MARIA GUADALUPE RODRIGUEZ T</cp:lastModifiedBy>
  <cp:revision>2</cp:revision>
  <dcterms:created xsi:type="dcterms:W3CDTF">2021-10-14T19:23:00Z</dcterms:created>
  <dcterms:modified xsi:type="dcterms:W3CDTF">2021-10-14T19:23:00Z</dcterms:modified>
</cp:coreProperties>
</file>