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A109B4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D1323E">
        <w:rPr>
          <w:rFonts w:asciiTheme="minorHAnsi" w:hAnsiTheme="minorHAnsi" w:cstheme="minorHAnsi"/>
          <w:b/>
          <w:bCs/>
        </w:rPr>
        <w:t>Su</w:t>
      </w:r>
      <w:r w:rsidR="00A109B4">
        <w:rPr>
          <w:rFonts w:asciiTheme="minorHAnsi" w:hAnsiTheme="minorHAnsi" w:cstheme="minorHAnsi"/>
          <w:b/>
          <w:bCs/>
        </w:rPr>
        <w:t>bdirecciones Regio</w:t>
      </w:r>
      <w:bookmarkStart w:id="0" w:name="_GoBack"/>
      <w:bookmarkEnd w:id="0"/>
      <w:r w:rsidR="00A109B4">
        <w:rPr>
          <w:rFonts w:asciiTheme="minorHAnsi" w:hAnsiTheme="minorHAnsi" w:cstheme="minorHAnsi"/>
          <w:b/>
          <w:bCs/>
        </w:rPr>
        <w:t>nales de Área</w:t>
      </w:r>
    </w:p>
    <w:p w:rsidR="00413F1C" w:rsidRPr="00D1323E" w:rsidRDefault="00413F1C" w:rsidP="00413F1C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1323E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41 de la Ley de la Defensoría Pública del Estado,  </w:t>
      </w:r>
      <w:r w:rsidRPr="00D1323E">
        <w:rPr>
          <w:rFonts w:asciiTheme="minorHAnsi" w:hAnsiTheme="minorHAnsi" w:cstheme="minorHAnsi"/>
          <w:sz w:val="24"/>
          <w:szCs w:val="24"/>
        </w:rPr>
        <w:t>son atribuciones de las y los titulares de las subdirecciones regionales en el ámbito de su jurisdicción territorial: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Fungir como enlace y representación de las oficinas en las regiones del Estado en que se encuentren adscritos tanto de la Coordinación General y cada una de las direcciones establecidas en esta Ley; </w:t>
      </w:r>
    </w:p>
    <w:p w:rsidR="00413F1C" w:rsidRPr="00D1323E" w:rsidRDefault="00413F1C" w:rsidP="00413F1C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Dar atención de los asuntos de impacto social que se susciten en la región del estado al que se encuentren adscritos, dando cuenta a la dirección de área, para establecer las estrategias a seguir;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 </w:t>
      </w: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Vigilar el eficaz desempeño de las y los abogados defensores en las distintas áreas que conforman la Defensoría, y demás personal subalterno; 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Dar seguimiento a los asuntos encomendados por los directores de área; 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Proponer al director de área la celebración de convenios de colaboración con autoridades federal, municipales y con particulares que tengan relación con las funciones de la dependencia; 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Coordinarse con la Dirección Administrativa de la Coordinación de la Defensoría Pública, para mantener actualizados los resguardos de los bienes muebles conforme a los lineamientos emitidos por la Oficialía Mayor de Gobierno del Estado, y 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Las demás que determinen los reglamentos, lineamientos legales aplicables y la Coordinación General conforme a sus atribuciones.</w:t>
      </w: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3646" w:rsidRDefault="009C3646">
      <w:pPr>
        <w:spacing w:after="0" w:line="240" w:lineRule="auto"/>
      </w:pPr>
      <w:r>
        <w:separator/>
      </w:r>
    </w:p>
  </w:endnote>
  <w:endnote w:type="continuationSeparator" w:id="0">
    <w:p w:rsidR="009C3646" w:rsidRDefault="009C3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067281E-E636-4077-8969-E3952FD6DDC3}"/>
    <w:embedBold r:id="rId2" w:fontKey="{2213C9CA-9673-469D-B311-0171B3D67427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A072536B-5263-4BC4-B5C4-E61DA27A175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3646" w:rsidRDefault="009C3646">
      <w:pPr>
        <w:spacing w:after="0" w:line="240" w:lineRule="auto"/>
      </w:pPr>
      <w:r>
        <w:separator/>
      </w:r>
    </w:p>
  </w:footnote>
  <w:footnote w:type="continuationSeparator" w:id="0">
    <w:p w:rsidR="009C3646" w:rsidRDefault="009C3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11046E"/>
    <w:multiLevelType w:val="hybridMultilevel"/>
    <w:tmpl w:val="2064F1DC"/>
    <w:lvl w:ilvl="0" w:tplc="7CE831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12CB"/>
    <w:rsid w:val="003A65A6"/>
    <w:rsid w:val="003B6CD5"/>
    <w:rsid w:val="00413F1C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C3646"/>
    <w:rsid w:val="009D6251"/>
    <w:rsid w:val="009D7A30"/>
    <w:rsid w:val="009E30ED"/>
    <w:rsid w:val="00A109B4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160BA6-BB64-4637-B033-56F4605D9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13F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159676-15E6-4D76-8C2A-0CFF11A11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216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12</cp:revision>
  <cp:lastPrinted>2019-02-14T17:42:00Z</cp:lastPrinted>
  <dcterms:created xsi:type="dcterms:W3CDTF">2019-02-26T20:45:00Z</dcterms:created>
  <dcterms:modified xsi:type="dcterms:W3CDTF">2020-03-05T14:52:00Z</dcterms:modified>
</cp:coreProperties>
</file>