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942F5" w:rsidRDefault="00A942F5" w:rsidP="00A942F5">
      <w:r>
        <w:t xml:space="preserve">PARA REPORTAR LA INFORMACION DE ESTE MES NO SE HA REALIZADO, UN PLAN AMBIENTAL ENTRE H. AYUNTAMIENTO Y ESTADO DE S.L.P., POR LO MISMO ES UN MUNICIPIO EN ZONA MARGINACION Y DE POBREZA EXTREMA, CON FUNDAMENTO DE </w:t>
      </w:r>
      <w:r w:rsidRPr="00A942F5">
        <w:t>LEY AMBIENTAL DEL ESTADO DE SAN LUIS POTOSÍ</w:t>
      </w:r>
      <w:r>
        <w:t>,</w:t>
      </w:r>
      <w:bookmarkStart w:id="0" w:name="_GoBack"/>
      <w:bookmarkEnd w:id="0"/>
    </w:p>
    <w:p w:rsidR="00A942F5" w:rsidRDefault="00A942F5" w:rsidP="00A942F5">
      <w:r>
        <w:t>TITULO CUARTO I</w:t>
      </w:r>
    </w:p>
    <w:p w:rsidR="00A942F5" w:rsidRDefault="00A942F5" w:rsidP="00A942F5">
      <w:r>
        <w:t>NSTRUMENTOS DE POLITICA AMBIENTAL</w:t>
      </w:r>
    </w:p>
    <w:p w:rsidR="00A942F5" w:rsidRDefault="00A942F5" w:rsidP="00A942F5">
      <w:r>
        <w:t xml:space="preserve"> CAPITULO I PLANEACION AMBIENTAL</w:t>
      </w:r>
    </w:p>
    <w:p w:rsidR="00A942F5" w:rsidRDefault="00A942F5" w:rsidP="00A942F5">
      <w:r>
        <w:t xml:space="preserve"> ARTICULO 13. En la planeación estatal del desarrollo se deberá incorporar la política ambiental y el ordenamiento ecológico del territorio de la Entidad, que se establezcan de conformidad con la LGEEPA, esta Ley y las demás disposiciones en la materia. </w:t>
      </w:r>
    </w:p>
    <w:p w:rsidR="00A942F5" w:rsidRDefault="00A942F5" w:rsidP="00A942F5">
      <w:r>
        <w:t xml:space="preserve">(REFORMADO, P.O. 23 DE JULIO DE 2011) </w:t>
      </w:r>
    </w:p>
    <w:p w:rsidR="00A942F5" w:rsidRDefault="00A942F5" w:rsidP="00A942F5">
      <w:r>
        <w:t xml:space="preserve">En la planeación y realización de las acciones a cargo de las dependencias y entidades de la administración pública estatal, conforme a sus respectivas esferas de competencia, así como en el ejercicio de las atribuciones que las leyes confieran al Gobierno del Estado para regular, promover, restringir, prohibir, orientar y, en general, inducir las acciones de los particulares en los campos económico y social, se observarán los lineamientos de política ambiental que establezcan el Plan Estatal de Desarrollo, el Programa Estatal de Acción ante el Cambio Climático, y los programas correspondientes. </w:t>
      </w:r>
    </w:p>
    <w:p w:rsidR="00A942F5" w:rsidRDefault="00A942F5" w:rsidP="00A942F5">
      <w:r>
        <w:t xml:space="preserve">ARTICULO 14. Los instrumentos mediante los cuales el Estado y los ayuntamientos, en su caso, llevarán a cabo los propósitos de la política ambiental, son los siguientes: (REFORMADA, P.O. 23 DE JULIO DE 2011) </w:t>
      </w:r>
    </w:p>
    <w:p w:rsidR="00A942F5" w:rsidRDefault="00A942F5" w:rsidP="00A942F5">
      <w:r>
        <w:t xml:space="preserve">I. Los planes de ordenamiento ecológico del territorio y los programas derivados de los mismos; los programas locales derivados del Programa Estatal de Acción ante el Cambio Climático; así como las declaratorias de áreas naturales protegidas de jurisdicción estatal y municipal, así como sus correspondientes planes de manejo o recuperación que, como integrantes del ordenamiento ecológico de la Entidad están establecidos y regulados en esta Ley; (REFORMADA, P.O. 19 DE SEPTIEMBRE DE 2006) </w:t>
      </w:r>
    </w:p>
    <w:p w:rsidR="00A942F5" w:rsidRDefault="00A942F5" w:rsidP="00A942F5">
      <w:r>
        <w:t xml:space="preserve">II. Las licencias de uso del suelo de obras o actividades que se pretendan realizar fuera de las áreas urbanas o urbanizables </w:t>
      </w:r>
    </w:p>
    <w:p w:rsidR="00A942F5" w:rsidRDefault="00A942F5" w:rsidP="00A942F5">
      <w:r>
        <w:t xml:space="preserve">III. Los instrumentos económicos; </w:t>
      </w:r>
    </w:p>
    <w:p w:rsidR="00A942F5" w:rsidRDefault="00A942F5" w:rsidP="00A942F5">
      <w:r>
        <w:t>IV. La autorización en materia de impacto ambiental para el desarrollo de obras y actividades, que pueden generar deterioro ambiental o rebasar los límites y condiciones establecidas en la normatividad ambiental vigente;</w:t>
      </w:r>
    </w:p>
    <w:p w:rsidR="00A942F5" w:rsidRDefault="00A942F5" w:rsidP="00A942F5">
      <w:r>
        <w:t xml:space="preserve"> V. Los acuerdos de coordinación entre los diferentes ámbitos de gobierno y los convenios de concertación con las organizaciones representativas de la comunidad; </w:t>
      </w:r>
    </w:p>
    <w:p w:rsidR="00A942F5" w:rsidRDefault="00A942F5" w:rsidP="00A942F5">
      <w:r>
        <w:t xml:space="preserve">VI. Las medidas para prevenir contingencias ambientales o controlar emergencias ecológicas; </w:t>
      </w:r>
    </w:p>
    <w:p w:rsidR="00A942F5" w:rsidRDefault="00A942F5" w:rsidP="00A942F5">
      <w:r>
        <w:t xml:space="preserve">VII. Los sistemas de monitoreo atmosférico, así como sus laboratorios de análisis; </w:t>
      </w:r>
    </w:p>
    <w:p w:rsidR="00A942F5" w:rsidRDefault="00A942F5" w:rsidP="00A942F5">
      <w:r>
        <w:lastRenderedPageBreak/>
        <w:t>VIII. El sistema de información, seguimiento y evaluación de los programas derivados de los planes de desarrollo urbano y ordenamiento ecológico del territorio, así como las declaratorias de áreas naturales protegidas de competencia estatal y municipal, e igualmente de las autorizaciones</w:t>
      </w:r>
      <w:r>
        <w:t xml:space="preserve"> </w:t>
      </w:r>
      <w:r>
        <w:t>en materia de impacto ambiental y de los demás actos relativos de las autoridades estatales y</w:t>
      </w:r>
      <w:r>
        <w:t xml:space="preserve"> </w:t>
      </w:r>
      <w:r>
        <w:t xml:space="preserve">municipales; </w:t>
      </w:r>
    </w:p>
    <w:p w:rsidR="00A942F5" w:rsidRDefault="00A942F5" w:rsidP="00A942F5">
      <w:r>
        <w:t>IX. La inspección, vigilancia, control y medidas de seguridad que la SEGAM y los respectivos Ayuntamientos por sí o por conducto de los organismos operadores del agua en el ámbito de su competencia realicen, así como las sanciones administrativas que procedan en uso de las facultades que la presente Ley y las disposiciones reglamentarias aplicables les otorgan, y</w:t>
      </w:r>
    </w:p>
    <w:p w:rsidR="00A942F5" w:rsidRDefault="00A942F5" w:rsidP="00A942F5">
      <w:r>
        <w:t xml:space="preserve"> X. La participación ciudadana en los términos previstos en esta Ley. </w:t>
      </w:r>
    </w:p>
    <w:p w:rsidR="00A942F5" w:rsidRDefault="00A942F5" w:rsidP="00A942F5">
      <w:pPr>
        <w:jc w:val="center"/>
      </w:pPr>
      <w:r>
        <w:t>CAPITULO II ORDENAMIENTO ECOLOGICO</w:t>
      </w:r>
    </w:p>
    <w:p w:rsidR="00A942F5" w:rsidRDefault="00A942F5" w:rsidP="00A942F5">
      <w:r>
        <w:t xml:space="preserve">ARTICULO 15. En la formulación del ordenamiento ecológico de la Entidad se deberán considerar los siguientes criterios: </w:t>
      </w:r>
    </w:p>
    <w:p w:rsidR="00A942F5" w:rsidRDefault="00A942F5" w:rsidP="00A942F5">
      <w:r>
        <w:t>I. La naturaleza y características de los ecosistemas existentes en el territorio estatal y en las zonas sobre las que el Estado ejerce su Soberanía y jurisdicción;</w:t>
      </w:r>
    </w:p>
    <w:p w:rsidR="00A942F5" w:rsidRDefault="00A942F5" w:rsidP="00A942F5">
      <w:r>
        <w:t xml:space="preserve"> II. La vocación de cada zona o región en función de sus recursos naturales, la distribución y dinámica de la población y las actividades económicas predominantes; </w:t>
      </w:r>
    </w:p>
    <w:p w:rsidR="00A942F5" w:rsidRDefault="00A942F5" w:rsidP="00A942F5">
      <w:r>
        <w:t xml:space="preserve">III. El deterioro ambiental existente en los ecosistemas por efecto de los asentamientos humanos, de las actividades económicas o de otras actividades humanas; (REFORMADA, P.O. 23 DE JULIO DE 2011) </w:t>
      </w:r>
    </w:p>
    <w:p w:rsidR="00A942F5" w:rsidRDefault="00A942F5" w:rsidP="00A942F5">
      <w:r>
        <w:t xml:space="preserve">IV. El equilibrio dinámico que debe existir entre los asentamientos humanos y sus condiciones ambientales; (REFORMADA, P.O. 23 DE JULIO DE 2011) </w:t>
      </w:r>
    </w:p>
    <w:p w:rsidR="00A942F5" w:rsidRDefault="00A942F5" w:rsidP="00A942F5">
      <w:r>
        <w:t xml:space="preserve">V. El impacto ambiental de nuevos asentamientos humanos, vías de comunicación y demás obras o actividades, y (ADICIONADA, P.O. 23 DE JULIO DE 2011) (REFORMADA, P.O. 25 DE MAYO DE 2017) </w:t>
      </w:r>
    </w:p>
    <w:p w:rsidR="009D1392" w:rsidRDefault="00A942F5" w:rsidP="00A942F5">
      <w:r>
        <w:t>VI. Los cambios climáticos persistentes y/o severos que modifican las condiciones del medio ambiente de una zona.</w:t>
      </w:r>
    </w:p>
    <w:sectPr w:rsidR="009D139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42F5"/>
    <w:rsid w:val="009D1392"/>
    <w:rsid w:val="00A942F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36929A"/>
  <w15:chartTrackingRefBased/>
  <w15:docId w15:val="{846E619C-CDA2-493B-B938-D9DCCCC3EA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942F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711</Words>
  <Characters>3914</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ADIMPACK</dc:creator>
  <cp:keywords/>
  <dc:description/>
  <cp:lastModifiedBy>ADIMPACK</cp:lastModifiedBy>
  <cp:revision>1</cp:revision>
  <dcterms:created xsi:type="dcterms:W3CDTF">2021-09-08T04:49:00Z</dcterms:created>
  <dcterms:modified xsi:type="dcterms:W3CDTF">2021-09-08T05:06:00Z</dcterms:modified>
</cp:coreProperties>
</file>