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12FE" w:rsidRDefault="00FF12FE">
      <w:pPr>
        <w:pStyle w:val="Textoindependiente"/>
        <w:rPr>
          <w:rFonts w:ascii="Times New Roman"/>
        </w:rPr>
      </w:pPr>
    </w:p>
    <w:p w:rsidR="00FF12FE" w:rsidRDefault="00FF12FE">
      <w:pPr>
        <w:pStyle w:val="Textoindependiente"/>
        <w:rPr>
          <w:rFonts w:ascii="Times New Roman"/>
        </w:rPr>
      </w:pPr>
    </w:p>
    <w:p w:rsidR="00FF12FE" w:rsidRDefault="00FF12FE">
      <w:pPr>
        <w:pStyle w:val="Textoindependiente"/>
        <w:spacing w:before="7"/>
        <w:rPr>
          <w:rFonts w:ascii="Times New Roman"/>
          <w:sz w:val="19"/>
        </w:rPr>
      </w:pPr>
    </w:p>
    <w:p w:rsidR="00B263ED" w:rsidRDefault="00B263ED">
      <w:pPr>
        <w:pStyle w:val="Textoindependiente"/>
        <w:spacing w:before="93"/>
        <w:ind w:left="215" w:right="235" w:firstLine="2083"/>
        <w:jc w:val="both"/>
        <w:rPr>
          <w:rFonts w:ascii="Arial" w:hAnsi="Arial"/>
          <w:b/>
        </w:rPr>
      </w:pPr>
    </w:p>
    <w:p w:rsidR="00FF12FE" w:rsidRDefault="00F64C50" w:rsidP="009652CA">
      <w:pPr>
        <w:pStyle w:val="Textoindependiente"/>
        <w:spacing w:before="93"/>
        <w:ind w:left="215" w:right="235" w:firstLine="2083"/>
        <w:jc w:val="both"/>
      </w:pPr>
      <w:r>
        <w:rPr>
          <w:noProof/>
          <w:lang w:val="es-MX" w:eastAsia="es-MX"/>
        </w:rPr>
        <w:drawing>
          <wp:anchor distT="0" distB="0" distL="0" distR="0" simplePos="0" relativeHeight="487541248" behindDoc="1" locked="0" layoutInCell="1" allowOverlap="1" wp14:anchorId="106EC74F" wp14:editId="04E0D388">
            <wp:simplePos x="0" y="0"/>
            <wp:positionH relativeFrom="page">
              <wp:posOffset>899794</wp:posOffset>
            </wp:positionH>
            <wp:positionV relativeFrom="paragraph">
              <wp:posOffset>-430150</wp:posOffset>
            </wp:positionV>
            <wp:extent cx="1304161" cy="610234"/>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5" cstate="print"/>
                    <a:stretch>
                      <a:fillRect/>
                    </a:stretch>
                  </pic:blipFill>
                  <pic:spPr>
                    <a:xfrm>
                      <a:off x="0" y="0"/>
                      <a:ext cx="1304161" cy="610234"/>
                    </a:xfrm>
                    <a:prstGeom prst="rect">
                      <a:avLst/>
                    </a:prstGeom>
                  </pic:spPr>
                </pic:pic>
              </a:graphicData>
            </a:graphic>
          </wp:anchor>
        </w:drawing>
      </w:r>
      <w:r w:rsidR="009652CA">
        <w:rPr>
          <w:rFonts w:ascii="Arial" w:hAnsi="Arial"/>
          <w:b/>
        </w:rPr>
        <w:t>ARTÍCULO 116</w:t>
      </w:r>
      <w:r>
        <w:rPr>
          <w:rFonts w:ascii="Arial" w:hAnsi="Arial"/>
          <w:b/>
        </w:rPr>
        <w:t xml:space="preserve">. </w:t>
      </w:r>
      <w:r w:rsidR="009652CA">
        <w:t>Cada Área del sujeto obligado elaborará un índice de los Expedientes clasificados como reservados, por Área responsable de la información y tema. El índice deberá elaborarse semestralmente y publicarse en Formatos Abiertos al día siguiente de su elaboración. Dicho índice deberá indicar el Área que generó la información, el nombre del Documento, si se trata de una reserva completa o parcial, la fecha en que inicia y finaliza la reserva, su justificación, el plazo de reserva y, en su caso, las partes del Documento que se reservan y si se encuentra en prórroga</w:t>
      </w:r>
      <w:r w:rsidR="009652CA">
        <w:t>.</w:t>
      </w:r>
      <w:bookmarkStart w:id="0" w:name="_GoBack"/>
      <w:bookmarkEnd w:id="0"/>
    </w:p>
    <w:p w:rsidR="00FF12FE" w:rsidRDefault="00FF12FE">
      <w:pPr>
        <w:pStyle w:val="Textoindependiente"/>
        <w:spacing w:before="10"/>
        <w:rPr>
          <w:sz w:val="26"/>
        </w:rPr>
      </w:pPr>
    </w:p>
    <w:tbl>
      <w:tblPr>
        <w:tblStyle w:val="TableNormal"/>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230"/>
      </w:tblGrid>
      <w:tr w:rsidR="00FF12FE">
        <w:trPr>
          <w:trHeight w:val="2052"/>
        </w:trPr>
        <w:tc>
          <w:tcPr>
            <w:tcW w:w="13230" w:type="dxa"/>
          </w:tcPr>
          <w:p w:rsidR="00FF12FE" w:rsidRDefault="00FF12FE">
            <w:pPr>
              <w:pStyle w:val="TableParagraph"/>
              <w:spacing w:before="5"/>
              <w:rPr>
                <w:rFonts w:ascii="Arial MT"/>
                <w:sz w:val="25"/>
              </w:rPr>
            </w:pPr>
          </w:p>
          <w:p w:rsidR="00FF12FE" w:rsidRDefault="00F64C50">
            <w:pPr>
              <w:pStyle w:val="TableParagraph"/>
              <w:spacing w:before="0"/>
              <w:ind w:left="107" w:right="99"/>
              <w:jc w:val="both"/>
              <w:rPr>
                <w:b/>
                <w:sz w:val="24"/>
              </w:rPr>
            </w:pPr>
            <w:r>
              <w:rPr>
                <w:b/>
                <w:sz w:val="24"/>
              </w:rPr>
              <w:t>Dentro del proceso de clasificación establecido en las fracciones I, II y III del artículo 120</w:t>
            </w:r>
            <w:r>
              <w:rPr>
                <w:b/>
                <w:spacing w:val="1"/>
                <w:sz w:val="24"/>
              </w:rPr>
              <w:t xml:space="preserve"> </w:t>
            </w:r>
            <w:r>
              <w:rPr>
                <w:b/>
                <w:sz w:val="24"/>
              </w:rPr>
              <w:t>de la Ley de Transparencia y Acceso a la</w:t>
            </w:r>
            <w:r>
              <w:rPr>
                <w:b/>
                <w:spacing w:val="1"/>
                <w:sz w:val="24"/>
              </w:rPr>
              <w:t xml:space="preserve"> </w:t>
            </w:r>
            <w:r>
              <w:rPr>
                <w:b/>
                <w:sz w:val="24"/>
              </w:rPr>
              <w:t>Información Pública de San Luis Potosí.,</w:t>
            </w:r>
            <w:r>
              <w:rPr>
                <w:b/>
                <w:spacing w:val="1"/>
                <w:sz w:val="24"/>
              </w:rPr>
              <w:t xml:space="preserve"> </w:t>
            </w:r>
            <w:r>
              <w:rPr>
                <w:b/>
                <w:sz w:val="24"/>
              </w:rPr>
              <w:t>este Tribunal Estatal de Justicia Administrativa</w:t>
            </w:r>
            <w:r>
              <w:rPr>
                <w:b/>
                <w:spacing w:val="1"/>
                <w:sz w:val="24"/>
              </w:rPr>
              <w:t xml:space="preserve"> </w:t>
            </w:r>
            <w:r>
              <w:rPr>
                <w:b/>
                <w:sz w:val="24"/>
              </w:rPr>
              <w:t xml:space="preserve">cuyo decreto de creación 0603 </w:t>
            </w:r>
            <w:r>
              <w:rPr>
                <w:b/>
                <w:sz w:val="24"/>
              </w:rPr>
              <w:t>fue</w:t>
            </w:r>
            <w:r>
              <w:rPr>
                <w:b/>
                <w:spacing w:val="1"/>
                <w:sz w:val="24"/>
              </w:rPr>
              <w:t xml:space="preserve"> </w:t>
            </w:r>
            <w:r>
              <w:rPr>
                <w:b/>
                <w:sz w:val="24"/>
              </w:rPr>
              <w:t>publicado en el POE el 10 de abril de 2017   “No ha generado" documentos, expedientes o información sujeta a ser clasificada</w:t>
            </w:r>
            <w:r>
              <w:rPr>
                <w:b/>
                <w:spacing w:val="1"/>
                <w:sz w:val="24"/>
              </w:rPr>
              <w:t xml:space="preserve"> </w:t>
            </w:r>
            <w:r>
              <w:rPr>
                <w:b/>
                <w:sz w:val="24"/>
              </w:rPr>
              <w:t xml:space="preserve">como </w:t>
            </w:r>
            <w:r>
              <w:rPr>
                <w:b/>
                <w:sz w:val="24"/>
                <w:u w:val="single"/>
              </w:rPr>
              <w:t>reservada</w:t>
            </w:r>
            <w:r>
              <w:rPr>
                <w:b/>
                <w:spacing w:val="1"/>
                <w:sz w:val="24"/>
              </w:rPr>
              <w:t xml:space="preserve"> </w:t>
            </w:r>
            <w:r>
              <w:rPr>
                <w:b/>
                <w:sz w:val="24"/>
              </w:rPr>
              <w:t xml:space="preserve">que encuadre en los supuestos de reserva de información de las fracciones I, II, III, IV, V, VI, VII, VIII, IX, </w:t>
            </w:r>
            <w:r>
              <w:rPr>
                <w:b/>
                <w:sz w:val="24"/>
              </w:rPr>
              <w:t>X, XI y XII</w:t>
            </w:r>
            <w:r>
              <w:rPr>
                <w:b/>
                <w:spacing w:val="1"/>
                <w:sz w:val="24"/>
              </w:rPr>
              <w:t xml:space="preserve"> </w:t>
            </w:r>
            <w:r>
              <w:rPr>
                <w:b/>
                <w:sz w:val="24"/>
              </w:rPr>
              <w:t>previstas</w:t>
            </w:r>
            <w:r>
              <w:rPr>
                <w:b/>
                <w:spacing w:val="-1"/>
                <w:sz w:val="24"/>
              </w:rPr>
              <w:t xml:space="preserve"> </w:t>
            </w:r>
            <w:r>
              <w:rPr>
                <w:b/>
                <w:sz w:val="24"/>
              </w:rPr>
              <w:t>en</w:t>
            </w:r>
            <w:r>
              <w:rPr>
                <w:b/>
                <w:spacing w:val="1"/>
                <w:sz w:val="24"/>
              </w:rPr>
              <w:t xml:space="preserve"> </w:t>
            </w:r>
            <w:r>
              <w:rPr>
                <w:b/>
                <w:sz w:val="24"/>
              </w:rPr>
              <w:t>el</w:t>
            </w:r>
            <w:r>
              <w:rPr>
                <w:b/>
                <w:spacing w:val="2"/>
                <w:sz w:val="24"/>
              </w:rPr>
              <w:t xml:space="preserve"> </w:t>
            </w:r>
            <w:r>
              <w:rPr>
                <w:b/>
                <w:sz w:val="24"/>
              </w:rPr>
              <w:t>artículo 129</w:t>
            </w:r>
            <w:r>
              <w:rPr>
                <w:b/>
                <w:spacing w:val="2"/>
                <w:sz w:val="24"/>
              </w:rPr>
              <w:t xml:space="preserve"> </w:t>
            </w:r>
            <w:r>
              <w:rPr>
                <w:b/>
                <w:sz w:val="24"/>
              </w:rPr>
              <w:t>de</w:t>
            </w:r>
            <w:r>
              <w:rPr>
                <w:b/>
                <w:spacing w:val="-3"/>
                <w:sz w:val="24"/>
              </w:rPr>
              <w:t xml:space="preserve"> </w:t>
            </w:r>
            <w:r>
              <w:rPr>
                <w:b/>
                <w:sz w:val="24"/>
              </w:rPr>
              <w:t>la</w:t>
            </w:r>
            <w:r>
              <w:rPr>
                <w:b/>
                <w:spacing w:val="-1"/>
                <w:sz w:val="24"/>
              </w:rPr>
              <w:t xml:space="preserve"> </w:t>
            </w:r>
            <w:r>
              <w:rPr>
                <w:b/>
                <w:sz w:val="24"/>
              </w:rPr>
              <w:t>Ley</w:t>
            </w:r>
            <w:r>
              <w:rPr>
                <w:b/>
                <w:spacing w:val="-2"/>
                <w:sz w:val="24"/>
              </w:rPr>
              <w:t xml:space="preserve"> </w:t>
            </w:r>
            <w:r>
              <w:rPr>
                <w:b/>
                <w:sz w:val="24"/>
              </w:rPr>
              <w:t>de</w:t>
            </w:r>
            <w:r>
              <w:rPr>
                <w:b/>
                <w:spacing w:val="1"/>
                <w:sz w:val="24"/>
              </w:rPr>
              <w:t xml:space="preserve"> </w:t>
            </w:r>
            <w:r>
              <w:rPr>
                <w:b/>
                <w:sz w:val="24"/>
              </w:rPr>
              <w:t>la</w:t>
            </w:r>
            <w:r>
              <w:rPr>
                <w:b/>
                <w:spacing w:val="-1"/>
                <w:sz w:val="24"/>
              </w:rPr>
              <w:t xml:space="preserve"> </w:t>
            </w:r>
            <w:r>
              <w:rPr>
                <w:b/>
                <w:sz w:val="24"/>
              </w:rPr>
              <w:t>materia.</w:t>
            </w:r>
          </w:p>
        </w:tc>
      </w:tr>
    </w:tbl>
    <w:p w:rsidR="00F64C50" w:rsidRDefault="00F64C50"/>
    <w:sectPr w:rsidR="00F64C50">
      <w:type w:val="continuous"/>
      <w:pgSz w:w="15840" w:h="12240" w:orient="landscape"/>
      <w:pgMar w:top="700" w:right="1180" w:bottom="280" w:left="12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425"/>
  <w:drawingGridHorizontalSpacing w:val="110"/>
  <w:displayHorizontalDrawingGridEvery w:val="2"/>
  <w:characterSpacingControl w:val="doNotCompress"/>
  <w:compat>
    <w:ulTrailSpace/>
    <w:shapeLayoutLikeWW8/>
    <w:compatSetting w:name="compatibilityMode" w:uri="http://schemas.microsoft.com/office/word" w:val="14"/>
  </w:compat>
  <w:rsids>
    <w:rsidRoot w:val="00FF12FE"/>
    <w:rsid w:val="009652CA"/>
    <w:rsid w:val="00B263ED"/>
    <w:rsid w:val="00F64C50"/>
    <w:rsid w:val="00FE0519"/>
    <w:rsid w:val="00FF12F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libri" w:eastAsia="Calibri" w:hAnsi="Calibri" w:cs="Calibri"/>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rFonts w:ascii="Arial MT" w:eastAsia="Arial MT" w:hAnsi="Arial MT" w:cs="Arial MT"/>
      <w:sz w:val="20"/>
      <w:szCs w:val="20"/>
    </w:rPr>
  </w:style>
  <w:style w:type="paragraph" w:styleId="Prrafodelista">
    <w:name w:val="List Paragraph"/>
    <w:basedOn w:val="Normal"/>
    <w:uiPriority w:val="1"/>
    <w:qFormat/>
  </w:style>
  <w:style w:type="paragraph" w:customStyle="1" w:styleId="TableParagraph">
    <w:name w:val="Table Paragraph"/>
    <w:basedOn w:val="Normal"/>
    <w:uiPriority w:val="1"/>
    <w:qFormat/>
    <w:pPr>
      <w:spacing w:before="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libri" w:eastAsia="Calibri" w:hAnsi="Calibri" w:cs="Calibri"/>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rFonts w:ascii="Arial MT" w:eastAsia="Arial MT" w:hAnsi="Arial MT" w:cs="Arial MT"/>
      <w:sz w:val="20"/>
      <w:szCs w:val="20"/>
    </w:rPr>
  </w:style>
  <w:style w:type="paragraph" w:styleId="Prrafodelista">
    <w:name w:val="List Paragraph"/>
    <w:basedOn w:val="Normal"/>
    <w:uiPriority w:val="1"/>
    <w:qFormat/>
  </w:style>
  <w:style w:type="paragraph" w:customStyle="1" w:styleId="TableParagraph">
    <w:name w:val="Table Paragraph"/>
    <w:basedOn w:val="Normal"/>
    <w:uiPriority w:val="1"/>
    <w:qFormat/>
    <w:pPr>
      <w:spacing w:before="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179</Words>
  <Characters>987</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ROBERTO TREVIÑO</dc:creator>
  <cp:lastModifiedBy>DianaMariela</cp:lastModifiedBy>
  <cp:revision>2</cp:revision>
  <dcterms:created xsi:type="dcterms:W3CDTF">2021-10-11T18:25:00Z</dcterms:created>
  <dcterms:modified xsi:type="dcterms:W3CDTF">2021-10-11T18:25:00Z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2019-02-18T00:00:00Z</vt:filetime>
  </property>
  <property fmtid="{D5CDD505-2E9C-101B-9397-08002B2CF9AE}" pid="3" name="Creator">
    <vt:lpwstr>Microsoft® Word 2010</vt:lpwstr>
  </property>
  <property fmtid="{D5CDD505-2E9C-101B-9397-08002B2CF9AE}" pid="4" name="LastSaved">
    <vt:filetime>2021-10-11T00:00:00Z</vt:filetime>
  </property>
</Properties>
</file>