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8C5" w:rsidRPr="002D6401" w:rsidRDefault="00A97B2C" w:rsidP="002D6401">
      <w:pPr>
        <w:jc w:val="both"/>
        <w:rPr>
          <w:rFonts w:ascii="Arial" w:hAnsi="Arial" w:cs="Arial"/>
        </w:rPr>
      </w:pPr>
      <w:r w:rsidRPr="002D6401">
        <w:rPr>
          <w:rFonts w:ascii="Arial" w:hAnsi="Arial" w:cs="Arial"/>
        </w:rPr>
        <w:t>La Ley Electoral del Estado de San Luis Potosí, establece en su Título sexto capítulo II lo relativo al Financiamiento privado, aunque únicamente lo que tiene que ser con Partidos Políticos, y establece en el artículo 161 sus límites anuales del financiamiento privado.</w:t>
      </w:r>
    </w:p>
    <w:p w:rsidR="00A97B2C" w:rsidRPr="002D6401" w:rsidRDefault="00A97B2C" w:rsidP="002D6401">
      <w:pPr>
        <w:jc w:val="both"/>
        <w:rPr>
          <w:rFonts w:ascii="Arial" w:hAnsi="Arial" w:cs="Arial"/>
        </w:rPr>
      </w:pPr>
      <w:r w:rsidRPr="002D6401">
        <w:rPr>
          <w:rFonts w:ascii="Arial" w:hAnsi="Arial" w:cs="Arial"/>
        </w:rPr>
        <w:t>Sin embargo, el Reglamento para la fiscalización de agrupaciones políticas estatales, emitido por el Consejo Estatal Electoral y de Participación Ciudadana el 27 de septiembre de 2019, establece lo siguiente:</w:t>
      </w:r>
    </w:p>
    <w:p w:rsidR="00A97B2C" w:rsidRDefault="00A97B2C" w:rsidP="002D6401">
      <w:pPr>
        <w:ind w:left="708"/>
        <w:jc w:val="both"/>
        <w:rPr>
          <w:i/>
        </w:rPr>
      </w:pPr>
      <w:r w:rsidRPr="002D6401">
        <w:rPr>
          <w:b/>
          <w:i/>
        </w:rPr>
        <w:t>Artículo 51.</w:t>
      </w:r>
      <w:r w:rsidRPr="00A97B2C">
        <w:rPr>
          <w:i/>
        </w:rPr>
        <w:t xml:space="preserve"> El financiamiento que provenga de los afiliados y simpatizantes estará conformado por las aportaciones o donativos, en efectivo o en especie realizados de forma libre y voluntaria por las personas físicas o morales con residencia en el paí</w:t>
      </w:r>
      <w:bookmarkStart w:id="0" w:name="_GoBack"/>
      <w:bookmarkEnd w:id="0"/>
      <w:r w:rsidRPr="00A97B2C">
        <w:rPr>
          <w:i/>
        </w:rPr>
        <w:t>s, que no estén considerados como ingresos prohibidos en el Reglamento de Fiscalización del INE.</w:t>
      </w:r>
      <w:r w:rsidRPr="00A97B2C">
        <w:rPr>
          <w:i/>
        </w:rPr>
        <w:t xml:space="preserve"> </w:t>
      </w:r>
    </w:p>
    <w:p w:rsidR="002D6401" w:rsidRPr="002D6401" w:rsidRDefault="002D6401" w:rsidP="002D6401">
      <w:pPr>
        <w:jc w:val="both"/>
        <w:rPr>
          <w:rFonts w:ascii="Arial" w:hAnsi="Arial" w:cs="Arial"/>
        </w:rPr>
      </w:pPr>
      <w:r w:rsidRPr="002D6401">
        <w:rPr>
          <w:rFonts w:ascii="Arial" w:hAnsi="Arial" w:cs="Arial"/>
        </w:rPr>
        <w:t xml:space="preserve">Dicha regulación no establece montos ni límites, las Agrupaciones Políticas tiene la obligación de informar y comprobar fehacientemente respecto del origen, empleo y destino del financiamiento privado, conforme a lo establecido por el artículo 218 fracción X de la Ley Electoral del Estado de San Luis Potosí.    </w:t>
      </w:r>
    </w:p>
    <w:sectPr w:rsidR="002D6401" w:rsidRPr="002D64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B2C"/>
    <w:rsid w:val="002D6401"/>
    <w:rsid w:val="005F58C5"/>
    <w:rsid w:val="00A9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F4AC60-B629-49CC-9A10-D04809440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175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del Rocio DRMM. Mata Montenegro</dc:creator>
  <cp:keywords/>
  <dc:description/>
  <cp:lastModifiedBy>Diana del Rocio DRMM. Mata Montenegro</cp:lastModifiedBy>
  <cp:revision>1</cp:revision>
  <dcterms:created xsi:type="dcterms:W3CDTF">2021-08-16T15:09:00Z</dcterms:created>
  <dcterms:modified xsi:type="dcterms:W3CDTF">2021-08-16T15:25:00Z</dcterms:modified>
</cp:coreProperties>
</file>