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63C8E" w:rsidRPr="00963C8E" w:rsidRDefault="005A45F5" w:rsidP="00963C8E">
      <w:pPr>
        <w:jc w:val="both"/>
        <w:rPr>
          <w:rFonts w:ascii="Arial" w:hAnsi="Arial" w:cs="Arial"/>
          <w:b/>
          <w:lang w:val="es-MX"/>
        </w:rPr>
      </w:pPr>
      <w:proofErr w:type="spellStart"/>
      <w:r>
        <w:rPr>
          <w:rFonts w:ascii="Arial" w:hAnsi="Arial" w:cs="Arial"/>
          <w:b/>
        </w:rPr>
        <w:t>DEMZ</w:t>
      </w:r>
      <w:proofErr w:type="spellEnd"/>
      <w:r>
        <w:rPr>
          <w:rFonts w:ascii="Arial" w:hAnsi="Arial" w:cs="Arial"/>
          <w:b/>
        </w:rPr>
        <w:t xml:space="preserve"> </w:t>
      </w:r>
      <w:r w:rsidR="0061175E">
        <w:rPr>
          <w:rFonts w:ascii="Arial" w:hAnsi="Arial" w:cs="Arial"/>
          <w:b/>
        </w:rPr>
        <w:t>14</w:t>
      </w:r>
      <w:r w:rsidR="00FA099F">
        <w:rPr>
          <w:rFonts w:ascii="Arial" w:hAnsi="Arial" w:cs="Arial"/>
          <w:b/>
        </w:rPr>
        <w:t>5</w:t>
      </w:r>
      <w:r w:rsidR="00860155">
        <w:rPr>
          <w:rFonts w:ascii="Arial" w:hAnsi="Arial" w:cs="Arial"/>
          <w:b/>
        </w:rPr>
        <w:t>4</w:t>
      </w:r>
      <w:bookmarkStart w:id="0" w:name="_GoBack"/>
      <w:bookmarkEnd w:id="0"/>
      <w:r w:rsidR="00C62944" w:rsidRPr="00C62944">
        <w:rPr>
          <w:rFonts w:ascii="Arial" w:hAnsi="Arial" w:cs="Arial"/>
          <w:b/>
        </w:rPr>
        <w:t>/202</w:t>
      </w:r>
      <w:r w:rsidR="0061175E">
        <w:rPr>
          <w:rFonts w:ascii="Arial" w:hAnsi="Arial" w:cs="Arial"/>
          <w:b/>
        </w:rPr>
        <w:t>1</w:t>
      </w:r>
      <w:r w:rsidR="00C62944" w:rsidRPr="00C62944">
        <w:rPr>
          <w:rFonts w:ascii="Arial" w:hAnsi="Arial" w:cs="Arial"/>
          <w:b/>
        </w:rPr>
        <w:t>. TITULAR D</w:t>
      </w:r>
      <w:r w:rsidR="00397639">
        <w:rPr>
          <w:rFonts w:ascii="Arial" w:hAnsi="Arial" w:cs="Arial"/>
          <w:b/>
        </w:rPr>
        <w:t>E LA UNIDAD DE TRANSPARENCIA</w:t>
      </w:r>
      <w:r w:rsidR="00172378">
        <w:rPr>
          <w:rFonts w:ascii="Arial" w:hAnsi="Arial" w:cs="Arial"/>
          <w:b/>
        </w:rPr>
        <w:t xml:space="preserve"> DE</w:t>
      </w:r>
      <w:r w:rsidR="009C3CC0">
        <w:rPr>
          <w:rFonts w:ascii="Arial" w:hAnsi="Arial" w:cs="Arial"/>
          <w:b/>
        </w:rPr>
        <w:t>L MUNICIPIO DE SAN LUIS POTOSÍ</w:t>
      </w:r>
    </w:p>
    <w:p w:rsidR="00C62944" w:rsidRPr="00434FE7"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r w:rsidRPr="00C62944">
        <w:rPr>
          <w:rFonts w:ascii="Arial" w:hAnsi="Arial" w:cs="Arial"/>
          <w:b/>
          <w:lang w:val="es-MX"/>
        </w:rPr>
        <w:t>PRESENTE.-</w:t>
      </w: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FA099F" w:rsidRDefault="00C62944" w:rsidP="003F4600">
      <w:pPr>
        <w:pStyle w:val="Encabezado"/>
        <w:spacing w:line="360" w:lineRule="auto"/>
        <w:jc w:val="both"/>
        <w:rPr>
          <w:rFonts w:ascii="Arial" w:hAnsi="Arial" w:cs="Arial"/>
        </w:rPr>
      </w:pPr>
      <w:r w:rsidRPr="00C62944">
        <w:rPr>
          <w:rFonts w:ascii="Arial" w:hAnsi="Arial" w:cs="Arial"/>
          <w:lang w:val="es-MX"/>
        </w:rPr>
        <w:t>Por medio del presente hágase del conocimiento que e</w:t>
      </w:r>
      <w:r w:rsidR="0061175E">
        <w:rPr>
          <w:rFonts w:ascii="Arial" w:hAnsi="Arial" w:cs="Arial"/>
          <w:lang w:val="es-MX"/>
        </w:rPr>
        <w:t>n 26 veintiseis de agosto de 2021 dos mil veintiuno</w:t>
      </w:r>
      <w:r w:rsidRPr="00C62944">
        <w:rPr>
          <w:rFonts w:ascii="Arial" w:hAnsi="Arial" w:cs="Arial"/>
          <w:lang w:val="es-MX"/>
        </w:rPr>
        <w:t xml:space="preserve">, se dictó un proveído dentro de los autos que integran el recurso de revisión </w:t>
      </w:r>
      <w:r w:rsidRPr="00C62944">
        <w:rPr>
          <w:rFonts w:ascii="Arial" w:hAnsi="Arial" w:cs="Arial"/>
          <w:b/>
          <w:lang w:val="es-MX"/>
        </w:rPr>
        <w:t>RR-</w:t>
      </w:r>
      <w:r w:rsidR="009C3CC0">
        <w:rPr>
          <w:rFonts w:ascii="Arial" w:hAnsi="Arial" w:cs="Arial"/>
          <w:b/>
          <w:lang w:val="es-MX"/>
        </w:rPr>
        <w:t>878</w:t>
      </w:r>
      <w:r w:rsidR="00117BC3">
        <w:rPr>
          <w:rFonts w:ascii="Arial" w:hAnsi="Arial" w:cs="Arial"/>
          <w:b/>
          <w:lang w:val="es-MX"/>
        </w:rPr>
        <w:t>/20</w:t>
      </w:r>
      <w:r w:rsidR="009C3CC0">
        <w:rPr>
          <w:rFonts w:ascii="Arial" w:hAnsi="Arial" w:cs="Arial"/>
          <w:b/>
          <w:lang w:val="es-MX"/>
        </w:rPr>
        <w:t>20</w:t>
      </w:r>
      <w:r w:rsidRPr="00C62944">
        <w:rPr>
          <w:rFonts w:ascii="Arial" w:hAnsi="Arial" w:cs="Arial"/>
          <w:b/>
          <w:lang w:val="es-MX"/>
        </w:rPr>
        <w:t>-1,</w:t>
      </w:r>
      <w:r w:rsidRPr="00C62944">
        <w:rPr>
          <w:rFonts w:ascii="Arial" w:hAnsi="Arial" w:cs="Arial"/>
          <w:bCs/>
        </w:rPr>
        <w:t xml:space="preserve"> mismo que a la letra dice:</w:t>
      </w:r>
      <w:r w:rsidRPr="00C62944">
        <w:rPr>
          <w:rFonts w:ascii="Arial" w:hAnsi="Arial" w:cs="Arial"/>
          <w:i/>
          <w:iCs/>
          <w:color w:val="5B9BD5"/>
        </w:rPr>
        <w:t xml:space="preserve">   </w:t>
      </w:r>
      <w:r w:rsidRPr="00C62944">
        <w:rPr>
          <w:rFonts w:ascii="Arial" w:hAnsi="Arial" w:cs="Arial"/>
        </w:rPr>
        <w:t xml:space="preserve">   </w:t>
      </w:r>
    </w:p>
    <w:p w:rsidR="00C62944" w:rsidRPr="00FA099F" w:rsidRDefault="00C62944" w:rsidP="003F4600">
      <w:pPr>
        <w:pStyle w:val="Encabezado"/>
        <w:spacing w:line="360" w:lineRule="auto"/>
        <w:jc w:val="both"/>
        <w:rPr>
          <w:rFonts w:ascii="Arial" w:hAnsi="Arial" w:cs="Arial"/>
          <w:b/>
          <w:bCs/>
          <w:i/>
          <w:iCs/>
          <w:color w:val="5B9BD5"/>
        </w:rPr>
      </w:pPr>
      <w:r w:rsidRPr="00FA099F">
        <w:rPr>
          <w:rFonts w:ascii="Arial" w:hAnsi="Arial" w:cs="Arial"/>
          <w:b/>
          <w:bCs/>
        </w:rPr>
        <w:t xml:space="preserve">                                                                                                                                        </w:t>
      </w:r>
    </w:p>
    <w:p w:rsidR="00B653F4" w:rsidRDefault="0061175E" w:rsidP="0061175E">
      <w:pPr>
        <w:tabs>
          <w:tab w:val="left" w:pos="6840"/>
        </w:tabs>
        <w:spacing w:line="360" w:lineRule="auto"/>
        <w:outlineLvl w:val="5"/>
        <w:rPr>
          <w:rFonts w:ascii="Arial" w:hAnsi="Arial" w:cs="Arial"/>
          <w:b/>
          <w:bCs/>
          <w:color w:val="4472C4" w:themeColor="accent1"/>
          <w:sz w:val="20"/>
          <w:szCs w:val="20"/>
        </w:rPr>
      </w:pPr>
      <w:r w:rsidRPr="00FA099F">
        <w:rPr>
          <w:rFonts w:ascii="Arial" w:hAnsi="Arial" w:cs="Arial"/>
          <w:b/>
          <w:bCs/>
          <w:color w:val="4472C4" w:themeColor="accent1"/>
          <w:sz w:val="20"/>
          <w:szCs w:val="20"/>
        </w:rPr>
        <w:t>San Luis Potosí, San Luis Potosí, 26 veintiséis de agosto de 2021 dos mil veintiuno.</w:t>
      </w:r>
    </w:p>
    <w:p w:rsidR="009C3CC0" w:rsidRPr="00FA099F" w:rsidRDefault="009C3CC0" w:rsidP="0061175E">
      <w:pPr>
        <w:tabs>
          <w:tab w:val="left" w:pos="6840"/>
        </w:tabs>
        <w:spacing w:line="360" w:lineRule="auto"/>
        <w:outlineLvl w:val="5"/>
        <w:rPr>
          <w:rFonts w:ascii="Arial" w:hAnsi="Arial" w:cs="Arial"/>
          <w:b/>
          <w:bCs/>
          <w:color w:val="4472C4" w:themeColor="accent1"/>
          <w:sz w:val="20"/>
          <w:szCs w:val="20"/>
        </w:rPr>
      </w:pPr>
    </w:p>
    <w:p w:rsidR="009C3CC0" w:rsidRPr="009C3CC0" w:rsidRDefault="009C3CC0" w:rsidP="009C3CC0">
      <w:pPr>
        <w:spacing w:line="360" w:lineRule="auto"/>
        <w:ind w:firstLine="708"/>
        <w:jc w:val="both"/>
        <w:rPr>
          <w:rFonts w:ascii="Arial" w:hAnsi="Arial" w:cs="Arial"/>
          <w:color w:val="4472C4" w:themeColor="accent1"/>
          <w:sz w:val="20"/>
          <w:szCs w:val="20"/>
        </w:rPr>
      </w:pPr>
      <w:r w:rsidRPr="009C3CC0">
        <w:rPr>
          <w:rFonts w:ascii="Arial" w:hAnsi="Arial" w:cs="Arial"/>
          <w:color w:val="4472C4" w:themeColor="accent1"/>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9C3CC0">
        <w:rPr>
          <w:rFonts w:ascii="Arial" w:hAnsi="Arial" w:cs="Arial"/>
          <w:b/>
          <w:bCs/>
          <w:color w:val="4472C4" w:themeColor="accent1"/>
          <w:sz w:val="20"/>
          <w:szCs w:val="20"/>
          <w:u w:val="single"/>
        </w:rPr>
        <w:t>878/2020-1</w:t>
      </w:r>
      <w:r w:rsidRPr="009C3CC0">
        <w:rPr>
          <w:rFonts w:ascii="Arial" w:hAnsi="Arial" w:cs="Arial"/>
          <w:color w:val="4472C4" w:themeColor="accent1"/>
          <w:sz w:val="20"/>
          <w:szCs w:val="20"/>
        </w:rPr>
        <w:t>.</w:t>
      </w:r>
    </w:p>
    <w:p w:rsidR="009C3CC0" w:rsidRPr="009C3CC0" w:rsidRDefault="009C3CC0" w:rsidP="009C3CC0">
      <w:pPr>
        <w:spacing w:line="360" w:lineRule="auto"/>
        <w:ind w:firstLine="708"/>
        <w:jc w:val="both"/>
        <w:rPr>
          <w:rFonts w:ascii="Arial" w:hAnsi="Arial" w:cs="Arial"/>
          <w:color w:val="4472C4" w:themeColor="accent1"/>
          <w:sz w:val="20"/>
          <w:szCs w:val="20"/>
        </w:rPr>
      </w:pPr>
    </w:p>
    <w:p w:rsidR="009C3CC0" w:rsidRPr="009C3CC0" w:rsidRDefault="009C3CC0" w:rsidP="009C3CC0">
      <w:pPr>
        <w:spacing w:line="360" w:lineRule="auto"/>
        <w:ind w:firstLine="708"/>
        <w:jc w:val="both"/>
        <w:rPr>
          <w:rFonts w:ascii="Arial" w:hAnsi="Arial" w:cs="Arial"/>
          <w:color w:val="4472C4" w:themeColor="accent1"/>
          <w:sz w:val="20"/>
          <w:szCs w:val="20"/>
        </w:rPr>
      </w:pPr>
      <w:r w:rsidRPr="009C3CC0">
        <w:rPr>
          <w:rFonts w:ascii="Arial" w:hAnsi="Arial" w:cs="Arial"/>
          <w:color w:val="4472C4" w:themeColor="accent1"/>
          <w:sz w:val="20"/>
          <w:szCs w:val="20"/>
        </w:rPr>
        <w:t>En primer término, resulta necesario insertar los efectos dictados en la resolución:</w:t>
      </w:r>
    </w:p>
    <w:p w:rsidR="009C3CC0" w:rsidRPr="009C3CC0" w:rsidRDefault="009C3CC0" w:rsidP="009C3CC0">
      <w:pPr>
        <w:pStyle w:val="corte4fondo"/>
        <w:tabs>
          <w:tab w:val="left" w:pos="567"/>
        </w:tabs>
        <w:rPr>
          <w:rFonts w:cs="Arial"/>
          <w:i/>
          <w:color w:val="4472C4" w:themeColor="accent1"/>
          <w:sz w:val="20"/>
        </w:rPr>
      </w:pPr>
    </w:p>
    <w:p w:rsidR="009C3CC0" w:rsidRPr="009C3CC0" w:rsidRDefault="009C3CC0" w:rsidP="009C3CC0">
      <w:pPr>
        <w:pStyle w:val="corte4fondo"/>
        <w:tabs>
          <w:tab w:val="left" w:pos="567"/>
        </w:tabs>
        <w:jc w:val="left"/>
        <w:rPr>
          <w:rFonts w:cs="Arial"/>
          <w:b/>
          <w:bCs/>
          <w:i/>
          <w:color w:val="4472C4" w:themeColor="accent1"/>
          <w:sz w:val="20"/>
        </w:rPr>
      </w:pPr>
      <w:r w:rsidRPr="009C3CC0">
        <w:rPr>
          <w:rFonts w:cs="Arial"/>
          <w:b/>
          <w:bCs/>
          <w:i/>
          <w:color w:val="4472C4" w:themeColor="accent1"/>
          <w:sz w:val="20"/>
        </w:rPr>
        <w:t>“[…] 6.1 Efectos de esta resolución.</w:t>
      </w:r>
      <w:r w:rsidRPr="009C3CC0">
        <w:rPr>
          <w:rFonts w:cs="Arial"/>
          <w:b/>
          <w:bCs/>
          <w:i/>
          <w:iCs/>
          <w:color w:val="4472C4" w:themeColor="accent1"/>
          <w:sz w:val="20"/>
        </w:rPr>
        <w:t xml:space="preserve"> </w:t>
      </w:r>
    </w:p>
    <w:p w:rsidR="009C3CC0" w:rsidRPr="009C3CC0" w:rsidRDefault="009C3CC0" w:rsidP="009C3CC0">
      <w:pPr>
        <w:pStyle w:val="corte4fondo"/>
        <w:tabs>
          <w:tab w:val="left" w:pos="567"/>
        </w:tabs>
        <w:rPr>
          <w:rFonts w:cs="Arial"/>
          <w:i/>
          <w:iCs/>
          <w:color w:val="4472C4" w:themeColor="accent1"/>
          <w:sz w:val="20"/>
        </w:rPr>
      </w:pPr>
      <w:r w:rsidRPr="009C3CC0">
        <w:rPr>
          <w:rFonts w:cs="Arial"/>
          <w:i/>
          <w:iCs/>
          <w:color w:val="4472C4" w:themeColor="accent1"/>
          <w:sz w:val="20"/>
        </w:rPr>
        <w:t xml:space="preserve">Por las consideraciones expuestas, esta Comisión Estatal de Garantía de Acceso a la Información Pública de conformidad con el artículo 175, fracción III de la Ley de Transparencia del Estado </w:t>
      </w:r>
      <w:r w:rsidRPr="009C3CC0">
        <w:rPr>
          <w:rFonts w:cs="Arial"/>
          <w:b/>
          <w:bCs/>
          <w:i/>
          <w:iCs/>
          <w:color w:val="4472C4" w:themeColor="accent1"/>
          <w:sz w:val="20"/>
        </w:rPr>
        <w:t>MODIFICA</w:t>
      </w:r>
      <w:r w:rsidRPr="009C3CC0">
        <w:rPr>
          <w:rFonts w:cs="Arial"/>
          <w:i/>
          <w:iCs/>
          <w:color w:val="4472C4" w:themeColor="accent1"/>
          <w:sz w:val="20"/>
        </w:rPr>
        <w:t xml:space="preserve"> la respuesta proporcionada por el ente obligado y lo conmina para que:</w:t>
      </w:r>
    </w:p>
    <w:p w:rsidR="009C3CC0" w:rsidRPr="009C3CC0" w:rsidRDefault="009C3CC0" w:rsidP="009C3CC0">
      <w:pPr>
        <w:pStyle w:val="corte4fondo"/>
        <w:tabs>
          <w:tab w:val="left" w:pos="567"/>
        </w:tabs>
        <w:rPr>
          <w:rFonts w:cs="Arial"/>
          <w:i/>
          <w:iCs/>
          <w:color w:val="4472C4" w:themeColor="accent1"/>
          <w:sz w:val="20"/>
        </w:rPr>
      </w:pPr>
    </w:p>
    <w:p w:rsidR="009C3CC0" w:rsidRPr="009C3CC0" w:rsidRDefault="009C3CC0" w:rsidP="009C3CC0">
      <w:pPr>
        <w:pStyle w:val="corte4fondo"/>
        <w:tabs>
          <w:tab w:val="left" w:pos="567"/>
        </w:tabs>
        <w:rPr>
          <w:rFonts w:cs="Arial"/>
          <w:i/>
          <w:iCs/>
          <w:color w:val="4472C4" w:themeColor="accent1"/>
          <w:sz w:val="20"/>
        </w:rPr>
      </w:pPr>
      <w:r w:rsidRPr="009C3CC0">
        <w:rPr>
          <w:rFonts w:cs="Arial"/>
          <w:b/>
          <w:bCs/>
          <w:i/>
          <w:iCs/>
          <w:color w:val="4472C4" w:themeColor="accent1"/>
          <w:sz w:val="20"/>
        </w:rPr>
        <w:t>6.1.1</w:t>
      </w:r>
      <w:r w:rsidRPr="009C3CC0">
        <w:rPr>
          <w:rFonts w:cs="Arial"/>
          <w:i/>
          <w:iCs/>
          <w:color w:val="4472C4" w:themeColor="accent1"/>
          <w:sz w:val="20"/>
        </w:rPr>
        <w:t xml:space="preserve"> El Director de Comunicación Social proporcione al particular los documentos en formato Excel relativos a la fracción 84 fracción XXIX inciso B de los meses de noviembre y diciembre del año 2019 dos mil diecinueve.</w:t>
      </w:r>
    </w:p>
    <w:p w:rsidR="009C3CC0" w:rsidRPr="009C3CC0" w:rsidRDefault="009C3CC0" w:rsidP="009C3CC0">
      <w:pPr>
        <w:pStyle w:val="corte4fondo"/>
        <w:tabs>
          <w:tab w:val="left" w:pos="567"/>
        </w:tabs>
        <w:rPr>
          <w:rFonts w:cs="Arial"/>
          <w:i/>
          <w:iCs/>
          <w:color w:val="4472C4" w:themeColor="accent1"/>
          <w:sz w:val="20"/>
        </w:rPr>
      </w:pPr>
    </w:p>
    <w:p w:rsidR="009C3CC0" w:rsidRPr="009C3CC0" w:rsidRDefault="009C3CC0" w:rsidP="009C3CC0">
      <w:pPr>
        <w:spacing w:line="360" w:lineRule="auto"/>
        <w:ind w:firstLine="708"/>
        <w:jc w:val="both"/>
        <w:rPr>
          <w:rFonts w:ascii="Arial" w:hAnsi="Arial" w:cs="Arial"/>
          <w:color w:val="4472C4" w:themeColor="accent1"/>
          <w:sz w:val="20"/>
          <w:szCs w:val="20"/>
        </w:rPr>
      </w:pPr>
      <w:r w:rsidRPr="009C3CC0">
        <w:rPr>
          <w:rFonts w:ascii="Arial" w:hAnsi="Arial" w:cs="Arial"/>
          <w:color w:val="4472C4" w:themeColor="accent1"/>
          <w:sz w:val="20"/>
          <w:szCs w:val="20"/>
        </w:rPr>
        <w:t>En consecuencia, el sujeto obligado por conducto del Titular de la Unidad de Transparencia presentó el oficio UT-0397/2021, recibido en la oficialía de partes de este cuerpo colegiado el 02 dos de marzo de 2021 dos mil veintiuno, junto con 4 anexos, donde informa sobre el cumplimiento al resolutivo.</w:t>
      </w:r>
    </w:p>
    <w:p w:rsidR="009C3CC0" w:rsidRPr="009C3CC0" w:rsidRDefault="009C3CC0" w:rsidP="009C3CC0">
      <w:pPr>
        <w:spacing w:line="360" w:lineRule="auto"/>
        <w:jc w:val="both"/>
        <w:rPr>
          <w:rFonts w:ascii="Arial" w:hAnsi="Arial" w:cs="Arial"/>
          <w:color w:val="4472C4" w:themeColor="accent1"/>
          <w:sz w:val="20"/>
          <w:szCs w:val="20"/>
          <w:highlight w:val="yellow"/>
        </w:rPr>
      </w:pPr>
    </w:p>
    <w:p w:rsidR="009C3CC0" w:rsidRPr="009C3CC0" w:rsidRDefault="009C3CC0" w:rsidP="009C3CC0">
      <w:pPr>
        <w:pStyle w:val="corte4fondo"/>
        <w:tabs>
          <w:tab w:val="left" w:pos="567"/>
        </w:tabs>
        <w:rPr>
          <w:rFonts w:cs="Arial"/>
          <w:color w:val="4472C4" w:themeColor="accent1"/>
          <w:sz w:val="20"/>
        </w:rPr>
      </w:pPr>
      <w:r w:rsidRPr="009C3CC0">
        <w:rPr>
          <w:rFonts w:cs="Arial"/>
          <w:color w:val="4472C4" w:themeColor="accent1"/>
          <w:sz w:val="20"/>
        </w:rPr>
        <w:t>Ahora bien, para efecto del presente estudio es importante revisar contenido de los anexos del oficio UT-0397/2021 (visibles a fojas 69 a 78 de autos), mismos que comprenden:</w:t>
      </w:r>
    </w:p>
    <w:p w:rsidR="009C3CC0" w:rsidRPr="009C3CC0" w:rsidRDefault="009C3CC0" w:rsidP="009C3CC0">
      <w:pPr>
        <w:pStyle w:val="corte4fondo"/>
        <w:tabs>
          <w:tab w:val="left" w:pos="567"/>
        </w:tabs>
        <w:rPr>
          <w:rFonts w:cs="Arial"/>
          <w:color w:val="4472C4" w:themeColor="accent1"/>
          <w:sz w:val="20"/>
        </w:rPr>
      </w:pPr>
    </w:p>
    <w:p w:rsidR="009C3CC0" w:rsidRPr="009C3CC0" w:rsidRDefault="009C3CC0" w:rsidP="009C3CC0">
      <w:pPr>
        <w:pStyle w:val="corte4fondo"/>
        <w:numPr>
          <w:ilvl w:val="0"/>
          <w:numId w:val="5"/>
        </w:numPr>
        <w:tabs>
          <w:tab w:val="left" w:pos="567"/>
        </w:tabs>
        <w:rPr>
          <w:rFonts w:cs="Arial"/>
          <w:color w:val="4472C4" w:themeColor="accent1"/>
          <w:sz w:val="20"/>
        </w:rPr>
      </w:pPr>
      <w:bookmarkStart w:id="1" w:name="_Hlk524514729"/>
      <w:r w:rsidRPr="009C3CC0">
        <w:rPr>
          <w:rFonts w:cs="Arial"/>
          <w:color w:val="4472C4" w:themeColor="accent1"/>
          <w:sz w:val="20"/>
        </w:rPr>
        <w:t>Oficio número U.T. 0325/2021 de fecha 22 veintidós de febrero de 2021 dos mil veintiuno, signado por la Titular de la Unidad de Transparencia.</w:t>
      </w:r>
    </w:p>
    <w:p w:rsidR="009C3CC0" w:rsidRPr="009C3CC0" w:rsidRDefault="009C3CC0" w:rsidP="009C3CC0">
      <w:pPr>
        <w:pStyle w:val="corte4fondo"/>
        <w:numPr>
          <w:ilvl w:val="0"/>
          <w:numId w:val="5"/>
        </w:numPr>
        <w:tabs>
          <w:tab w:val="left" w:pos="567"/>
        </w:tabs>
        <w:rPr>
          <w:rFonts w:cs="Arial"/>
          <w:color w:val="4472C4" w:themeColor="accent1"/>
          <w:sz w:val="20"/>
        </w:rPr>
      </w:pPr>
      <w:r w:rsidRPr="009C3CC0">
        <w:rPr>
          <w:rFonts w:cs="Arial"/>
          <w:color w:val="4472C4" w:themeColor="accent1"/>
          <w:sz w:val="20"/>
        </w:rPr>
        <w:lastRenderedPageBreak/>
        <w:t>Oficio número CS/CA/85/2021 de fecha 23 veintitrés de febrero de 2021 dos mil veintiuno, signado por el Director de Comunicación Social.</w:t>
      </w:r>
    </w:p>
    <w:p w:rsidR="009C3CC0" w:rsidRPr="009C3CC0" w:rsidRDefault="009C3CC0" w:rsidP="009C3CC0">
      <w:pPr>
        <w:pStyle w:val="corte4fondo"/>
        <w:numPr>
          <w:ilvl w:val="0"/>
          <w:numId w:val="5"/>
        </w:numPr>
        <w:tabs>
          <w:tab w:val="left" w:pos="567"/>
        </w:tabs>
        <w:rPr>
          <w:rFonts w:cs="Arial"/>
          <w:color w:val="4472C4" w:themeColor="accent1"/>
          <w:sz w:val="20"/>
        </w:rPr>
      </w:pPr>
      <w:r w:rsidRPr="009C3CC0">
        <w:rPr>
          <w:rFonts w:cs="Arial"/>
          <w:color w:val="4472C4" w:themeColor="accent1"/>
          <w:sz w:val="20"/>
        </w:rPr>
        <w:t>Copia certificada de correo electrónico enviado a la dirección electrónica del recurrente.</w:t>
      </w:r>
      <w:bookmarkEnd w:id="1"/>
    </w:p>
    <w:p w:rsidR="009C3CC0" w:rsidRPr="009C3CC0" w:rsidRDefault="009C3CC0" w:rsidP="009C3CC0">
      <w:pPr>
        <w:pStyle w:val="corte4fondo"/>
        <w:numPr>
          <w:ilvl w:val="0"/>
          <w:numId w:val="5"/>
        </w:numPr>
        <w:tabs>
          <w:tab w:val="left" w:pos="567"/>
        </w:tabs>
        <w:rPr>
          <w:rFonts w:cs="Arial"/>
          <w:color w:val="4472C4" w:themeColor="accent1"/>
          <w:sz w:val="20"/>
        </w:rPr>
      </w:pPr>
      <w:r w:rsidRPr="009C3CC0">
        <w:rPr>
          <w:rFonts w:cs="Arial"/>
          <w:color w:val="4472C4" w:themeColor="accent1"/>
          <w:sz w:val="20"/>
        </w:rPr>
        <w:t>Dispositivo CD-ROM con la información enviada al recurrente.</w:t>
      </w:r>
    </w:p>
    <w:p w:rsidR="009C3CC0" w:rsidRPr="009C3CC0" w:rsidRDefault="009C3CC0" w:rsidP="009C3CC0">
      <w:pPr>
        <w:pStyle w:val="corte4fondo"/>
        <w:tabs>
          <w:tab w:val="left" w:pos="567"/>
        </w:tabs>
        <w:rPr>
          <w:rFonts w:cs="Arial"/>
          <w:color w:val="4472C4" w:themeColor="accent1"/>
          <w:sz w:val="20"/>
        </w:rPr>
      </w:pPr>
    </w:p>
    <w:p w:rsidR="009C3CC0" w:rsidRPr="009C3CC0" w:rsidRDefault="009C3CC0" w:rsidP="009C3CC0">
      <w:pPr>
        <w:pStyle w:val="corte4fondo"/>
        <w:tabs>
          <w:tab w:val="left" w:pos="567"/>
        </w:tabs>
        <w:rPr>
          <w:rFonts w:cs="Arial"/>
          <w:color w:val="4472C4" w:themeColor="accent1"/>
          <w:sz w:val="20"/>
        </w:rPr>
      </w:pPr>
      <w:r w:rsidRPr="009C3CC0">
        <w:rPr>
          <w:rFonts w:cs="Arial"/>
          <w:color w:val="4472C4" w:themeColor="accent1"/>
          <w:sz w:val="20"/>
        </w:rPr>
        <w:t>Ahora bien, para efecto del presente estudio es importante revisar contenido de los anexos y escritos aportados por el sujeto obligado, mismos que comprenden la gestión realizada por el Titular de la Unidad de Transparencia para dar cumplimiento a la resolución dictada 21 veintiuno de octubre de 2020 dos mil veinte.</w:t>
      </w:r>
    </w:p>
    <w:p w:rsidR="009C3CC0" w:rsidRPr="009C3CC0" w:rsidRDefault="009C3CC0" w:rsidP="009C3CC0">
      <w:pPr>
        <w:pStyle w:val="corte4fondo"/>
        <w:tabs>
          <w:tab w:val="left" w:pos="567"/>
        </w:tabs>
        <w:ind w:firstLine="0"/>
        <w:rPr>
          <w:rFonts w:cs="Arial"/>
          <w:color w:val="4472C4" w:themeColor="accent1"/>
          <w:sz w:val="20"/>
        </w:rPr>
      </w:pPr>
    </w:p>
    <w:p w:rsidR="009C3CC0" w:rsidRPr="009C3CC0" w:rsidRDefault="009C3CC0" w:rsidP="009C3CC0">
      <w:pPr>
        <w:pStyle w:val="corte4fondo"/>
        <w:tabs>
          <w:tab w:val="left" w:pos="567"/>
        </w:tabs>
        <w:ind w:firstLine="0"/>
        <w:rPr>
          <w:rFonts w:cs="Arial"/>
          <w:color w:val="4472C4" w:themeColor="accent1"/>
          <w:sz w:val="20"/>
        </w:rPr>
      </w:pPr>
      <w:r w:rsidRPr="009C3CC0">
        <w:rPr>
          <w:rFonts w:cs="Arial"/>
          <w:color w:val="4472C4" w:themeColor="accent1"/>
          <w:sz w:val="20"/>
        </w:rPr>
        <w:tab/>
        <w:t>En lo referente al anexo oficio U.T. 0325/2021 y CS/CA/85/2021, se puede advertir que consisten en la gestión realizada por la titular de la Unidad de Transparencia así como, la respuesta emitida por el Director de Comunicación Social.</w:t>
      </w:r>
    </w:p>
    <w:p w:rsidR="009C3CC0" w:rsidRPr="009C3CC0" w:rsidRDefault="009C3CC0" w:rsidP="009C3CC0">
      <w:pPr>
        <w:pStyle w:val="corte4fondo"/>
        <w:tabs>
          <w:tab w:val="left" w:pos="567"/>
        </w:tabs>
        <w:ind w:firstLine="0"/>
        <w:rPr>
          <w:rFonts w:cs="Arial"/>
          <w:color w:val="4472C4" w:themeColor="accent1"/>
          <w:sz w:val="20"/>
        </w:rPr>
      </w:pPr>
    </w:p>
    <w:p w:rsidR="009C3CC0" w:rsidRPr="009C3CC0" w:rsidRDefault="009C3CC0" w:rsidP="009C3CC0">
      <w:pPr>
        <w:pStyle w:val="corte4fondo"/>
        <w:tabs>
          <w:tab w:val="left" w:pos="567"/>
        </w:tabs>
        <w:ind w:firstLine="0"/>
        <w:rPr>
          <w:rFonts w:cs="Arial"/>
          <w:color w:val="4472C4" w:themeColor="accent1"/>
          <w:sz w:val="20"/>
        </w:rPr>
      </w:pPr>
      <w:r w:rsidRPr="009C3CC0">
        <w:rPr>
          <w:rFonts w:cs="Arial"/>
          <w:color w:val="4472C4" w:themeColor="accent1"/>
          <w:sz w:val="20"/>
        </w:rPr>
        <w:tab/>
        <w:t xml:space="preserve">El sujeto obligado remite a esta comisión oficio número CS/CA/85/2021 de fecha 23 veintitrés de febrero de 2021 dos mil veintiuno, signado por el Director de Comunicación Social mediante el cual el pretende dar contestación al recurrente. Dicha respuesta se encuentra debidamente fundada, motivada y se encuentra visible a fojas 71 a 75 de autos. </w:t>
      </w:r>
    </w:p>
    <w:p w:rsidR="009C3CC0" w:rsidRPr="009C3CC0" w:rsidRDefault="009C3CC0" w:rsidP="009C3CC0">
      <w:pPr>
        <w:pStyle w:val="corte4fondo"/>
        <w:tabs>
          <w:tab w:val="left" w:pos="567"/>
        </w:tabs>
        <w:ind w:firstLine="0"/>
        <w:rPr>
          <w:rFonts w:cs="Arial"/>
          <w:color w:val="4472C4" w:themeColor="accent1"/>
          <w:sz w:val="20"/>
        </w:rPr>
      </w:pPr>
      <w:r w:rsidRPr="009C3CC0">
        <w:rPr>
          <w:rFonts w:cs="Arial"/>
          <w:color w:val="4472C4" w:themeColor="accent1"/>
          <w:sz w:val="20"/>
        </w:rPr>
        <w:t xml:space="preserve">Para complementar y darle probidad a su respuesta el sujeto obligado adjunta un dispositivo electrónico CD-ROM el cual contiene lo siguiente: </w:t>
      </w:r>
    </w:p>
    <w:p w:rsidR="009C3CC0" w:rsidRPr="009C3CC0" w:rsidRDefault="009C3CC0" w:rsidP="009C3CC0">
      <w:pPr>
        <w:pStyle w:val="corte4fondo"/>
        <w:tabs>
          <w:tab w:val="left" w:pos="567"/>
        </w:tabs>
        <w:ind w:firstLine="0"/>
        <w:rPr>
          <w:rFonts w:cs="Arial"/>
          <w:color w:val="4472C4" w:themeColor="accent1"/>
          <w:sz w:val="20"/>
        </w:rPr>
      </w:pPr>
      <w:r w:rsidRPr="009C3CC0">
        <w:rPr>
          <w:rFonts w:cs="Arial"/>
          <w:noProof/>
          <w:color w:val="4472C4" w:themeColor="accent1"/>
          <w:sz w:val="20"/>
        </w:rPr>
        <w:drawing>
          <wp:inline distT="0" distB="0" distL="0" distR="0" wp14:anchorId="72719171" wp14:editId="09E59643">
            <wp:extent cx="5431790" cy="1524000"/>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a de pantalla 2021-08-30 a la(s) 14.12.28.png"/>
                    <pic:cNvPicPr/>
                  </pic:nvPicPr>
                  <pic:blipFill>
                    <a:blip r:embed="rId8">
                      <a:extLst>
                        <a:ext uri="{28A0092B-C50C-407E-A947-70E740481C1C}">
                          <a14:useLocalDpi xmlns:a14="http://schemas.microsoft.com/office/drawing/2010/main" val="0"/>
                        </a:ext>
                      </a:extLst>
                    </a:blip>
                    <a:stretch>
                      <a:fillRect/>
                    </a:stretch>
                  </pic:blipFill>
                  <pic:spPr>
                    <a:xfrm>
                      <a:off x="0" y="0"/>
                      <a:ext cx="5431790" cy="1524000"/>
                    </a:xfrm>
                    <a:prstGeom prst="rect">
                      <a:avLst/>
                    </a:prstGeom>
                  </pic:spPr>
                </pic:pic>
              </a:graphicData>
            </a:graphic>
          </wp:inline>
        </w:drawing>
      </w:r>
    </w:p>
    <w:p w:rsidR="009C3CC0" w:rsidRPr="009C3CC0" w:rsidRDefault="009C3CC0" w:rsidP="009C3CC0">
      <w:pPr>
        <w:pStyle w:val="corte4fondo"/>
        <w:tabs>
          <w:tab w:val="left" w:pos="567"/>
        </w:tabs>
        <w:ind w:firstLine="0"/>
        <w:rPr>
          <w:rFonts w:cs="Arial"/>
          <w:color w:val="4472C4" w:themeColor="accent1"/>
          <w:sz w:val="20"/>
        </w:rPr>
      </w:pPr>
    </w:p>
    <w:p w:rsidR="009C3CC0" w:rsidRPr="009C3CC0" w:rsidRDefault="009C3CC0" w:rsidP="009C3CC0">
      <w:pPr>
        <w:pStyle w:val="corte4fondo"/>
        <w:numPr>
          <w:ilvl w:val="0"/>
          <w:numId w:val="17"/>
        </w:numPr>
        <w:tabs>
          <w:tab w:val="left" w:pos="567"/>
        </w:tabs>
        <w:rPr>
          <w:rFonts w:cs="Arial"/>
          <w:color w:val="4472C4" w:themeColor="accent1"/>
          <w:sz w:val="20"/>
        </w:rPr>
      </w:pPr>
      <w:r w:rsidRPr="009C3CC0">
        <w:rPr>
          <w:rFonts w:cs="Arial"/>
          <w:color w:val="4472C4" w:themeColor="accent1"/>
          <w:sz w:val="20"/>
        </w:rPr>
        <w:t>Archivo de nombre “copia digital comunicación social” en formato .pdf el cual consta de la versión digitalizada del anexo 02 del presente.</w:t>
      </w:r>
    </w:p>
    <w:p w:rsidR="009C3CC0" w:rsidRPr="009C3CC0" w:rsidRDefault="009C3CC0" w:rsidP="009C3CC0">
      <w:pPr>
        <w:pStyle w:val="corte4fondo"/>
        <w:numPr>
          <w:ilvl w:val="0"/>
          <w:numId w:val="17"/>
        </w:numPr>
        <w:tabs>
          <w:tab w:val="left" w:pos="567"/>
        </w:tabs>
        <w:rPr>
          <w:rFonts w:cs="Arial"/>
          <w:color w:val="4472C4" w:themeColor="accent1"/>
          <w:sz w:val="20"/>
        </w:rPr>
      </w:pPr>
      <w:r w:rsidRPr="009C3CC0">
        <w:rPr>
          <w:rFonts w:cs="Arial"/>
          <w:color w:val="4472C4" w:themeColor="accent1"/>
          <w:sz w:val="20"/>
        </w:rPr>
        <w:t xml:space="preserve">Archivo de nombre “datos abiertos comunicación social” en formato .doc el consta de la versión digitalizada del anexo 01 del presente </w:t>
      </w:r>
    </w:p>
    <w:p w:rsidR="009C3CC0" w:rsidRPr="009C3CC0" w:rsidRDefault="009C3CC0" w:rsidP="009C3CC0">
      <w:pPr>
        <w:pStyle w:val="corte4fondo"/>
        <w:numPr>
          <w:ilvl w:val="0"/>
          <w:numId w:val="17"/>
        </w:numPr>
        <w:tabs>
          <w:tab w:val="left" w:pos="567"/>
        </w:tabs>
        <w:rPr>
          <w:rFonts w:cs="Arial"/>
          <w:color w:val="4472C4" w:themeColor="accent1"/>
          <w:sz w:val="20"/>
        </w:rPr>
      </w:pPr>
      <w:r w:rsidRPr="009C3CC0">
        <w:rPr>
          <w:rFonts w:cs="Arial"/>
          <w:color w:val="4472C4" w:themeColor="accent1"/>
          <w:sz w:val="20"/>
        </w:rPr>
        <w:t>Archivos en formato .xlsx los cuales contienen los formatos relativos a la fracción 84 fracción XXIX inciso B de los meses de noviembre y diciembre de 2019.</w:t>
      </w:r>
    </w:p>
    <w:p w:rsidR="009C3CC0" w:rsidRPr="009C3CC0" w:rsidRDefault="009C3CC0" w:rsidP="009C3CC0">
      <w:pPr>
        <w:pStyle w:val="corte4fondo"/>
        <w:tabs>
          <w:tab w:val="left" w:pos="567"/>
        </w:tabs>
        <w:ind w:firstLine="0"/>
        <w:rPr>
          <w:rFonts w:cs="Arial"/>
          <w:color w:val="4472C4" w:themeColor="accent1"/>
          <w:sz w:val="20"/>
        </w:rPr>
      </w:pPr>
    </w:p>
    <w:p w:rsidR="009C3CC0" w:rsidRPr="009C3CC0" w:rsidRDefault="009C3CC0" w:rsidP="009C3CC0">
      <w:pPr>
        <w:pStyle w:val="corte4fondo"/>
        <w:tabs>
          <w:tab w:val="left" w:pos="567"/>
        </w:tabs>
        <w:ind w:firstLine="0"/>
        <w:rPr>
          <w:rFonts w:cs="Arial"/>
          <w:color w:val="4472C4" w:themeColor="accent1"/>
          <w:sz w:val="20"/>
        </w:rPr>
      </w:pPr>
      <w:r w:rsidRPr="009C3CC0">
        <w:rPr>
          <w:rFonts w:cs="Arial"/>
          <w:color w:val="4472C4" w:themeColor="accent1"/>
          <w:sz w:val="20"/>
        </w:rPr>
        <w:tab/>
      </w:r>
      <w:r w:rsidRPr="009C3CC0">
        <w:rPr>
          <w:rFonts w:cs="Arial"/>
          <w:color w:val="4472C4" w:themeColor="accent1"/>
          <w:sz w:val="20"/>
        </w:rPr>
        <w:tab/>
        <w:t xml:space="preserve">Así las cosas, el sujeto obligado también acompañó la constancia que acredita que dichas respuestas fueron notificadas al recurrente por medio de las capturas de pantalla anexadas en las que se muestra la dirección de correo electrónico proporcionado por el recurrente constancias que generan la convicción de que la notificación fue efectuada de manera correcta, ya que el recurrente señaló en su escrito de interposición de su recurso </w:t>
      </w:r>
      <w:r w:rsidRPr="009C3CC0">
        <w:rPr>
          <w:rFonts w:cs="Arial"/>
          <w:color w:val="4472C4" w:themeColor="accent1"/>
          <w:sz w:val="20"/>
        </w:rPr>
        <w:lastRenderedPageBreak/>
        <w:t xml:space="preserve">de revisión que las notificaciones fueran practicadas por ese medio. (visible en fojas 76 y 77 de autos) </w:t>
      </w:r>
    </w:p>
    <w:p w:rsidR="009C3CC0" w:rsidRPr="009C3CC0" w:rsidRDefault="009C3CC0" w:rsidP="009C3CC0">
      <w:pPr>
        <w:spacing w:line="360" w:lineRule="auto"/>
        <w:ind w:firstLine="680"/>
        <w:jc w:val="both"/>
        <w:rPr>
          <w:rFonts w:ascii="Arial" w:hAnsi="Arial" w:cs="Arial"/>
          <w:color w:val="4472C4" w:themeColor="accent1"/>
          <w:sz w:val="20"/>
          <w:szCs w:val="20"/>
        </w:rPr>
      </w:pPr>
    </w:p>
    <w:p w:rsidR="009C3CC0" w:rsidRPr="009C3CC0" w:rsidRDefault="009C3CC0" w:rsidP="009C3CC0">
      <w:pPr>
        <w:spacing w:line="360" w:lineRule="auto"/>
        <w:ind w:firstLine="680"/>
        <w:jc w:val="both"/>
        <w:rPr>
          <w:rFonts w:ascii="Arial" w:hAnsi="Arial" w:cs="Arial"/>
          <w:color w:val="4472C4" w:themeColor="accent1"/>
          <w:sz w:val="20"/>
          <w:szCs w:val="20"/>
        </w:rPr>
      </w:pPr>
      <w:r w:rsidRPr="009C3CC0">
        <w:rPr>
          <w:rFonts w:ascii="Arial" w:hAnsi="Arial" w:cs="Arial"/>
          <w:color w:val="4472C4" w:themeColor="accent1"/>
          <w:sz w:val="20"/>
          <w:szCs w:val="20"/>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9C3CC0" w:rsidRPr="009C3CC0" w:rsidRDefault="009C3CC0" w:rsidP="009C3CC0">
      <w:pPr>
        <w:spacing w:line="360" w:lineRule="auto"/>
        <w:jc w:val="both"/>
        <w:rPr>
          <w:rFonts w:ascii="Arial" w:hAnsi="Arial" w:cs="Arial"/>
          <w:color w:val="4472C4" w:themeColor="accent1"/>
          <w:sz w:val="20"/>
          <w:szCs w:val="20"/>
        </w:rPr>
      </w:pPr>
    </w:p>
    <w:p w:rsidR="009C3CC0" w:rsidRPr="009C3CC0" w:rsidRDefault="009C3CC0" w:rsidP="009C3CC0">
      <w:pPr>
        <w:spacing w:line="360" w:lineRule="auto"/>
        <w:ind w:firstLine="680"/>
        <w:jc w:val="both"/>
        <w:rPr>
          <w:rFonts w:ascii="Arial" w:hAnsi="Arial" w:cs="Arial"/>
          <w:color w:val="4472C4" w:themeColor="accent1"/>
          <w:sz w:val="20"/>
          <w:szCs w:val="20"/>
        </w:rPr>
      </w:pPr>
      <w:r w:rsidRPr="009C3CC0">
        <w:rPr>
          <w:rFonts w:ascii="Arial" w:hAnsi="Arial" w:cs="Arial"/>
          <w:color w:val="4472C4" w:themeColor="accent1"/>
          <w:sz w:val="20"/>
          <w:szCs w:val="20"/>
        </w:rPr>
        <w:t>De tal suerte, se tiene que las documentales remitidas por el sujeto obligado, son suficientes para colmar los extremos fijados en la resolución de mérito y por tanto se encuentra cumplida.</w:t>
      </w:r>
    </w:p>
    <w:p w:rsidR="009C3CC0" w:rsidRPr="009C3CC0" w:rsidRDefault="009C3CC0" w:rsidP="009C3CC0">
      <w:pPr>
        <w:spacing w:line="360" w:lineRule="auto"/>
        <w:ind w:firstLine="680"/>
        <w:jc w:val="both"/>
        <w:rPr>
          <w:rFonts w:ascii="Arial" w:hAnsi="Arial" w:cs="Arial"/>
          <w:color w:val="4472C4" w:themeColor="accent1"/>
          <w:sz w:val="20"/>
          <w:szCs w:val="20"/>
        </w:rPr>
      </w:pPr>
    </w:p>
    <w:p w:rsidR="009C3CC0" w:rsidRPr="009C3CC0" w:rsidRDefault="009C3CC0" w:rsidP="009C3CC0">
      <w:pPr>
        <w:spacing w:line="360" w:lineRule="auto"/>
        <w:ind w:firstLine="680"/>
        <w:jc w:val="both"/>
        <w:rPr>
          <w:rFonts w:ascii="Arial" w:hAnsi="Arial" w:cs="Arial"/>
          <w:color w:val="4472C4" w:themeColor="accent1"/>
          <w:sz w:val="20"/>
          <w:szCs w:val="20"/>
        </w:rPr>
      </w:pPr>
      <w:r w:rsidRPr="009C3CC0">
        <w:rPr>
          <w:rFonts w:ascii="Arial" w:hAnsi="Arial" w:cs="Arial"/>
          <w:color w:val="4472C4" w:themeColor="accent1"/>
          <w:sz w:val="20"/>
          <w:szCs w:val="20"/>
        </w:rPr>
        <w:t xml:space="preserve">En ese sentido, es dable asentar que no existe constancia alguna agregada a los autos que contravenga las documentales remitidas por el sujeto obligado para acreditar el cumplimiento de la resolución. </w:t>
      </w:r>
    </w:p>
    <w:p w:rsidR="009C3CC0" w:rsidRPr="009C3CC0" w:rsidRDefault="009C3CC0" w:rsidP="009C3CC0">
      <w:pPr>
        <w:spacing w:line="360" w:lineRule="auto"/>
        <w:ind w:firstLine="680"/>
        <w:jc w:val="both"/>
        <w:rPr>
          <w:rFonts w:ascii="Arial" w:hAnsi="Arial" w:cs="Arial"/>
          <w:color w:val="4472C4" w:themeColor="accent1"/>
          <w:sz w:val="20"/>
          <w:szCs w:val="20"/>
        </w:rPr>
      </w:pPr>
    </w:p>
    <w:p w:rsidR="009C3CC0" w:rsidRPr="009C3CC0" w:rsidRDefault="009C3CC0" w:rsidP="009C3CC0">
      <w:pPr>
        <w:spacing w:line="360" w:lineRule="auto"/>
        <w:ind w:firstLine="680"/>
        <w:jc w:val="both"/>
        <w:rPr>
          <w:rFonts w:ascii="Arial" w:hAnsi="Arial" w:cs="Arial"/>
          <w:b/>
          <w:color w:val="4472C4" w:themeColor="accent1"/>
          <w:sz w:val="20"/>
          <w:szCs w:val="20"/>
          <w:u w:val="single"/>
        </w:rPr>
      </w:pPr>
      <w:r w:rsidRPr="009C3CC0">
        <w:rPr>
          <w:rFonts w:ascii="Arial" w:hAnsi="Arial" w:cs="Arial"/>
          <w:color w:val="4472C4" w:themeColor="accent1"/>
          <w:sz w:val="20"/>
          <w:szCs w:val="20"/>
        </w:rPr>
        <w:t xml:space="preserve">En consecuencia, por lo anteriormente expuesto y con fundamento en los artículos 27° primer párrafo y 185 de la Ley de Transparencia y Acceso a la Información Pública del Estado, </w:t>
      </w:r>
      <w:r w:rsidRPr="009C3CC0">
        <w:rPr>
          <w:rFonts w:ascii="Arial" w:hAnsi="Arial" w:cs="Arial"/>
          <w:b/>
          <w:color w:val="4472C4" w:themeColor="accent1"/>
          <w:sz w:val="20"/>
          <w:szCs w:val="20"/>
          <w:u w:val="single"/>
        </w:rPr>
        <w:t xml:space="preserve">se tiene por cumplida la resolución, dictada en el recurso de revisión </w:t>
      </w:r>
      <w:proofErr w:type="spellStart"/>
      <w:r w:rsidRPr="009C3CC0">
        <w:rPr>
          <w:rFonts w:ascii="Arial" w:hAnsi="Arial" w:cs="Arial"/>
          <w:b/>
          <w:color w:val="4472C4" w:themeColor="accent1"/>
          <w:sz w:val="20"/>
          <w:szCs w:val="20"/>
          <w:u w:val="single"/>
        </w:rPr>
        <w:t>RR</w:t>
      </w:r>
      <w:proofErr w:type="spellEnd"/>
      <w:r w:rsidRPr="009C3CC0">
        <w:rPr>
          <w:rFonts w:ascii="Arial" w:hAnsi="Arial" w:cs="Arial"/>
          <w:b/>
          <w:color w:val="4472C4" w:themeColor="accent1"/>
          <w:sz w:val="20"/>
          <w:szCs w:val="20"/>
          <w:u w:val="single"/>
        </w:rPr>
        <w:t>-878/2020-1.</w:t>
      </w:r>
    </w:p>
    <w:p w:rsidR="009C3CC0" w:rsidRPr="009C3CC0" w:rsidRDefault="009C3CC0" w:rsidP="009C3CC0">
      <w:pPr>
        <w:spacing w:line="360" w:lineRule="auto"/>
        <w:ind w:firstLine="680"/>
        <w:jc w:val="both"/>
        <w:rPr>
          <w:rFonts w:ascii="Arial" w:hAnsi="Arial" w:cs="Arial"/>
          <w:b/>
          <w:color w:val="4472C4" w:themeColor="accent1"/>
          <w:sz w:val="20"/>
          <w:szCs w:val="20"/>
          <w:u w:val="single"/>
        </w:rPr>
      </w:pPr>
    </w:p>
    <w:p w:rsidR="009C3CC0" w:rsidRPr="009C3CC0" w:rsidRDefault="009C3CC0" w:rsidP="009C3CC0">
      <w:pPr>
        <w:spacing w:line="360" w:lineRule="auto"/>
        <w:ind w:firstLine="680"/>
        <w:jc w:val="both"/>
        <w:rPr>
          <w:rFonts w:ascii="Arial" w:hAnsi="Arial" w:cs="Arial"/>
          <w:color w:val="4472C4" w:themeColor="accent1"/>
          <w:sz w:val="20"/>
          <w:szCs w:val="20"/>
        </w:rPr>
      </w:pPr>
    </w:p>
    <w:p w:rsidR="009C3CC0" w:rsidRPr="009C3CC0" w:rsidRDefault="009C3CC0" w:rsidP="009C3CC0">
      <w:pPr>
        <w:spacing w:line="360" w:lineRule="auto"/>
        <w:ind w:firstLine="680"/>
        <w:jc w:val="both"/>
        <w:rPr>
          <w:rFonts w:ascii="Arial" w:hAnsi="Arial" w:cs="Arial"/>
          <w:color w:val="4472C4" w:themeColor="accent1"/>
          <w:sz w:val="20"/>
          <w:szCs w:val="20"/>
        </w:rPr>
      </w:pPr>
      <w:r w:rsidRPr="009C3CC0">
        <w:rPr>
          <w:rFonts w:ascii="Arial" w:hAnsi="Arial" w:cs="Arial"/>
          <w:color w:val="4472C4" w:themeColor="accent1"/>
          <w:sz w:val="20"/>
          <w:szCs w:val="20"/>
        </w:rPr>
        <w:t xml:space="preserve"> Por último, archívese en su oportunidad este expediente como asunto totalmente concluido. Notifíquese por lista y personalmente a las partes.</w:t>
      </w:r>
    </w:p>
    <w:p w:rsidR="009C3CC0" w:rsidRPr="009C3CC0" w:rsidRDefault="009C3CC0" w:rsidP="009C3CC0">
      <w:pPr>
        <w:spacing w:line="360" w:lineRule="auto"/>
        <w:ind w:firstLine="680"/>
        <w:jc w:val="both"/>
        <w:rPr>
          <w:rFonts w:ascii="Arial" w:hAnsi="Arial" w:cs="Arial"/>
          <w:color w:val="4472C4" w:themeColor="accent1"/>
          <w:sz w:val="20"/>
          <w:szCs w:val="20"/>
        </w:rPr>
      </w:pPr>
      <w:r w:rsidRPr="009C3CC0">
        <w:rPr>
          <w:rFonts w:ascii="Arial" w:hAnsi="Arial" w:cs="Arial"/>
          <w:color w:val="4472C4" w:themeColor="accent1"/>
          <w:sz w:val="20"/>
          <w:szCs w:val="20"/>
        </w:rPr>
        <w:tab/>
      </w:r>
    </w:p>
    <w:p w:rsidR="009C3CC0" w:rsidRPr="009C3CC0" w:rsidRDefault="009C3CC0" w:rsidP="009C3CC0">
      <w:pPr>
        <w:spacing w:line="360" w:lineRule="auto"/>
        <w:ind w:firstLine="680"/>
        <w:jc w:val="both"/>
        <w:rPr>
          <w:rFonts w:ascii="Arial" w:hAnsi="Arial" w:cs="Arial"/>
          <w:color w:val="4472C4" w:themeColor="accent1"/>
          <w:sz w:val="20"/>
          <w:szCs w:val="20"/>
        </w:rPr>
      </w:pPr>
      <w:r w:rsidRPr="009C3CC0">
        <w:rPr>
          <w:rFonts w:ascii="Arial" w:hAnsi="Arial" w:cs="Arial"/>
          <w:color w:val="4472C4" w:themeColor="accent1"/>
          <w:sz w:val="20"/>
          <w:szCs w:val="20"/>
        </w:rPr>
        <w:t>Así lo proveyó y firma el Comisionado ponente de la Comisión Estatal de Garantía de Acceso a la Información Pública David Enrique Menchaca Zúñiga, que actúa con Licenciada Rosa María Motilla García, Secretaria de Pleno de esta Comisión.</w:t>
      </w:r>
    </w:p>
    <w:p w:rsidR="00963C8E" w:rsidRPr="00963C8E" w:rsidRDefault="00963C8E" w:rsidP="00963C8E">
      <w:pPr>
        <w:tabs>
          <w:tab w:val="left" w:pos="6840"/>
        </w:tabs>
        <w:spacing w:line="360" w:lineRule="auto"/>
        <w:outlineLvl w:val="5"/>
        <w:rPr>
          <w:rFonts w:ascii="Arial" w:hAnsi="Arial" w:cs="Arial"/>
          <w:color w:val="4472C4" w:themeColor="accent1"/>
          <w:sz w:val="20"/>
          <w:szCs w:val="20"/>
        </w:rPr>
      </w:pPr>
    </w:p>
    <w:p w:rsidR="00C62944" w:rsidRDefault="00C62944" w:rsidP="00C62944">
      <w:pPr>
        <w:tabs>
          <w:tab w:val="left" w:pos="6840"/>
        </w:tabs>
        <w:spacing w:line="360" w:lineRule="auto"/>
        <w:outlineLvl w:val="5"/>
        <w:rPr>
          <w:rFonts w:ascii="Arial" w:hAnsi="Arial" w:cs="Arial"/>
        </w:rPr>
      </w:pPr>
    </w:p>
    <w:p w:rsidR="00963C8E" w:rsidRPr="00C62944" w:rsidRDefault="00963C8E" w:rsidP="00C62944">
      <w:pPr>
        <w:tabs>
          <w:tab w:val="left" w:pos="6840"/>
        </w:tabs>
        <w:spacing w:line="360" w:lineRule="auto"/>
        <w:outlineLvl w:val="5"/>
        <w:rPr>
          <w:rFonts w:ascii="Arial" w:hAnsi="Arial" w:cs="Arial"/>
        </w:rPr>
      </w:pPr>
    </w:p>
    <w:p w:rsidR="00C62944" w:rsidRPr="00C62944" w:rsidRDefault="00C62944" w:rsidP="00C62944">
      <w:pPr>
        <w:tabs>
          <w:tab w:val="left" w:pos="932"/>
        </w:tabs>
        <w:spacing w:line="360" w:lineRule="auto"/>
        <w:ind w:firstLine="708"/>
        <w:jc w:val="both"/>
        <w:rPr>
          <w:rFonts w:ascii="Arial" w:hAnsi="Arial" w:cs="Arial"/>
          <w:lang w:val="es-MX"/>
        </w:rPr>
      </w:pPr>
      <w:r w:rsidRPr="00C62944">
        <w:rPr>
          <w:rFonts w:ascii="Arial" w:hAnsi="Arial" w:cs="Arial"/>
          <w:lang w:val="es-MX"/>
        </w:rPr>
        <w:t>Lo que transcribo a Usted para su conocimiento y efectos legales consiguientes en vía de notificación del auto inserto.</w:t>
      </w:r>
    </w:p>
    <w:p w:rsidR="00C62944" w:rsidRPr="00C62944" w:rsidRDefault="00C62944" w:rsidP="00C62944">
      <w:pPr>
        <w:pStyle w:val="NormalWeb"/>
        <w:spacing w:before="0" w:beforeAutospacing="0" w:after="0" w:afterAutospacing="0"/>
        <w:jc w:val="center"/>
        <w:rPr>
          <w:rFonts w:ascii="Arial" w:hAnsi="Arial" w:cs="Arial"/>
          <w:b/>
          <w:lang w:val="es-MX"/>
        </w:rPr>
      </w:pPr>
      <w:r w:rsidRPr="00C62944">
        <w:rPr>
          <w:rFonts w:ascii="Arial" w:hAnsi="Arial" w:cs="Arial"/>
          <w:b/>
          <w:lang w:val="es-MX"/>
        </w:rPr>
        <w:t>Atentamente.</w:t>
      </w: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jc w:val="center"/>
        <w:rPr>
          <w:rFonts w:ascii="Arial" w:hAnsi="Arial" w:cs="Arial"/>
          <w:b/>
        </w:rPr>
      </w:pPr>
      <w:r w:rsidRPr="00C62944">
        <w:rPr>
          <w:rFonts w:ascii="Arial" w:hAnsi="Arial" w:cs="Arial"/>
          <w:b/>
        </w:rPr>
        <w:t>Javier Pérez Limón</w:t>
      </w:r>
    </w:p>
    <w:p w:rsidR="00C62944" w:rsidRPr="00C62944" w:rsidRDefault="00C62944" w:rsidP="00C62944">
      <w:pPr>
        <w:jc w:val="center"/>
      </w:pPr>
      <w:r w:rsidRPr="00C62944">
        <w:rPr>
          <w:rFonts w:ascii="Arial" w:hAnsi="Arial" w:cs="Arial"/>
          <w:b/>
        </w:rPr>
        <w:t>Notificador.</w:t>
      </w:r>
    </w:p>
    <w:p w:rsidR="007316FE" w:rsidRPr="00C62944" w:rsidRDefault="007316FE" w:rsidP="00C62944"/>
    <w:sectPr w:rsidR="007316FE" w:rsidRPr="00C62944" w:rsidSect="0061175E">
      <w:pgSz w:w="12240" w:h="20160" w:code="5"/>
      <w:pgMar w:top="2835" w:right="851" w:bottom="2835"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D376D" w:rsidRDefault="001D376D" w:rsidP="00C13204">
      <w:r>
        <w:separator/>
      </w:r>
    </w:p>
  </w:endnote>
  <w:endnote w:type="continuationSeparator" w:id="0">
    <w:p w:rsidR="001D376D" w:rsidRDefault="001D376D"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D376D" w:rsidRDefault="001D376D" w:rsidP="00C13204">
      <w:r>
        <w:separator/>
      </w:r>
    </w:p>
  </w:footnote>
  <w:footnote w:type="continuationSeparator" w:id="0">
    <w:p w:rsidR="001D376D" w:rsidRDefault="001D376D"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8916569"/>
    <w:multiLevelType w:val="hybridMultilevel"/>
    <w:tmpl w:val="9820B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B47097"/>
    <w:multiLevelType w:val="hybridMultilevel"/>
    <w:tmpl w:val="43EAC2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5"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7"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8"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58C6775B"/>
    <w:multiLevelType w:val="hybridMultilevel"/>
    <w:tmpl w:val="3DD0CBB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62DA2419"/>
    <w:multiLevelType w:val="hybridMultilevel"/>
    <w:tmpl w:val="375659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40B160B"/>
    <w:multiLevelType w:val="hybridMultilevel"/>
    <w:tmpl w:val="8E667BB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7C55204F"/>
    <w:multiLevelType w:val="hybridMultilevel"/>
    <w:tmpl w:val="3C0AD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6"/>
  </w:num>
  <w:num w:numId="4">
    <w:abstractNumId w:val="6"/>
  </w:num>
  <w:num w:numId="5">
    <w:abstractNumId w:val="7"/>
  </w:num>
  <w:num w:numId="6">
    <w:abstractNumId w:val="4"/>
  </w:num>
  <w:num w:numId="7">
    <w:abstractNumId w:val="7"/>
  </w:num>
  <w:num w:numId="8">
    <w:abstractNumId w:val="10"/>
  </w:num>
  <w:num w:numId="9">
    <w:abstractNumId w:val="0"/>
  </w:num>
  <w:num w:numId="10">
    <w:abstractNumId w:val="2"/>
  </w:num>
  <w:num w:numId="11">
    <w:abstractNumId w:val="5"/>
  </w:num>
  <w:num w:numId="12">
    <w:abstractNumId w:val="9"/>
  </w:num>
  <w:num w:numId="13">
    <w:abstractNumId w:val="12"/>
  </w:num>
  <w:num w:numId="14">
    <w:abstractNumId w:val="13"/>
  </w:num>
  <w:num w:numId="15">
    <w:abstractNumId w:val="11"/>
  </w:num>
  <w:num w:numId="16">
    <w:abstractNumId w:val="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mirrorMargins/>
  <w:proofState w:spelling="clean" w:grammar="clean"/>
  <w:attachedTemplate r:id="rId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75E"/>
    <w:rsid w:val="00005FB0"/>
    <w:rsid w:val="00006C1B"/>
    <w:rsid w:val="00007029"/>
    <w:rsid w:val="00010149"/>
    <w:rsid w:val="00016FC6"/>
    <w:rsid w:val="00036F98"/>
    <w:rsid w:val="00037EEF"/>
    <w:rsid w:val="00056B4F"/>
    <w:rsid w:val="00057005"/>
    <w:rsid w:val="00070697"/>
    <w:rsid w:val="00080174"/>
    <w:rsid w:val="00080641"/>
    <w:rsid w:val="00083139"/>
    <w:rsid w:val="00083B21"/>
    <w:rsid w:val="00096E34"/>
    <w:rsid w:val="000A1C72"/>
    <w:rsid w:val="000A3642"/>
    <w:rsid w:val="000B08F0"/>
    <w:rsid w:val="000B50C9"/>
    <w:rsid w:val="000C16D6"/>
    <w:rsid w:val="000C276F"/>
    <w:rsid w:val="000C59B7"/>
    <w:rsid w:val="000D006A"/>
    <w:rsid w:val="000D1616"/>
    <w:rsid w:val="000D365F"/>
    <w:rsid w:val="000D3BE6"/>
    <w:rsid w:val="000D3CB9"/>
    <w:rsid w:val="000D3FD8"/>
    <w:rsid w:val="000E0BE8"/>
    <w:rsid w:val="000E4E47"/>
    <w:rsid w:val="000F2132"/>
    <w:rsid w:val="000F744B"/>
    <w:rsid w:val="0010774C"/>
    <w:rsid w:val="00107C2A"/>
    <w:rsid w:val="001145A8"/>
    <w:rsid w:val="00115386"/>
    <w:rsid w:val="001167F3"/>
    <w:rsid w:val="00117BC3"/>
    <w:rsid w:val="00121EBA"/>
    <w:rsid w:val="00121F0B"/>
    <w:rsid w:val="0012394A"/>
    <w:rsid w:val="00125C6B"/>
    <w:rsid w:val="001265D2"/>
    <w:rsid w:val="00126ABD"/>
    <w:rsid w:val="00130BD3"/>
    <w:rsid w:val="00131CEB"/>
    <w:rsid w:val="00132483"/>
    <w:rsid w:val="00142AE5"/>
    <w:rsid w:val="001526D4"/>
    <w:rsid w:val="00154996"/>
    <w:rsid w:val="00162704"/>
    <w:rsid w:val="00163A02"/>
    <w:rsid w:val="00164840"/>
    <w:rsid w:val="00172378"/>
    <w:rsid w:val="001725EF"/>
    <w:rsid w:val="00176A37"/>
    <w:rsid w:val="001828F2"/>
    <w:rsid w:val="0019501E"/>
    <w:rsid w:val="00195A67"/>
    <w:rsid w:val="001A655A"/>
    <w:rsid w:val="001A65B8"/>
    <w:rsid w:val="001B0B9B"/>
    <w:rsid w:val="001B1110"/>
    <w:rsid w:val="001B4221"/>
    <w:rsid w:val="001B44AC"/>
    <w:rsid w:val="001C2DA0"/>
    <w:rsid w:val="001D2CFB"/>
    <w:rsid w:val="001D376D"/>
    <w:rsid w:val="001D6765"/>
    <w:rsid w:val="001F0E4F"/>
    <w:rsid w:val="001F3096"/>
    <w:rsid w:val="001F4737"/>
    <w:rsid w:val="00200BF6"/>
    <w:rsid w:val="00206519"/>
    <w:rsid w:val="00212A79"/>
    <w:rsid w:val="00212CB3"/>
    <w:rsid w:val="002155C8"/>
    <w:rsid w:val="00217739"/>
    <w:rsid w:val="00217BF6"/>
    <w:rsid w:val="00220223"/>
    <w:rsid w:val="00223637"/>
    <w:rsid w:val="00242BBC"/>
    <w:rsid w:val="002477FF"/>
    <w:rsid w:val="002603DC"/>
    <w:rsid w:val="002653E6"/>
    <w:rsid w:val="002661DE"/>
    <w:rsid w:val="002721C6"/>
    <w:rsid w:val="002763CB"/>
    <w:rsid w:val="0027764E"/>
    <w:rsid w:val="00281751"/>
    <w:rsid w:val="00284222"/>
    <w:rsid w:val="00285C93"/>
    <w:rsid w:val="00293636"/>
    <w:rsid w:val="00293E4F"/>
    <w:rsid w:val="002A3FEF"/>
    <w:rsid w:val="002B4236"/>
    <w:rsid w:val="002D225B"/>
    <w:rsid w:val="002D7989"/>
    <w:rsid w:val="002E1FD1"/>
    <w:rsid w:val="002E3571"/>
    <w:rsid w:val="002E4CC8"/>
    <w:rsid w:val="002E5926"/>
    <w:rsid w:val="002E61DE"/>
    <w:rsid w:val="002F3449"/>
    <w:rsid w:val="002F4C15"/>
    <w:rsid w:val="002F5554"/>
    <w:rsid w:val="003004FC"/>
    <w:rsid w:val="003134DD"/>
    <w:rsid w:val="00314476"/>
    <w:rsid w:val="003155DE"/>
    <w:rsid w:val="003208DD"/>
    <w:rsid w:val="00333677"/>
    <w:rsid w:val="00334416"/>
    <w:rsid w:val="00352E51"/>
    <w:rsid w:val="00357D2F"/>
    <w:rsid w:val="00361496"/>
    <w:rsid w:val="0036534B"/>
    <w:rsid w:val="0037479D"/>
    <w:rsid w:val="0037693F"/>
    <w:rsid w:val="003770E3"/>
    <w:rsid w:val="003771DB"/>
    <w:rsid w:val="00384740"/>
    <w:rsid w:val="00385221"/>
    <w:rsid w:val="00393F06"/>
    <w:rsid w:val="00393FFB"/>
    <w:rsid w:val="00397639"/>
    <w:rsid w:val="003B2619"/>
    <w:rsid w:val="003B6613"/>
    <w:rsid w:val="003C4C01"/>
    <w:rsid w:val="003C5D93"/>
    <w:rsid w:val="003D0ACC"/>
    <w:rsid w:val="003D20D2"/>
    <w:rsid w:val="003D6FE2"/>
    <w:rsid w:val="003E5CD1"/>
    <w:rsid w:val="003E648E"/>
    <w:rsid w:val="003F3277"/>
    <w:rsid w:val="003F4600"/>
    <w:rsid w:val="003F64D8"/>
    <w:rsid w:val="00404055"/>
    <w:rsid w:val="00411ED2"/>
    <w:rsid w:val="00424167"/>
    <w:rsid w:val="004245A3"/>
    <w:rsid w:val="004276B3"/>
    <w:rsid w:val="004327AD"/>
    <w:rsid w:val="00434FE7"/>
    <w:rsid w:val="00457670"/>
    <w:rsid w:val="004578F5"/>
    <w:rsid w:val="004622A7"/>
    <w:rsid w:val="0046261C"/>
    <w:rsid w:val="0047340E"/>
    <w:rsid w:val="00486C8B"/>
    <w:rsid w:val="00487E95"/>
    <w:rsid w:val="00493CF7"/>
    <w:rsid w:val="004A30EC"/>
    <w:rsid w:val="004A72BB"/>
    <w:rsid w:val="004A7BAD"/>
    <w:rsid w:val="004B7B20"/>
    <w:rsid w:val="004C35FC"/>
    <w:rsid w:val="004C6912"/>
    <w:rsid w:val="004D1C99"/>
    <w:rsid w:val="004D25F0"/>
    <w:rsid w:val="004D51F3"/>
    <w:rsid w:val="004E09EC"/>
    <w:rsid w:val="004E171F"/>
    <w:rsid w:val="004E385A"/>
    <w:rsid w:val="004E44EE"/>
    <w:rsid w:val="004F3943"/>
    <w:rsid w:val="004F58C4"/>
    <w:rsid w:val="00503631"/>
    <w:rsid w:val="00503DC7"/>
    <w:rsid w:val="00513682"/>
    <w:rsid w:val="00515D23"/>
    <w:rsid w:val="005273DB"/>
    <w:rsid w:val="005320BF"/>
    <w:rsid w:val="00534CB2"/>
    <w:rsid w:val="00537CAA"/>
    <w:rsid w:val="005436AA"/>
    <w:rsid w:val="00546488"/>
    <w:rsid w:val="0054734F"/>
    <w:rsid w:val="00551D02"/>
    <w:rsid w:val="00552D0C"/>
    <w:rsid w:val="00553176"/>
    <w:rsid w:val="00563168"/>
    <w:rsid w:val="00566772"/>
    <w:rsid w:val="00570C67"/>
    <w:rsid w:val="00586A46"/>
    <w:rsid w:val="005910CD"/>
    <w:rsid w:val="005912F5"/>
    <w:rsid w:val="00596C6E"/>
    <w:rsid w:val="0059784B"/>
    <w:rsid w:val="005A45F5"/>
    <w:rsid w:val="005C6B89"/>
    <w:rsid w:val="005C7060"/>
    <w:rsid w:val="005D0953"/>
    <w:rsid w:val="005D0A1B"/>
    <w:rsid w:val="005D5DF8"/>
    <w:rsid w:val="005D6604"/>
    <w:rsid w:val="005E2C7B"/>
    <w:rsid w:val="005F16CE"/>
    <w:rsid w:val="005F2B6C"/>
    <w:rsid w:val="005F4770"/>
    <w:rsid w:val="0060323F"/>
    <w:rsid w:val="00606B03"/>
    <w:rsid w:val="0061175E"/>
    <w:rsid w:val="006219F9"/>
    <w:rsid w:val="00641145"/>
    <w:rsid w:val="00647CED"/>
    <w:rsid w:val="00650357"/>
    <w:rsid w:val="00653285"/>
    <w:rsid w:val="00653489"/>
    <w:rsid w:val="006538AD"/>
    <w:rsid w:val="00663CAF"/>
    <w:rsid w:val="00670747"/>
    <w:rsid w:val="00671028"/>
    <w:rsid w:val="006729F0"/>
    <w:rsid w:val="00674135"/>
    <w:rsid w:val="0067620A"/>
    <w:rsid w:val="00677DE4"/>
    <w:rsid w:val="0068366B"/>
    <w:rsid w:val="006851BA"/>
    <w:rsid w:val="00694BDB"/>
    <w:rsid w:val="0069593C"/>
    <w:rsid w:val="00697F6B"/>
    <w:rsid w:val="006A04DC"/>
    <w:rsid w:val="006A5FFB"/>
    <w:rsid w:val="006B49CE"/>
    <w:rsid w:val="006B4CB0"/>
    <w:rsid w:val="006B5D93"/>
    <w:rsid w:val="006C04BA"/>
    <w:rsid w:val="006C264A"/>
    <w:rsid w:val="006D30D6"/>
    <w:rsid w:val="006D3763"/>
    <w:rsid w:val="006E0983"/>
    <w:rsid w:val="006E2F63"/>
    <w:rsid w:val="006E4032"/>
    <w:rsid w:val="006E5383"/>
    <w:rsid w:val="006E76DC"/>
    <w:rsid w:val="006E7D35"/>
    <w:rsid w:val="006F5835"/>
    <w:rsid w:val="007024C5"/>
    <w:rsid w:val="0070569D"/>
    <w:rsid w:val="00705ABE"/>
    <w:rsid w:val="00705D36"/>
    <w:rsid w:val="007074E3"/>
    <w:rsid w:val="0071796E"/>
    <w:rsid w:val="007217FA"/>
    <w:rsid w:val="00725C2A"/>
    <w:rsid w:val="007279EA"/>
    <w:rsid w:val="007316FE"/>
    <w:rsid w:val="00742CC9"/>
    <w:rsid w:val="007449AF"/>
    <w:rsid w:val="00752B6A"/>
    <w:rsid w:val="00752B94"/>
    <w:rsid w:val="0075391E"/>
    <w:rsid w:val="0075582C"/>
    <w:rsid w:val="0077438C"/>
    <w:rsid w:val="00782A7B"/>
    <w:rsid w:val="007851CA"/>
    <w:rsid w:val="00790985"/>
    <w:rsid w:val="00796A97"/>
    <w:rsid w:val="007A0E7A"/>
    <w:rsid w:val="007A3A26"/>
    <w:rsid w:val="007A4BBD"/>
    <w:rsid w:val="007B2E57"/>
    <w:rsid w:val="007B6292"/>
    <w:rsid w:val="007B7319"/>
    <w:rsid w:val="007C0036"/>
    <w:rsid w:val="007C022A"/>
    <w:rsid w:val="007C591B"/>
    <w:rsid w:val="007D1036"/>
    <w:rsid w:val="007D78E0"/>
    <w:rsid w:val="007E2797"/>
    <w:rsid w:val="00814013"/>
    <w:rsid w:val="00820DE2"/>
    <w:rsid w:val="00824C9E"/>
    <w:rsid w:val="00826449"/>
    <w:rsid w:val="00827298"/>
    <w:rsid w:val="00833DC1"/>
    <w:rsid w:val="0084698F"/>
    <w:rsid w:val="00855F18"/>
    <w:rsid w:val="00860155"/>
    <w:rsid w:val="00862AD1"/>
    <w:rsid w:val="008634D8"/>
    <w:rsid w:val="0087714D"/>
    <w:rsid w:val="008804AC"/>
    <w:rsid w:val="00885562"/>
    <w:rsid w:val="0088674E"/>
    <w:rsid w:val="00887AA4"/>
    <w:rsid w:val="008A0A1A"/>
    <w:rsid w:val="008A51F1"/>
    <w:rsid w:val="008C246C"/>
    <w:rsid w:val="008D17AF"/>
    <w:rsid w:val="008D5490"/>
    <w:rsid w:val="008D58CE"/>
    <w:rsid w:val="008E150B"/>
    <w:rsid w:val="008E4A34"/>
    <w:rsid w:val="008F3C13"/>
    <w:rsid w:val="008F4B1A"/>
    <w:rsid w:val="008F7294"/>
    <w:rsid w:val="008F7E31"/>
    <w:rsid w:val="00901DE5"/>
    <w:rsid w:val="009025F3"/>
    <w:rsid w:val="00905199"/>
    <w:rsid w:val="00924E1F"/>
    <w:rsid w:val="00925147"/>
    <w:rsid w:val="00925BC7"/>
    <w:rsid w:val="00941618"/>
    <w:rsid w:val="00952055"/>
    <w:rsid w:val="00952F08"/>
    <w:rsid w:val="00956D29"/>
    <w:rsid w:val="00962F7A"/>
    <w:rsid w:val="00963C8E"/>
    <w:rsid w:val="00970C43"/>
    <w:rsid w:val="00987684"/>
    <w:rsid w:val="0099415F"/>
    <w:rsid w:val="00996958"/>
    <w:rsid w:val="009B454E"/>
    <w:rsid w:val="009C3CC0"/>
    <w:rsid w:val="009D5D94"/>
    <w:rsid w:val="009D75CB"/>
    <w:rsid w:val="00A02A33"/>
    <w:rsid w:val="00A14EF2"/>
    <w:rsid w:val="00A156D8"/>
    <w:rsid w:val="00A37BE4"/>
    <w:rsid w:val="00A41619"/>
    <w:rsid w:val="00A4396B"/>
    <w:rsid w:val="00A470AD"/>
    <w:rsid w:val="00A5211C"/>
    <w:rsid w:val="00A5346C"/>
    <w:rsid w:val="00A71CBD"/>
    <w:rsid w:val="00A762CF"/>
    <w:rsid w:val="00A878CF"/>
    <w:rsid w:val="00A90CA6"/>
    <w:rsid w:val="00A93053"/>
    <w:rsid w:val="00AA0B17"/>
    <w:rsid w:val="00AA5519"/>
    <w:rsid w:val="00AA5D16"/>
    <w:rsid w:val="00AA6654"/>
    <w:rsid w:val="00AB25EC"/>
    <w:rsid w:val="00AB2D15"/>
    <w:rsid w:val="00AB3E81"/>
    <w:rsid w:val="00AB5DE0"/>
    <w:rsid w:val="00AB6A12"/>
    <w:rsid w:val="00AD5087"/>
    <w:rsid w:val="00AE0013"/>
    <w:rsid w:val="00AE4076"/>
    <w:rsid w:val="00AF4B3D"/>
    <w:rsid w:val="00AF4CEA"/>
    <w:rsid w:val="00B04523"/>
    <w:rsid w:val="00B14CF4"/>
    <w:rsid w:val="00B2157B"/>
    <w:rsid w:val="00B33F4C"/>
    <w:rsid w:val="00B3746E"/>
    <w:rsid w:val="00B438DD"/>
    <w:rsid w:val="00B46DAF"/>
    <w:rsid w:val="00B542FC"/>
    <w:rsid w:val="00B64E0F"/>
    <w:rsid w:val="00B653F4"/>
    <w:rsid w:val="00B6622D"/>
    <w:rsid w:val="00B75A59"/>
    <w:rsid w:val="00B809D4"/>
    <w:rsid w:val="00B940F5"/>
    <w:rsid w:val="00B963F7"/>
    <w:rsid w:val="00BB0FFE"/>
    <w:rsid w:val="00BB160B"/>
    <w:rsid w:val="00BB2943"/>
    <w:rsid w:val="00BB6C11"/>
    <w:rsid w:val="00BC6EC1"/>
    <w:rsid w:val="00BD2F72"/>
    <w:rsid w:val="00BF17A8"/>
    <w:rsid w:val="00BF4036"/>
    <w:rsid w:val="00BF7EBF"/>
    <w:rsid w:val="00C06E27"/>
    <w:rsid w:val="00C13204"/>
    <w:rsid w:val="00C21E4A"/>
    <w:rsid w:val="00C22950"/>
    <w:rsid w:val="00C27751"/>
    <w:rsid w:val="00C27E6F"/>
    <w:rsid w:val="00C3293B"/>
    <w:rsid w:val="00C339CB"/>
    <w:rsid w:val="00C348BF"/>
    <w:rsid w:val="00C352AB"/>
    <w:rsid w:val="00C41204"/>
    <w:rsid w:val="00C439A7"/>
    <w:rsid w:val="00C51FD9"/>
    <w:rsid w:val="00C52A45"/>
    <w:rsid w:val="00C52B8F"/>
    <w:rsid w:val="00C52C96"/>
    <w:rsid w:val="00C55532"/>
    <w:rsid w:val="00C62944"/>
    <w:rsid w:val="00C7217E"/>
    <w:rsid w:val="00C76AD2"/>
    <w:rsid w:val="00C92147"/>
    <w:rsid w:val="00C92937"/>
    <w:rsid w:val="00CA320B"/>
    <w:rsid w:val="00CA7F62"/>
    <w:rsid w:val="00CD0D61"/>
    <w:rsid w:val="00CD71D6"/>
    <w:rsid w:val="00CE0F83"/>
    <w:rsid w:val="00CE3BE5"/>
    <w:rsid w:val="00CF062F"/>
    <w:rsid w:val="00CF6D68"/>
    <w:rsid w:val="00D06B35"/>
    <w:rsid w:val="00D06E61"/>
    <w:rsid w:val="00D14C70"/>
    <w:rsid w:val="00D15833"/>
    <w:rsid w:val="00D16A7E"/>
    <w:rsid w:val="00D208AB"/>
    <w:rsid w:val="00D21805"/>
    <w:rsid w:val="00D25AD6"/>
    <w:rsid w:val="00D2666F"/>
    <w:rsid w:val="00D269C1"/>
    <w:rsid w:val="00D337FE"/>
    <w:rsid w:val="00D371C0"/>
    <w:rsid w:val="00D40FB2"/>
    <w:rsid w:val="00D44850"/>
    <w:rsid w:val="00D4777B"/>
    <w:rsid w:val="00D47C1E"/>
    <w:rsid w:val="00D52885"/>
    <w:rsid w:val="00D544B1"/>
    <w:rsid w:val="00D57AC8"/>
    <w:rsid w:val="00D67CBD"/>
    <w:rsid w:val="00D80BF4"/>
    <w:rsid w:val="00D82981"/>
    <w:rsid w:val="00D84821"/>
    <w:rsid w:val="00D904AF"/>
    <w:rsid w:val="00D93A1D"/>
    <w:rsid w:val="00DA263F"/>
    <w:rsid w:val="00DA699A"/>
    <w:rsid w:val="00DC2697"/>
    <w:rsid w:val="00DD2733"/>
    <w:rsid w:val="00DD3B69"/>
    <w:rsid w:val="00DF234F"/>
    <w:rsid w:val="00DF238A"/>
    <w:rsid w:val="00DF2675"/>
    <w:rsid w:val="00DF6180"/>
    <w:rsid w:val="00E0007C"/>
    <w:rsid w:val="00E124E1"/>
    <w:rsid w:val="00E1345D"/>
    <w:rsid w:val="00E15151"/>
    <w:rsid w:val="00E17C61"/>
    <w:rsid w:val="00E2029F"/>
    <w:rsid w:val="00E20997"/>
    <w:rsid w:val="00E23ACB"/>
    <w:rsid w:val="00E3297B"/>
    <w:rsid w:val="00E32F86"/>
    <w:rsid w:val="00E41DD6"/>
    <w:rsid w:val="00E436DA"/>
    <w:rsid w:val="00E4446B"/>
    <w:rsid w:val="00E53ECD"/>
    <w:rsid w:val="00E70322"/>
    <w:rsid w:val="00E7064E"/>
    <w:rsid w:val="00E74103"/>
    <w:rsid w:val="00EA037A"/>
    <w:rsid w:val="00EA62E4"/>
    <w:rsid w:val="00EA7571"/>
    <w:rsid w:val="00EB34DE"/>
    <w:rsid w:val="00ED3868"/>
    <w:rsid w:val="00EE0217"/>
    <w:rsid w:val="00EE3880"/>
    <w:rsid w:val="00EF02E8"/>
    <w:rsid w:val="00F01D50"/>
    <w:rsid w:val="00F2144D"/>
    <w:rsid w:val="00F216D2"/>
    <w:rsid w:val="00F30DE9"/>
    <w:rsid w:val="00F31475"/>
    <w:rsid w:val="00F56B32"/>
    <w:rsid w:val="00F61197"/>
    <w:rsid w:val="00F62571"/>
    <w:rsid w:val="00F81ACE"/>
    <w:rsid w:val="00F81ECC"/>
    <w:rsid w:val="00F823C1"/>
    <w:rsid w:val="00F948FB"/>
    <w:rsid w:val="00F96738"/>
    <w:rsid w:val="00F97681"/>
    <w:rsid w:val="00FA099F"/>
    <w:rsid w:val="00FB13F2"/>
    <w:rsid w:val="00FB20B8"/>
    <w:rsid w:val="00FB7725"/>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EC3C8"/>
  <w15:chartTrackingRefBased/>
  <w15:docId w15:val="{FE045D15-AC3B-944D-B738-0A8E11568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character" w:styleId="Hipervnculo">
    <w:name w:val="Hyperlink"/>
    <w:basedOn w:val="Fuentedeprrafopredeter"/>
    <w:uiPriority w:val="99"/>
    <w:unhideWhenUsed/>
    <w:rsid w:val="00C629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484979204">
      <w:bodyDiv w:val="1"/>
      <w:marLeft w:val="0"/>
      <w:marRight w:val="0"/>
      <w:marTop w:val="0"/>
      <w:marBottom w:val="0"/>
      <w:divBdr>
        <w:top w:val="none" w:sz="0" w:space="0" w:color="auto"/>
        <w:left w:val="none" w:sz="0" w:space="0" w:color="auto"/>
        <w:bottom w:val="none" w:sz="0" w:space="0" w:color="auto"/>
        <w:right w:val="none" w:sz="0" w:space="0" w:color="auto"/>
      </w:divBdr>
    </w:div>
    <w:div w:id="485050489">
      <w:bodyDiv w:val="1"/>
      <w:marLeft w:val="0"/>
      <w:marRight w:val="0"/>
      <w:marTop w:val="0"/>
      <w:marBottom w:val="0"/>
      <w:divBdr>
        <w:top w:val="none" w:sz="0" w:space="0" w:color="auto"/>
        <w:left w:val="none" w:sz="0" w:space="0" w:color="auto"/>
        <w:bottom w:val="none" w:sz="0" w:space="0" w:color="auto"/>
        <w:right w:val="none" w:sz="0" w:space="0" w:color="auto"/>
      </w:divBdr>
    </w:div>
    <w:div w:id="489709161">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667708767">
      <w:bodyDiv w:val="1"/>
      <w:marLeft w:val="0"/>
      <w:marRight w:val="0"/>
      <w:marTop w:val="0"/>
      <w:marBottom w:val="0"/>
      <w:divBdr>
        <w:top w:val="none" w:sz="0" w:space="0" w:color="auto"/>
        <w:left w:val="none" w:sz="0" w:space="0" w:color="auto"/>
        <w:bottom w:val="none" w:sz="0" w:space="0" w:color="auto"/>
        <w:right w:val="none" w:sz="0" w:space="0" w:color="auto"/>
      </w:divBdr>
    </w:div>
    <w:div w:id="69422940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422525014">
      <w:bodyDiv w:val="1"/>
      <w:marLeft w:val="0"/>
      <w:marRight w:val="0"/>
      <w:marTop w:val="0"/>
      <w:marBottom w:val="0"/>
      <w:divBdr>
        <w:top w:val="none" w:sz="0" w:space="0" w:color="auto"/>
        <w:left w:val="none" w:sz="0" w:space="0" w:color="auto"/>
        <w:bottom w:val="none" w:sz="0" w:space="0" w:color="auto"/>
        <w:right w:val="none" w:sz="0" w:space="0" w:color="auto"/>
      </w:divBdr>
    </w:div>
    <w:div w:id="145675032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737825260">
      <w:bodyDiv w:val="1"/>
      <w:marLeft w:val="0"/>
      <w:marRight w:val="0"/>
      <w:marTop w:val="0"/>
      <w:marBottom w:val="0"/>
      <w:divBdr>
        <w:top w:val="none" w:sz="0" w:space="0" w:color="auto"/>
        <w:left w:val="none" w:sz="0" w:space="0" w:color="auto"/>
        <w:bottom w:val="none" w:sz="0" w:space="0" w:color="auto"/>
        <w:right w:val="none" w:sz="0" w:space="0" w:color="auto"/>
      </w:divBdr>
    </w:div>
    <w:div w:id="1874801576">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 w:id="213602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MUYFACI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E66E6-F3C3-C947-AB9B-69CD3D43C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OFICIOMUYFACIL.dotx</Template>
  <TotalTime>2</TotalTime>
  <Pages>3</Pages>
  <Words>922</Words>
  <Characters>5074</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YOALIT AMBRIZ HERNANDEZ</cp:lastModifiedBy>
  <cp:revision>4</cp:revision>
  <cp:lastPrinted>2019-10-02T14:59:00Z</cp:lastPrinted>
  <dcterms:created xsi:type="dcterms:W3CDTF">2021-08-30T23:43:00Z</dcterms:created>
  <dcterms:modified xsi:type="dcterms:W3CDTF">2021-08-30T23:45:00Z</dcterms:modified>
</cp:coreProperties>
</file>