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3C6" w:rsidRPr="005753C6" w:rsidRDefault="005753C6" w:rsidP="005753C6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  <w:r w:rsidRPr="005753C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Persona que tenga discapacidad motriz, o discapacidad intelectual  ya se </w:t>
      </w:r>
      <w:r w:rsidR="005D6727" w:rsidRPr="005753C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congénita</w:t>
      </w:r>
      <w:r w:rsidRPr="005753C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o </w:t>
      </w:r>
      <w:r w:rsidR="005D6727" w:rsidRPr="005753C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adquirida</w:t>
      </w:r>
    </w:p>
    <w:p w:rsidR="00191FD7" w:rsidRDefault="00191FD7"/>
    <w:sectPr w:rsidR="00191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E5FE8"/>
    <w:multiLevelType w:val="hybridMultilevel"/>
    <w:tmpl w:val="022EDF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3C6"/>
    <w:rsid w:val="00191FD7"/>
    <w:rsid w:val="005753C6"/>
    <w:rsid w:val="005D6727"/>
    <w:rsid w:val="00F0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3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3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1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2021-11-13T15:03:00Z</dcterms:created>
  <dcterms:modified xsi:type="dcterms:W3CDTF">2021-11-13T15:03:00Z</dcterms:modified>
</cp:coreProperties>
</file>