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58B2" w:rsidRPr="001456F1" w:rsidRDefault="00EB4D4D" w:rsidP="00CE5938">
      <w:pPr>
        <w:pStyle w:val="Sangradetextonormal"/>
        <w:spacing w:after="360" w:line="360" w:lineRule="auto"/>
        <w:ind w:firstLine="851"/>
        <w:rPr>
          <w:rFonts w:ascii="Century Gothic" w:hAnsi="Century Gothic"/>
          <w:sz w:val="24"/>
          <w:szCs w:val="24"/>
        </w:rPr>
      </w:pPr>
      <w:r w:rsidRPr="001456F1">
        <w:rPr>
          <w:rFonts w:ascii="Century Gothic" w:hAnsi="Century Gothic"/>
          <w:sz w:val="24"/>
          <w:szCs w:val="24"/>
        </w:rPr>
        <w:t>San Luis Potosí, S.L.P.</w:t>
      </w:r>
      <w:r w:rsidR="00C37297" w:rsidRPr="001456F1">
        <w:rPr>
          <w:rFonts w:ascii="Century Gothic" w:hAnsi="Century Gothic"/>
          <w:sz w:val="24"/>
          <w:szCs w:val="24"/>
        </w:rPr>
        <w:t>,</w:t>
      </w:r>
      <w:r w:rsidR="006C0F6B" w:rsidRPr="001456F1">
        <w:rPr>
          <w:rFonts w:ascii="Century Gothic" w:hAnsi="Century Gothic"/>
          <w:sz w:val="24"/>
          <w:szCs w:val="24"/>
        </w:rPr>
        <w:t xml:space="preserve"> a </w:t>
      </w:r>
      <w:r w:rsidR="00C46106">
        <w:rPr>
          <w:rFonts w:ascii="Century Gothic" w:hAnsi="Century Gothic"/>
          <w:sz w:val="24"/>
          <w:szCs w:val="24"/>
        </w:rPr>
        <w:t>03</w:t>
      </w:r>
      <w:r w:rsidR="00F72007">
        <w:rPr>
          <w:rFonts w:ascii="Century Gothic" w:hAnsi="Century Gothic"/>
          <w:sz w:val="24"/>
          <w:szCs w:val="24"/>
        </w:rPr>
        <w:t xml:space="preserve"> </w:t>
      </w:r>
      <w:r w:rsidR="00C46106">
        <w:rPr>
          <w:rFonts w:ascii="Century Gothic" w:hAnsi="Century Gothic"/>
          <w:sz w:val="24"/>
          <w:szCs w:val="24"/>
        </w:rPr>
        <w:t>tres</w:t>
      </w:r>
      <w:r w:rsidR="009E01EC" w:rsidRPr="001456F1">
        <w:rPr>
          <w:rFonts w:ascii="Century Gothic" w:hAnsi="Century Gothic"/>
          <w:sz w:val="24"/>
          <w:szCs w:val="24"/>
        </w:rPr>
        <w:t xml:space="preserve"> </w:t>
      </w:r>
      <w:r w:rsidRPr="001456F1">
        <w:rPr>
          <w:rFonts w:ascii="Century Gothic" w:hAnsi="Century Gothic"/>
          <w:sz w:val="24"/>
          <w:szCs w:val="24"/>
        </w:rPr>
        <w:t xml:space="preserve">de </w:t>
      </w:r>
      <w:r w:rsidR="00350FB0">
        <w:rPr>
          <w:rFonts w:ascii="Century Gothic" w:hAnsi="Century Gothic"/>
          <w:sz w:val="24"/>
          <w:szCs w:val="24"/>
        </w:rPr>
        <w:t>jun</w:t>
      </w:r>
      <w:r w:rsidR="00621F95">
        <w:rPr>
          <w:rFonts w:ascii="Century Gothic" w:hAnsi="Century Gothic"/>
          <w:sz w:val="24"/>
          <w:szCs w:val="24"/>
        </w:rPr>
        <w:t>i</w:t>
      </w:r>
      <w:r w:rsidR="00350FB0">
        <w:rPr>
          <w:rFonts w:ascii="Century Gothic" w:hAnsi="Century Gothic"/>
          <w:sz w:val="24"/>
          <w:szCs w:val="24"/>
        </w:rPr>
        <w:t>o</w:t>
      </w:r>
      <w:r w:rsidR="001456F1">
        <w:rPr>
          <w:rFonts w:ascii="Century Gothic" w:hAnsi="Century Gothic"/>
          <w:sz w:val="24"/>
          <w:szCs w:val="24"/>
        </w:rPr>
        <w:t xml:space="preserve"> </w:t>
      </w:r>
      <w:r w:rsidR="004358B2" w:rsidRPr="001456F1">
        <w:rPr>
          <w:rFonts w:ascii="Century Gothic" w:hAnsi="Century Gothic"/>
          <w:sz w:val="24"/>
          <w:szCs w:val="24"/>
        </w:rPr>
        <w:t>de 202</w:t>
      </w:r>
      <w:r w:rsidR="009E7F07" w:rsidRPr="001456F1">
        <w:rPr>
          <w:rFonts w:ascii="Century Gothic" w:hAnsi="Century Gothic"/>
          <w:sz w:val="24"/>
          <w:szCs w:val="24"/>
        </w:rPr>
        <w:t>1</w:t>
      </w:r>
      <w:r w:rsidR="004358B2" w:rsidRPr="001456F1">
        <w:rPr>
          <w:rFonts w:ascii="Century Gothic" w:hAnsi="Century Gothic"/>
          <w:sz w:val="24"/>
          <w:szCs w:val="24"/>
        </w:rPr>
        <w:t xml:space="preserve"> </w:t>
      </w:r>
      <w:proofErr w:type="gramStart"/>
      <w:r w:rsidR="004358B2" w:rsidRPr="001456F1">
        <w:rPr>
          <w:rFonts w:ascii="Century Gothic" w:hAnsi="Century Gothic"/>
          <w:sz w:val="24"/>
          <w:szCs w:val="24"/>
        </w:rPr>
        <w:t>dos mil veint</w:t>
      </w:r>
      <w:r w:rsidR="009E7F07" w:rsidRPr="001456F1">
        <w:rPr>
          <w:rFonts w:ascii="Century Gothic" w:hAnsi="Century Gothic"/>
          <w:sz w:val="24"/>
          <w:szCs w:val="24"/>
        </w:rPr>
        <w:t>iuno</w:t>
      </w:r>
      <w:proofErr w:type="gramEnd"/>
      <w:r w:rsidR="004358B2" w:rsidRPr="001456F1">
        <w:rPr>
          <w:rFonts w:ascii="Century Gothic" w:hAnsi="Century Gothic"/>
          <w:sz w:val="24"/>
          <w:szCs w:val="24"/>
        </w:rPr>
        <w:t>.</w:t>
      </w:r>
      <w:r w:rsidR="009E7F07" w:rsidRPr="001456F1">
        <w:rPr>
          <w:rFonts w:ascii="Century Gothic" w:hAnsi="Century Gothic"/>
          <w:sz w:val="24"/>
          <w:szCs w:val="24"/>
        </w:rPr>
        <w:t xml:space="preserve"> </w:t>
      </w:r>
    </w:p>
    <w:p w:rsidR="001456F1" w:rsidRPr="00AD0AA1" w:rsidRDefault="001456F1" w:rsidP="00CE5938">
      <w:pPr>
        <w:tabs>
          <w:tab w:val="left" w:pos="1418"/>
          <w:tab w:val="left" w:pos="2040"/>
        </w:tabs>
        <w:spacing w:after="360" w:line="360" w:lineRule="auto"/>
        <w:ind w:firstLine="851"/>
        <w:jc w:val="both"/>
        <w:rPr>
          <w:rFonts w:ascii="Century Gothic" w:hAnsi="Century Gothic" w:cs="Arial"/>
          <w:sz w:val="28"/>
          <w:szCs w:val="28"/>
        </w:rPr>
      </w:pPr>
      <w:r w:rsidRPr="00AD0AA1">
        <w:rPr>
          <w:rFonts w:ascii="Century Gothic" w:hAnsi="Century Gothic" w:cs="Arial"/>
          <w:b/>
          <w:sz w:val="24"/>
          <w:szCs w:val="24"/>
        </w:rPr>
        <w:t xml:space="preserve">V I S T O, </w:t>
      </w:r>
      <w:r w:rsidRPr="00AD0AA1">
        <w:rPr>
          <w:rFonts w:ascii="Century Gothic" w:hAnsi="Century Gothic" w:cs="Arial"/>
          <w:sz w:val="24"/>
          <w:szCs w:val="24"/>
        </w:rPr>
        <w:t xml:space="preserve">para resolver, </w:t>
      </w:r>
      <w:r w:rsidRPr="00AD0AA1">
        <w:rPr>
          <w:rFonts w:ascii="Century Gothic" w:hAnsi="Century Gothic" w:cs="Arial"/>
          <w:b/>
          <w:sz w:val="24"/>
          <w:szCs w:val="24"/>
        </w:rPr>
        <w:t>el recurso de queja</w:t>
      </w:r>
      <w:r w:rsidRPr="00AD0AA1">
        <w:rPr>
          <w:rFonts w:ascii="Century Gothic" w:hAnsi="Century Gothic" w:cs="Arial"/>
          <w:sz w:val="24"/>
          <w:szCs w:val="24"/>
        </w:rPr>
        <w:t xml:space="preserve"> </w:t>
      </w:r>
      <w:r w:rsidRPr="00AD0AA1">
        <w:rPr>
          <w:rFonts w:ascii="Century Gothic" w:hAnsi="Century Gothic" w:cs="Arial"/>
          <w:b/>
          <w:bCs/>
          <w:sz w:val="24"/>
          <w:szCs w:val="24"/>
        </w:rPr>
        <w:t xml:space="preserve">109/2020, </w:t>
      </w:r>
      <w:r w:rsidRPr="00AD0AA1">
        <w:rPr>
          <w:rFonts w:ascii="Century Gothic" w:hAnsi="Century Gothic" w:cs="Arial"/>
          <w:sz w:val="24"/>
          <w:szCs w:val="24"/>
        </w:rPr>
        <w:t>interpuesto por</w:t>
      </w:r>
      <w:r w:rsidRPr="00AD0AA1">
        <w:rPr>
          <w:rFonts w:ascii="Century Gothic" w:hAnsi="Century Gothic" w:cs="Arial"/>
          <w:b/>
          <w:bCs/>
          <w:sz w:val="24"/>
          <w:szCs w:val="24"/>
        </w:rPr>
        <w:t xml:space="preserve"> </w:t>
      </w:r>
      <w:r w:rsidR="007557B6">
        <w:rPr>
          <w:rFonts w:ascii="Century Gothic" w:hAnsi="Century Gothic" w:cs="Arial"/>
          <w:b/>
          <w:bCs/>
          <w:iCs/>
          <w:sz w:val="24"/>
          <w:szCs w:val="24"/>
        </w:rPr>
        <w:t>ELIMINADO</w:t>
      </w:r>
      <w:r w:rsidRPr="00AD0AA1">
        <w:rPr>
          <w:rFonts w:ascii="Century Gothic" w:hAnsi="Century Gothic" w:cs="Arial"/>
          <w:sz w:val="24"/>
          <w:szCs w:val="24"/>
        </w:rPr>
        <w:t xml:space="preserve">, contra el auto dictado el 19 diecinueve de agosto de 2020 dos mil veinte, por la Secretaria de Acuerdos del Juzgado Primero </w:t>
      </w:r>
      <w:r>
        <w:rPr>
          <w:rFonts w:ascii="Century Gothic" w:hAnsi="Century Gothic" w:cs="Arial"/>
          <w:sz w:val="24"/>
          <w:szCs w:val="24"/>
        </w:rPr>
        <w:t xml:space="preserve">del Ramo </w:t>
      </w:r>
      <w:r w:rsidRPr="00AD0AA1">
        <w:rPr>
          <w:rFonts w:ascii="Century Gothic" w:hAnsi="Century Gothic" w:cs="Arial"/>
          <w:sz w:val="24"/>
          <w:szCs w:val="24"/>
        </w:rPr>
        <w:t xml:space="preserve">Civil del Sexto Distrito Judicial, con residencia en Ciudad Valles, S.L.P., encargada del despacho por ministerio de ley, </w:t>
      </w:r>
      <w:r w:rsidRPr="00AD0AA1">
        <w:rPr>
          <w:rFonts w:ascii="Century Gothic" w:hAnsi="Century Gothic" w:cs="Arial"/>
          <w:b/>
          <w:sz w:val="24"/>
          <w:szCs w:val="24"/>
        </w:rPr>
        <w:t>que desechó de plano el recurso de apelación</w:t>
      </w:r>
      <w:r w:rsidRPr="00AD0AA1">
        <w:rPr>
          <w:rFonts w:ascii="Century Gothic" w:hAnsi="Century Gothic" w:cs="Arial"/>
          <w:sz w:val="24"/>
          <w:szCs w:val="24"/>
        </w:rPr>
        <w:t xml:space="preserve"> </w:t>
      </w:r>
      <w:r>
        <w:rPr>
          <w:rFonts w:ascii="Century Gothic" w:hAnsi="Century Gothic" w:cs="Arial"/>
          <w:sz w:val="24"/>
          <w:szCs w:val="24"/>
        </w:rPr>
        <w:t xml:space="preserve">promovido contra </w:t>
      </w:r>
      <w:r w:rsidRPr="00AD0AA1">
        <w:rPr>
          <w:rFonts w:ascii="Century Gothic" w:hAnsi="Century Gothic" w:cs="Arial"/>
          <w:sz w:val="24"/>
          <w:szCs w:val="24"/>
        </w:rPr>
        <w:t xml:space="preserve">la sentencia interlocutoria </w:t>
      </w:r>
      <w:r>
        <w:rPr>
          <w:rFonts w:ascii="Century Gothic" w:hAnsi="Century Gothic" w:cs="Arial"/>
          <w:sz w:val="24"/>
          <w:szCs w:val="24"/>
        </w:rPr>
        <w:t>dictada</w:t>
      </w:r>
      <w:r w:rsidRPr="00AD0AA1">
        <w:rPr>
          <w:rFonts w:ascii="Century Gothic" w:hAnsi="Century Gothic" w:cs="Arial"/>
          <w:sz w:val="24"/>
          <w:szCs w:val="24"/>
        </w:rPr>
        <w:t xml:space="preserve"> </w:t>
      </w:r>
      <w:r>
        <w:rPr>
          <w:rFonts w:ascii="Century Gothic" w:hAnsi="Century Gothic" w:cs="Arial"/>
          <w:sz w:val="24"/>
          <w:szCs w:val="24"/>
        </w:rPr>
        <w:t xml:space="preserve">el </w:t>
      </w:r>
      <w:r w:rsidRPr="00AD0AA1">
        <w:rPr>
          <w:rFonts w:ascii="Century Gothic" w:hAnsi="Century Gothic" w:cs="Arial"/>
          <w:sz w:val="24"/>
          <w:szCs w:val="24"/>
        </w:rPr>
        <w:t>5 cinco de agosto de 2020 dos mil veinte,</w:t>
      </w:r>
      <w:r w:rsidRPr="00AD0AA1">
        <w:rPr>
          <w:rFonts w:ascii="Century Gothic" w:hAnsi="Century Gothic" w:cs="Arial"/>
          <w:b/>
          <w:sz w:val="24"/>
          <w:szCs w:val="24"/>
        </w:rPr>
        <w:t xml:space="preserve"> </w:t>
      </w:r>
      <w:r w:rsidRPr="00AD0AA1">
        <w:rPr>
          <w:rFonts w:ascii="Century Gothic" w:hAnsi="Century Gothic" w:cs="Arial"/>
          <w:sz w:val="24"/>
          <w:szCs w:val="24"/>
        </w:rPr>
        <w:t>en</w:t>
      </w:r>
      <w:r w:rsidRPr="00AD0AA1">
        <w:rPr>
          <w:rFonts w:ascii="Century Gothic" w:hAnsi="Century Gothic" w:cs="Arial"/>
          <w:b/>
          <w:sz w:val="24"/>
          <w:szCs w:val="24"/>
        </w:rPr>
        <w:t xml:space="preserve"> </w:t>
      </w:r>
      <w:r w:rsidRPr="00AD0AA1">
        <w:rPr>
          <w:rFonts w:ascii="Century Gothic" w:hAnsi="Century Gothic" w:cs="Arial"/>
          <w:sz w:val="24"/>
          <w:szCs w:val="24"/>
        </w:rPr>
        <w:t xml:space="preserve">el expediente </w:t>
      </w:r>
      <w:r w:rsidRPr="00AD0AA1">
        <w:rPr>
          <w:rFonts w:ascii="Century Gothic" w:hAnsi="Century Gothic" w:cs="Arial"/>
          <w:b/>
          <w:sz w:val="24"/>
          <w:szCs w:val="24"/>
        </w:rPr>
        <w:t>739/2016,</w:t>
      </w:r>
      <w:r w:rsidRPr="00AD0AA1">
        <w:rPr>
          <w:rFonts w:ascii="Century Gothic" w:hAnsi="Century Gothic" w:cs="Arial"/>
          <w:sz w:val="24"/>
          <w:szCs w:val="24"/>
        </w:rPr>
        <w:t xml:space="preserve"> relativo al </w:t>
      </w:r>
      <w:r w:rsidRPr="00AD0AA1">
        <w:rPr>
          <w:rFonts w:ascii="Century Gothic" w:hAnsi="Century Gothic" w:cs="Arial"/>
          <w:b/>
          <w:sz w:val="24"/>
          <w:szCs w:val="24"/>
        </w:rPr>
        <w:t>juicio ordinario civil</w:t>
      </w:r>
      <w:r w:rsidRPr="00AD0AA1">
        <w:rPr>
          <w:rFonts w:ascii="Century Gothic" w:hAnsi="Century Gothic" w:cs="Arial"/>
          <w:sz w:val="24"/>
          <w:szCs w:val="24"/>
        </w:rPr>
        <w:t>, por nulidad absoluta,</w:t>
      </w:r>
      <w:r>
        <w:rPr>
          <w:rFonts w:ascii="Century Gothic" w:hAnsi="Century Gothic" w:cs="Arial"/>
          <w:sz w:val="24"/>
          <w:szCs w:val="24"/>
        </w:rPr>
        <w:t xml:space="preserve"> </w:t>
      </w:r>
      <w:r w:rsidRPr="00AD0AA1">
        <w:rPr>
          <w:rFonts w:ascii="Century Gothic" w:hAnsi="Century Gothic" w:cs="Arial"/>
          <w:sz w:val="24"/>
          <w:szCs w:val="24"/>
        </w:rPr>
        <w:t xml:space="preserve">promovido por </w:t>
      </w:r>
      <w:r w:rsidR="007557B6">
        <w:rPr>
          <w:rFonts w:ascii="Century Gothic" w:hAnsi="Century Gothic" w:cs="Arial"/>
          <w:b/>
          <w:sz w:val="24"/>
          <w:szCs w:val="24"/>
        </w:rPr>
        <w:t>ELIMINADO</w:t>
      </w:r>
      <w:r w:rsidRPr="00AD0AA1">
        <w:rPr>
          <w:rFonts w:ascii="Century Gothic" w:hAnsi="Century Gothic" w:cs="Arial"/>
          <w:b/>
          <w:sz w:val="24"/>
          <w:szCs w:val="24"/>
        </w:rPr>
        <w:t>,</w:t>
      </w:r>
      <w:r w:rsidRPr="00AD0AA1">
        <w:rPr>
          <w:rFonts w:ascii="Century Gothic" w:hAnsi="Century Gothic" w:cs="Arial"/>
          <w:sz w:val="24"/>
          <w:szCs w:val="24"/>
        </w:rPr>
        <w:t xml:space="preserve"> en contra de la sucesión testamentaria a bienes de </w:t>
      </w:r>
      <w:r w:rsidR="007557B6">
        <w:rPr>
          <w:rFonts w:ascii="Century Gothic" w:hAnsi="Century Gothic" w:cs="Arial"/>
          <w:b/>
          <w:sz w:val="24"/>
          <w:szCs w:val="24"/>
        </w:rPr>
        <w:t>ELIMINADO</w:t>
      </w:r>
      <w:r w:rsidRPr="00AD0AA1">
        <w:rPr>
          <w:rFonts w:ascii="Century Gothic" w:hAnsi="Century Gothic" w:cs="Arial"/>
          <w:sz w:val="24"/>
          <w:szCs w:val="24"/>
        </w:rPr>
        <w:t xml:space="preserve"> a través de sus alb</w:t>
      </w:r>
      <w:r>
        <w:rPr>
          <w:rFonts w:ascii="Century Gothic" w:hAnsi="Century Gothic" w:cs="Arial"/>
          <w:sz w:val="24"/>
          <w:szCs w:val="24"/>
        </w:rPr>
        <w:t xml:space="preserve">aceas testamentarios </w:t>
      </w:r>
      <w:r w:rsidR="007557B6">
        <w:rPr>
          <w:rFonts w:ascii="Century Gothic" w:hAnsi="Century Gothic" w:cs="Arial"/>
          <w:sz w:val="24"/>
          <w:szCs w:val="24"/>
        </w:rPr>
        <w:t>ELIMINADO</w:t>
      </w:r>
      <w:r>
        <w:rPr>
          <w:rFonts w:ascii="Century Gothic" w:hAnsi="Century Gothic" w:cs="Arial"/>
          <w:sz w:val="24"/>
          <w:szCs w:val="24"/>
        </w:rPr>
        <w:t xml:space="preserve"> y </w:t>
      </w:r>
      <w:r w:rsidR="007557B6">
        <w:rPr>
          <w:rFonts w:ascii="Century Gothic" w:hAnsi="Century Gothic" w:cs="Arial"/>
          <w:sz w:val="24"/>
          <w:szCs w:val="24"/>
        </w:rPr>
        <w:t>ELIMINADO</w:t>
      </w:r>
      <w:r w:rsidRPr="00AD0AA1">
        <w:rPr>
          <w:rFonts w:ascii="Century Gothic" w:hAnsi="Century Gothic" w:cs="Arial"/>
          <w:sz w:val="24"/>
          <w:szCs w:val="24"/>
        </w:rPr>
        <w:t xml:space="preserve">, ambos de apellidos </w:t>
      </w:r>
      <w:r w:rsidR="007557B6">
        <w:rPr>
          <w:rFonts w:ascii="Century Gothic" w:hAnsi="Century Gothic" w:cs="Arial"/>
          <w:sz w:val="24"/>
          <w:szCs w:val="24"/>
        </w:rPr>
        <w:t>ELIMINADO</w:t>
      </w:r>
      <w:r w:rsidRPr="00AD0AA1">
        <w:rPr>
          <w:rFonts w:ascii="Century Gothic" w:hAnsi="Century Gothic" w:cs="Arial"/>
          <w:sz w:val="24"/>
          <w:szCs w:val="24"/>
        </w:rPr>
        <w:t xml:space="preserve"> y </w:t>
      </w:r>
      <w:r w:rsidR="007557B6">
        <w:rPr>
          <w:rFonts w:ascii="Century Gothic" w:hAnsi="Century Gothic" w:cs="Arial"/>
          <w:sz w:val="24"/>
          <w:szCs w:val="24"/>
        </w:rPr>
        <w:t>ELIMINADO</w:t>
      </w:r>
      <w:r w:rsidRPr="00AD0AA1">
        <w:rPr>
          <w:rFonts w:ascii="Century Gothic" w:hAnsi="Century Gothic" w:cs="Arial"/>
          <w:sz w:val="24"/>
          <w:szCs w:val="24"/>
        </w:rPr>
        <w:t xml:space="preserve"> como supuesta compradora; y,</w:t>
      </w:r>
      <w:r w:rsidRPr="00AD0AA1">
        <w:rPr>
          <w:rFonts w:ascii="Century Gothic" w:hAnsi="Century Gothic" w:cs="Arial"/>
          <w:sz w:val="28"/>
          <w:szCs w:val="28"/>
        </w:rPr>
        <w:t xml:space="preserve"> </w:t>
      </w:r>
    </w:p>
    <w:p w:rsidR="001456F1" w:rsidRPr="00D772F9" w:rsidRDefault="001456F1" w:rsidP="00CE5938">
      <w:pPr>
        <w:tabs>
          <w:tab w:val="left" w:pos="1418"/>
          <w:tab w:val="left" w:pos="2040"/>
        </w:tabs>
        <w:spacing w:after="360" w:line="360" w:lineRule="auto"/>
        <w:jc w:val="center"/>
        <w:rPr>
          <w:rFonts w:ascii="Century Gothic" w:hAnsi="Century Gothic" w:cs="Arial"/>
          <w:sz w:val="28"/>
          <w:szCs w:val="28"/>
        </w:rPr>
      </w:pPr>
      <w:proofErr w:type="gramStart"/>
      <w:r w:rsidRPr="00D772F9">
        <w:rPr>
          <w:rFonts w:ascii="Century Gothic" w:hAnsi="Century Gothic" w:cs="Arial"/>
          <w:b/>
          <w:bCs/>
          <w:sz w:val="28"/>
          <w:szCs w:val="28"/>
        </w:rPr>
        <w:t>R  E</w:t>
      </w:r>
      <w:proofErr w:type="gramEnd"/>
      <w:r w:rsidRPr="00D772F9">
        <w:rPr>
          <w:rFonts w:ascii="Century Gothic" w:hAnsi="Century Gothic" w:cs="Arial"/>
          <w:b/>
          <w:bCs/>
          <w:sz w:val="28"/>
          <w:szCs w:val="28"/>
        </w:rPr>
        <w:t xml:space="preserve">  S  U  L  T  A  N  D  O</w:t>
      </w:r>
    </w:p>
    <w:p w:rsidR="001456F1" w:rsidRPr="00AD0AA1" w:rsidRDefault="001456F1" w:rsidP="00CE5938">
      <w:pPr>
        <w:tabs>
          <w:tab w:val="left" w:pos="1418"/>
        </w:tabs>
        <w:spacing w:after="360" w:line="360" w:lineRule="auto"/>
        <w:ind w:firstLine="851"/>
        <w:jc w:val="both"/>
        <w:rPr>
          <w:rFonts w:ascii="Century Gothic" w:hAnsi="Century Gothic" w:cs="Arial"/>
          <w:b/>
          <w:bCs/>
          <w:sz w:val="24"/>
          <w:szCs w:val="24"/>
        </w:rPr>
      </w:pPr>
      <w:r w:rsidRPr="00AD0AA1">
        <w:rPr>
          <w:rFonts w:ascii="Century Gothic" w:hAnsi="Century Gothic" w:cs="Arial"/>
          <w:b/>
          <w:bCs/>
          <w:sz w:val="24"/>
          <w:szCs w:val="24"/>
        </w:rPr>
        <w:t xml:space="preserve">PRIMERO. Interposición y admisión del recurso. </w:t>
      </w:r>
    </w:p>
    <w:p w:rsidR="001456F1" w:rsidRPr="00AD0AA1" w:rsidRDefault="001456F1" w:rsidP="00FA650A">
      <w:pPr>
        <w:tabs>
          <w:tab w:val="left" w:pos="1418"/>
        </w:tabs>
        <w:spacing w:after="360" w:line="360" w:lineRule="auto"/>
        <w:ind w:firstLine="851"/>
        <w:jc w:val="both"/>
        <w:rPr>
          <w:rFonts w:ascii="Century Gothic" w:hAnsi="Century Gothic" w:cs="Arial"/>
          <w:sz w:val="24"/>
          <w:szCs w:val="24"/>
        </w:rPr>
      </w:pPr>
      <w:r w:rsidRPr="00AD0AA1">
        <w:rPr>
          <w:rFonts w:ascii="Century Gothic" w:hAnsi="Century Gothic" w:cs="Arial"/>
          <w:sz w:val="24"/>
          <w:szCs w:val="24"/>
        </w:rPr>
        <w:t xml:space="preserve">Mediante escrito presentado en la Secretaria General de Acuerdos del Poder Judicial del Estado, el 27 veintisiete de agosto de 2020 dos mil veinte, </w:t>
      </w:r>
      <w:r w:rsidR="007557B6">
        <w:rPr>
          <w:rFonts w:ascii="Century Gothic" w:hAnsi="Century Gothic" w:cs="Arial"/>
          <w:bCs/>
          <w:iCs/>
          <w:sz w:val="24"/>
          <w:szCs w:val="24"/>
        </w:rPr>
        <w:t>ELIMINADO</w:t>
      </w:r>
      <w:r w:rsidRPr="00AD0AA1">
        <w:rPr>
          <w:rFonts w:ascii="Century Gothic" w:hAnsi="Century Gothic" w:cs="Arial"/>
          <w:sz w:val="24"/>
          <w:szCs w:val="24"/>
        </w:rPr>
        <w:t>, con la personalidad que tiene debid</w:t>
      </w:r>
      <w:r>
        <w:rPr>
          <w:rFonts w:ascii="Century Gothic" w:hAnsi="Century Gothic" w:cs="Arial"/>
          <w:sz w:val="24"/>
          <w:szCs w:val="24"/>
        </w:rPr>
        <w:t>amente acreditada en autos del juicio ordinario civil por nulidad a</w:t>
      </w:r>
      <w:r w:rsidRPr="00AD0AA1">
        <w:rPr>
          <w:rFonts w:ascii="Century Gothic" w:hAnsi="Century Gothic" w:cs="Arial"/>
          <w:sz w:val="24"/>
          <w:szCs w:val="24"/>
        </w:rPr>
        <w:t xml:space="preserve">bsoluta </w:t>
      </w:r>
      <w:r w:rsidRPr="00AD0AA1">
        <w:rPr>
          <w:rFonts w:ascii="Century Gothic" w:hAnsi="Century Gothic" w:cs="Arial"/>
          <w:b/>
          <w:sz w:val="24"/>
          <w:szCs w:val="24"/>
        </w:rPr>
        <w:t>739/2016</w:t>
      </w:r>
      <w:r>
        <w:rPr>
          <w:rFonts w:ascii="Century Gothic" w:hAnsi="Century Gothic" w:cs="Arial"/>
          <w:sz w:val="24"/>
          <w:szCs w:val="24"/>
        </w:rPr>
        <w:t>, promovió</w:t>
      </w:r>
      <w:r w:rsidRPr="00AD0AA1">
        <w:rPr>
          <w:rFonts w:ascii="Century Gothic" w:hAnsi="Century Gothic" w:cs="Arial"/>
          <w:sz w:val="24"/>
          <w:szCs w:val="24"/>
        </w:rPr>
        <w:t xml:space="preserve"> recurso de queja en contra del auto de 19 diecinueve de agosto de 2020 dos mil veinte, pronunciado por la Secretaria de Acuerdos del Juzgado Primero Civil del Sexto Distrito Judicial del Estado</w:t>
      </w:r>
      <w:r>
        <w:rPr>
          <w:rFonts w:ascii="Century Gothic" w:hAnsi="Century Gothic" w:cs="Arial"/>
          <w:sz w:val="24"/>
          <w:szCs w:val="24"/>
        </w:rPr>
        <w:t>, encargada del despacho por m</w:t>
      </w:r>
      <w:r w:rsidR="008934A3">
        <w:rPr>
          <w:rFonts w:ascii="Century Gothic" w:hAnsi="Century Gothic" w:cs="Arial"/>
          <w:sz w:val="24"/>
          <w:szCs w:val="24"/>
        </w:rPr>
        <w:t>inisterio de l</w:t>
      </w:r>
      <w:r w:rsidRPr="00AD0AA1">
        <w:rPr>
          <w:rFonts w:ascii="Century Gothic" w:hAnsi="Century Gothic" w:cs="Arial"/>
          <w:sz w:val="24"/>
          <w:szCs w:val="24"/>
        </w:rPr>
        <w:t xml:space="preserve">ey. </w:t>
      </w:r>
    </w:p>
    <w:p w:rsidR="001456F1" w:rsidRDefault="001456F1" w:rsidP="00FA650A">
      <w:pPr>
        <w:tabs>
          <w:tab w:val="left" w:pos="1418"/>
        </w:tabs>
        <w:spacing w:after="360" w:line="360" w:lineRule="auto"/>
        <w:ind w:firstLine="851"/>
        <w:jc w:val="both"/>
        <w:rPr>
          <w:rFonts w:ascii="Century Gothic" w:hAnsi="Century Gothic" w:cs="Arial"/>
          <w:sz w:val="24"/>
          <w:szCs w:val="24"/>
        </w:rPr>
      </w:pPr>
      <w:r w:rsidRPr="00AD0AA1">
        <w:rPr>
          <w:rFonts w:ascii="Century Gothic" w:hAnsi="Century Gothic" w:cs="Arial"/>
          <w:sz w:val="24"/>
          <w:szCs w:val="24"/>
        </w:rPr>
        <w:t>Medio de impug</w:t>
      </w:r>
      <w:r w:rsidR="008934A3">
        <w:rPr>
          <w:rFonts w:ascii="Century Gothic" w:hAnsi="Century Gothic" w:cs="Arial"/>
          <w:sz w:val="24"/>
          <w:szCs w:val="24"/>
        </w:rPr>
        <w:t>nación que mediante proveído de</w:t>
      </w:r>
      <w:r w:rsidRPr="00AD0AA1">
        <w:rPr>
          <w:rFonts w:ascii="Century Gothic" w:hAnsi="Century Gothic" w:cs="Arial"/>
          <w:sz w:val="24"/>
          <w:szCs w:val="24"/>
        </w:rPr>
        <w:t xml:space="preserve"> 28 veintiocho de octubre de 2020 dos mil veinte, fue admitido.</w:t>
      </w:r>
    </w:p>
    <w:p w:rsidR="004358B2" w:rsidRPr="001456F1" w:rsidRDefault="004358B2" w:rsidP="00FA650A">
      <w:pPr>
        <w:tabs>
          <w:tab w:val="left" w:pos="1418"/>
        </w:tabs>
        <w:spacing w:after="360" w:line="360" w:lineRule="auto"/>
        <w:ind w:firstLine="851"/>
        <w:jc w:val="both"/>
        <w:rPr>
          <w:rFonts w:ascii="Century Gothic" w:hAnsi="Century Gothic" w:cs="Arial"/>
          <w:b/>
          <w:bCs/>
          <w:sz w:val="24"/>
          <w:szCs w:val="24"/>
        </w:rPr>
      </w:pPr>
      <w:r w:rsidRPr="001456F1">
        <w:rPr>
          <w:rFonts w:ascii="Century Gothic" w:hAnsi="Century Gothic" w:cs="Arial"/>
          <w:b/>
          <w:bCs/>
          <w:sz w:val="24"/>
          <w:szCs w:val="24"/>
        </w:rPr>
        <w:t xml:space="preserve">SEGUNDO. Trámite. </w:t>
      </w:r>
    </w:p>
    <w:p w:rsidR="004358B2" w:rsidRPr="001456F1" w:rsidRDefault="00081B57" w:rsidP="00FA650A">
      <w:pPr>
        <w:tabs>
          <w:tab w:val="left" w:pos="1418"/>
        </w:tabs>
        <w:spacing w:after="360" w:line="360" w:lineRule="auto"/>
        <w:ind w:firstLine="851"/>
        <w:jc w:val="both"/>
        <w:rPr>
          <w:rFonts w:ascii="Century Gothic" w:hAnsi="Century Gothic" w:cs="Arial"/>
          <w:sz w:val="24"/>
          <w:szCs w:val="24"/>
        </w:rPr>
      </w:pPr>
      <w:r w:rsidRPr="001456F1">
        <w:rPr>
          <w:rFonts w:ascii="Century Gothic" w:hAnsi="Century Gothic" w:cs="Arial"/>
          <w:sz w:val="24"/>
          <w:szCs w:val="24"/>
        </w:rPr>
        <w:t xml:space="preserve">El </w:t>
      </w:r>
      <w:r w:rsidR="004358B2" w:rsidRPr="001456F1">
        <w:rPr>
          <w:rFonts w:ascii="Century Gothic" w:hAnsi="Century Gothic" w:cs="Arial"/>
          <w:sz w:val="24"/>
          <w:szCs w:val="24"/>
        </w:rPr>
        <w:t>31 treinta y uno de agosto de 2020 dos mil veinte, la Presidenta del H. Supremo Tribunal de Justicia y del Consejo de la Judicatu</w:t>
      </w:r>
      <w:r w:rsidR="00CB01A9">
        <w:rPr>
          <w:rFonts w:ascii="Century Gothic" w:hAnsi="Century Gothic" w:cs="Arial"/>
          <w:sz w:val="24"/>
          <w:szCs w:val="24"/>
        </w:rPr>
        <w:t xml:space="preserve">ra del Estado, mandó formar </w:t>
      </w:r>
      <w:proofErr w:type="gramStart"/>
      <w:r w:rsidR="00CB01A9">
        <w:rPr>
          <w:rFonts w:ascii="Century Gothic" w:hAnsi="Century Gothic" w:cs="Arial"/>
          <w:sz w:val="24"/>
          <w:szCs w:val="24"/>
        </w:rPr>
        <w:t xml:space="preserve">el toca </w:t>
      </w:r>
      <w:r w:rsidR="004358B2" w:rsidRPr="001456F1">
        <w:rPr>
          <w:rFonts w:ascii="Century Gothic" w:hAnsi="Century Gothic" w:cs="Arial"/>
          <w:sz w:val="24"/>
          <w:szCs w:val="24"/>
        </w:rPr>
        <w:t>correspondiente</w:t>
      </w:r>
      <w:proofErr w:type="gramEnd"/>
      <w:r w:rsidR="004358B2" w:rsidRPr="001456F1">
        <w:rPr>
          <w:rFonts w:ascii="Century Gothic" w:hAnsi="Century Gothic" w:cs="Arial"/>
          <w:sz w:val="24"/>
          <w:szCs w:val="24"/>
        </w:rPr>
        <w:t xml:space="preserve">, ordenó su registro en el Libro de Gobierno, reservándose acordar el escrito de </w:t>
      </w:r>
      <w:r w:rsidR="004358B2" w:rsidRPr="001456F1">
        <w:rPr>
          <w:rFonts w:ascii="Century Gothic" w:hAnsi="Century Gothic" w:cs="Arial"/>
          <w:sz w:val="24"/>
          <w:szCs w:val="24"/>
        </w:rPr>
        <w:lastRenderedPageBreak/>
        <w:t xml:space="preserve">cuenta hasta en tanto obrara en autos el informe del </w:t>
      </w:r>
      <w:r w:rsidR="004E7D60" w:rsidRPr="001456F1">
        <w:rPr>
          <w:rFonts w:ascii="Century Gothic" w:hAnsi="Century Gothic" w:cs="Arial"/>
          <w:sz w:val="24"/>
          <w:szCs w:val="24"/>
        </w:rPr>
        <w:t xml:space="preserve">Juez </w:t>
      </w:r>
      <w:r w:rsidR="004358B2" w:rsidRPr="001456F1">
        <w:rPr>
          <w:rFonts w:ascii="Century Gothic" w:hAnsi="Century Gothic" w:cs="Arial"/>
          <w:sz w:val="24"/>
          <w:szCs w:val="24"/>
        </w:rPr>
        <w:t>del conocimiento.</w:t>
      </w:r>
    </w:p>
    <w:p w:rsidR="004358B2" w:rsidRPr="001456F1" w:rsidRDefault="004358B2" w:rsidP="00CE5938">
      <w:pPr>
        <w:tabs>
          <w:tab w:val="left" w:pos="1418"/>
        </w:tabs>
        <w:spacing w:after="360" w:line="360" w:lineRule="auto"/>
        <w:ind w:firstLine="851"/>
        <w:jc w:val="both"/>
        <w:rPr>
          <w:rFonts w:ascii="Century Gothic" w:hAnsi="Century Gothic" w:cs="Arial"/>
          <w:sz w:val="24"/>
          <w:szCs w:val="24"/>
        </w:rPr>
      </w:pPr>
      <w:r w:rsidRPr="001456F1">
        <w:rPr>
          <w:rFonts w:ascii="Century Gothic" w:hAnsi="Century Gothic" w:cs="Arial"/>
          <w:sz w:val="24"/>
          <w:szCs w:val="24"/>
        </w:rPr>
        <w:t>Por acuerdo de 17 diecisiete de septiembre de 2020 dos mil veinte, se tuvo al Juez Primero Civil del Sexto Distrito Judicial de</w:t>
      </w:r>
      <w:r w:rsidR="004E65BD" w:rsidRPr="001456F1">
        <w:rPr>
          <w:rFonts w:ascii="Century Gothic" w:hAnsi="Century Gothic" w:cs="Arial"/>
          <w:sz w:val="24"/>
          <w:szCs w:val="24"/>
        </w:rPr>
        <w:t>l Estado, en</w:t>
      </w:r>
      <w:r w:rsidR="008934A3">
        <w:rPr>
          <w:rFonts w:ascii="Century Gothic" w:hAnsi="Century Gothic" w:cs="Arial"/>
          <w:sz w:val="24"/>
          <w:szCs w:val="24"/>
        </w:rPr>
        <w:t xml:space="preserve"> c</w:t>
      </w:r>
      <w:r w:rsidRPr="001456F1">
        <w:rPr>
          <w:rFonts w:ascii="Century Gothic" w:hAnsi="Century Gothic" w:cs="Arial"/>
          <w:sz w:val="24"/>
          <w:szCs w:val="24"/>
        </w:rPr>
        <w:t>iudad Valles, S.L.P., por desahogando el requerimiento efectuado y p</w:t>
      </w:r>
      <w:r w:rsidR="008934A3">
        <w:rPr>
          <w:rFonts w:ascii="Century Gothic" w:hAnsi="Century Gothic" w:cs="Arial"/>
          <w:sz w:val="24"/>
          <w:szCs w:val="24"/>
        </w:rPr>
        <w:t>or rindiendo informe en parte, en</w:t>
      </w:r>
      <w:r w:rsidRPr="001456F1">
        <w:rPr>
          <w:rFonts w:ascii="Century Gothic" w:hAnsi="Century Gothic" w:cs="Arial"/>
          <w:sz w:val="24"/>
          <w:szCs w:val="24"/>
        </w:rPr>
        <w:t xml:space="preserve"> virtud de que no acompañó copia certificada relativa a la notificación a la parte colitigante de la entrega de la copia del escrito del recurso de queja que nos ocupa, por lo que, lo requirió a fin de que subsanara en breve dicha omisión, debiendo enviar copias certificad</w:t>
      </w:r>
      <w:r w:rsidR="00F74714" w:rsidRPr="001456F1">
        <w:rPr>
          <w:rFonts w:ascii="Century Gothic" w:hAnsi="Century Gothic" w:cs="Arial"/>
          <w:sz w:val="24"/>
          <w:szCs w:val="24"/>
        </w:rPr>
        <w:t>as de las constancias señaladas;</w:t>
      </w:r>
      <w:r w:rsidRPr="001456F1">
        <w:rPr>
          <w:rFonts w:ascii="Century Gothic" w:hAnsi="Century Gothic" w:cs="Arial"/>
          <w:sz w:val="24"/>
          <w:szCs w:val="24"/>
        </w:rPr>
        <w:t xml:space="preserve"> así como</w:t>
      </w:r>
      <w:r w:rsidR="000321EA" w:rsidRPr="001456F1">
        <w:rPr>
          <w:rFonts w:ascii="Century Gothic" w:hAnsi="Century Gothic" w:cs="Arial"/>
          <w:sz w:val="24"/>
          <w:szCs w:val="24"/>
        </w:rPr>
        <w:t>,</w:t>
      </w:r>
      <w:r w:rsidRPr="001456F1">
        <w:rPr>
          <w:rFonts w:ascii="Century Gothic" w:hAnsi="Century Gothic" w:cs="Arial"/>
          <w:sz w:val="24"/>
          <w:szCs w:val="24"/>
        </w:rPr>
        <w:t xml:space="preserve"> de aquellas que considerara necesarias para su tramitación.</w:t>
      </w:r>
    </w:p>
    <w:p w:rsidR="004358B2" w:rsidRPr="001456F1" w:rsidRDefault="004358B2" w:rsidP="00CE5938">
      <w:pPr>
        <w:tabs>
          <w:tab w:val="left" w:pos="1418"/>
        </w:tabs>
        <w:spacing w:after="360" w:line="360" w:lineRule="auto"/>
        <w:ind w:firstLine="851"/>
        <w:jc w:val="both"/>
        <w:rPr>
          <w:rFonts w:ascii="Century Gothic" w:hAnsi="Century Gothic" w:cs="Arial"/>
          <w:sz w:val="24"/>
          <w:szCs w:val="24"/>
        </w:rPr>
      </w:pPr>
      <w:r w:rsidRPr="001456F1">
        <w:rPr>
          <w:rFonts w:ascii="Century Gothic" w:hAnsi="Century Gothic" w:cs="Arial"/>
          <w:sz w:val="24"/>
          <w:szCs w:val="24"/>
        </w:rPr>
        <w:t>Mediante proveído de 28 veintiocho de octubre de</w:t>
      </w:r>
      <w:r w:rsidR="008E562B" w:rsidRPr="001456F1">
        <w:rPr>
          <w:rFonts w:ascii="Century Gothic" w:hAnsi="Century Gothic" w:cs="Arial"/>
          <w:sz w:val="24"/>
          <w:szCs w:val="24"/>
        </w:rPr>
        <w:t>l</w:t>
      </w:r>
      <w:r w:rsidRPr="001456F1">
        <w:rPr>
          <w:rFonts w:ascii="Century Gothic" w:hAnsi="Century Gothic" w:cs="Arial"/>
          <w:sz w:val="24"/>
          <w:szCs w:val="24"/>
        </w:rPr>
        <w:t xml:space="preserve"> 2020 dos m</w:t>
      </w:r>
      <w:r w:rsidR="002238A5">
        <w:rPr>
          <w:rFonts w:ascii="Century Gothic" w:hAnsi="Century Gothic" w:cs="Arial"/>
          <w:sz w:val="24"/>
          <w:szCs w:val="24"/>
        </w:rPr>
        <w:t xml:space="preserve">il veinte, la Presidenta del </w:t>
      </w:r>
      <w:r w:rsidRPr="001456F1">
        <w:rPr>
          <w:rFonts w:ascii="Century Gothic" w:hAnsi="Century Gothic" w:cs="Arial"/>
          <w:sz w:val="24"/>
          <w:szCs w:val="24"/>
        </w:rPr>
        <w:t>Supremo Tribunal de Justicia y del Consejo de la Judicatura del Estado, dio por cumplido el requerimiento antes apuntado, de ahí que, se ordenó se realizara la certificación correspondiente del término que tuvo la quejosa para interponer el medio de impugnación que no</w:t>
      </w:r>
      <w:r w:rsidR="002211DC" w:rsidRPr="001456F1">
        <w:rPr>
          <w:rFonts w:ascii="Century Gothic" w:hAnsi="Century Gothic" w:cs="Arial"/>
          <w:sz w:val="24"/>
          <w:szCs w:val="24"/>
        </w:rPr>
        <w:t xml:space="preserve">s </w:t>
      </w:r>
      <w:r w:rsidRPr="001456F1">
        <w:rPr>
          <w:rFonts w:ascii="Century Gothic" w:hAnsi="Century Gothic" w:cs="Arial"/>
          <w:sz w:val="24"/>
          <w:szCs w:val="24"/>
        </w:rPr>
        <w:t>ocupa, y en tal virtud, conforme a la misma, se tuvo a la recurrente por interponiendo en tiempo y forma el presente recurso de queja.</w:t>
      </w:r>
    </w:p>
    <w:p w:rsidR="00BA527E" w:rsidRPr="001456F1" w:rsidRDefault="00081B57" w:rsidP="00CE5938">
      <w:pPr>
        <w:tabs>
          <w:tab w:val="left" w:pos="1418"/>
        </w:tabs>
        <w:spacing w:after="360" w:line="360" w:lineRule="auto"/>
        <w:ind w:firstLine="851"/>
        <w:jc w:val="both"/>
        <w:rPr>
          <w:rFonts w:ascii="Century Gothic" w:hAnsi="Century Gothic" w:cs="Arial"/>
          <w:sz w:val="24"/>
          <w:szCs w:val="24"/>
        </w:rPr>
      </w:pPr>
      <w:r w:rsidRPr="001456F1">
        <w:rPr>
          <w:rFonts w:ascii="Century Gothic" w:hAnsi="Century Gothic" w:cs="Arial"/>
          <w:sz w:val="24"/>
          <w:szCs w:val="24"/>
        </w:rPr>
        <w:t xml:space="preserve">El </w:t>
      </w:r>
      <w:r w:rsidR="00DD013E" w:rsidRPr="001456F1">
        <w:rPr>
          <w:rFonts w:ascii="Century Gothic" w:hAnsi="Century Gothic" w:cs="Arial"/>
          <w:sz w:val="24"/>
          <w:szCs w:val="24"/>
        </w:rPr>
        <w:t>08 ocho de diciembre del año que antecede, por co</w:t>
      </w:r>
      <w:r w:rsidR="00E81281">
        <w:rPr>
          <w:rFonts w:ascii="Century Gothic" w:hAnsi="Century Gothic" w:cs="Arial"/>
          <w:sz w:val="24"/>
          <w:szCs w:val="24"/>
        </w:rPr>
        <w:t xml:space="preserve">nducto de la Presidencia del </w:t>
      </w:r>
      <w:r w:rsidR="00DD013E" w:rsidRPr="001456F1">
        <w:rPr>
          <w:rFonts w:ascii="Century Gothic" w:hAnsi="Century Gothic" w:cs="Arial"/>
          <w:sz w:val="24"/>
          <w:szCs w:val="24"/>
        </w:rPr>
        <w:t>Supremo Tribunal de Justicia en e</w:t>
      </w:r>
      <w:r w:rsidR="00E81281">
        <w:rPr>
          <w:rFonts w:ascii="Century Gothic" w:hAnsi="Century Gothic" w:cs="Arial"/>
          <w:sz w:val="24"/>
          <w:szCs w:val="24"/>
        </w:rPr>
        <w:t>l Estado, se mandó requerir al J</w:t>
      </w:r>
      <w:r w:rsidR="00DD013E" w:rsidRPr="001456F1">
        <w:rPr>
          <w:rFonts w:ascii="Century Gothic" w:hAnsi="Century Gothic" w:cs="Arial"/>
          <w:sz w:val="24"/>
          <w:szCs w:val="24"/>
        </w:rPr>
        <w:t xml:space="preserve">uez de la causa, a fin de que remitiera copia certificada de diversas constancias que obran en el expediente original, a efecto de estar en posibilidad de resolver lo que en derecho procede, y mediante oficio número 774/2020, </w:t>
      </w:r>
      <w:r w:rsidR="00BA527E" w:rsidRPr="001456F1">
        <w:rPr>
          <w:rFonts w:ascii="Century Gothic" w:hAnsi="Century Gothic" w:cs="Arial"/>
          <w:sz w:val="24"/>
          <w:szCs w:val="24"/>
        </w:rPr>
        <w:t xml:space="preserve">recibido el 16 de diciembre del año 2020 dos mil veinte, se le tuvo </w:t>
      </w:r>
      <w:r w:rsidR="00807230" w:rsidRPr="001456F1">
        <w:rPr>
          <w:rFonts w:ascii="Century Gothic" w:hAnsi="Century Gothic" w:cs="Arial"/>
          <w:sz w:val="24"/>
          <w:szCs w:val="24"/>
        </w:rPr>
        <w:t xml:space="preserve">al A quo, </w:t>
      </w:r>
      <w:r w:rsidR="00BA527E" w:rsidRPr="001456F1">
        <w:rPr>
          <w:rFonts w:ascii="Century Gothic" w:hAnsi="Century Gothic" w:cs="Arial"/>
          <w:sz w:val="24"/>
          <w:szCs w:val="24"/>
        </w:rPr>
        <w:t xml:space="preserve">por </w:t>
      </w:r>
      <w:r w:rsidR="00807230" w:rsidRPr="001456F1">
        <w:rPr>
          <w:rFonts w:ascii="Century Gothic" w:hAnsi="Century Gothic" w:cs="Arial"/>
          <w:sz w:val="24"/>
          <w:szCs w:val="24"/>
        </w:rPr>
        <w:t>adjuntando las constancias solicitadas y cumpliendo con dicho requerimiento.</w:t>
      </w:r>
    </w:p>
    <w:p w:rsidR="004358B2" w:rsidRPr="001456F1" w:rsidRDefault="004358B2" w:rsidP="00CE5938">
      <w:pPr>
        <w:tabs>
          <w:tab w:val="left" w:pos="1418"/>
        </w:tabs>
        <w:spacing w:after="360" w:line="360" w:lineRule="auto"/>
        <w:ind w:firstLine="851"/>
        <w:jc w:val="both"/>
        <w:rPr>
          <w:rFonts w:ascii="Century Gothic" w:hAnsi="Century Gothic" w:cs="Arial"/>
          <w:sz w:val="24"/>
          <w:szCs w:val="24"/>
        </w:rPr>
      </w:pPr>
      <w:r w:rsidRPr="001456F1">
        <w:rPr>
          <w:rFonts w:ascii="Century Gothic" w:hAnsi="Century Gothic" w:cs="Arial"/>
          <w:sz w:val="24"/>
          <w:szCs w:val="24"/>
        </w:rPr>
        <w:t xml:space="preserve">Finalmente, se </w:t>
      </w:r>
      <w:r w:rsidR="0061223E" w:rsidRPr="001456F1">
        <w:rPr>
          <w:rFonts w:ascii="Century Gothic" w:hAnsi="Century Gothic" w:cs="Arial"/>
          <w:sz w:val="24"/>
          <w:szCs w:val="24"/>
        </w:rPr>
        <w:t xml:space="preserve">continuó con la citación </w:t>
      </w:r>
      <w:r w:rsidRPr="001456F1">
        <w:rPr>
          <w:rFonts w:ascii="Century Gothic" w:hAnsi="Century Gothic" w:cs="Arial"/>
          <w:sz w:val="24"/>
          <w:szCs w:val="24"/>
        </w:rPr>
        <w:t xml:space="preserve">para resolver el presente asunto, </w:t>
      </w:r>
      <w:r w:rsidR="0061223E" w:rsidRPr="001456F1">
        <w:rPr>
          <w:rFonts w:ascii="Century Gothic" w:hAnsi="Century Gothic" w:cs="Arial"/>
          <w:sz w:val="24"/>
          <w:szCs w:val="24"/>
        </w:rPr>
        <w:t xml:space="preserve">correspondiéndole </w:t>
      </w:r>
      <w:r w:rsidRPr="001456F1">
        <w:rPr>
          <w:rFonts w:ascii="Century Gothic" w:hAnsi="Century Gothic" w:cs="Arial"/>
          <w:sz w:val="24"/>
          <w:szCs w:val="24"/>
        </w:rPr>
        <w:t>a</w:t>
      </w:r>
      <w:r w:rsidR="008E562B" w:rsidRPr="001456F1">
        <w:rPr>
          <w:rFonts w:ascii="Century Gothic" w:hAnsi="Century Gothic" w:cs="Arial"/>
          <w:sz w:val="24"/>
          <w:szCs w:val="24"/>
        </w:rPr>
        <w:t xml:space="preserve"> </w:t>
      </w:r>
      <w:r w:rsidRPr="001456F1">
        <w:rPr>
          <w:rFonts w:ascii="Century Gothic" w:hAnsi="Century Gothic" w:cs="Arial"/>
          <w:sz w:val="24"/>
          <w:szCs w:val="24"/>
        </w:rPr>
        <w:t>l</w:t>
      </w:r>
      <w:r w:rsidR="008E562B" w:rsidRPr="001456F1">
        <w:rPr>
          <w:rFonts w:ascii="Century Gothic" w:hAnsi="Century Gothic" w:cs="Arial"/>
          <w:sz w:val="24"/>
          <w:szCs w:val="24"/>
        </w:rPr>
        <w:t>a</w:t>
      </w:r>
      <w:r w:rsidRPr="001456F1">
        <w:rPr>
          <w:rFonts w:ascii="Century Gothic" w:hAnsi="Century Gothic" w:cs="Arial"/>
          <w:sz w:val="24"/>
          <w:szCs w:val="24"/>
        </w:rPr>
        <w:t xml:space="preserve"> Magistrad</w:t>
      </w:r>
      <w:r w:rsidR="008E562B" w:rsidRPr="001456F1">
        <w:rPr>
          <w:rFonts w:ascii="Century Gothic" w:hAnsi="Century Gothic" w:cs="Arial"/>
          <w:sz w:val="24"/>
          <w:szCs w:val="24"/>
        </w:rPr>
        <w:t>a</w:t>
      </w:r>
      <w:r w:rsidRPr="001456F1">
        <w:rPr>
          <w:rFonts w:ascii="Century Gothic" w:hAnsi="Century Gothic" w:cs="Arial"/>
          <w:sz w:val="24"/>
          <w:szCs w:val="24"/>
        </w:rPr>
        <w:t xml:space="preserve"> </w:t>
      </w:r>
      <w:r w:rsidR="008E562B" w:rsidRPr="001456F1">
        <w:rPr>
          <w:rFonts w:ascii="Century Gothic" w:hAnsi="Century Gothic" w:cs="Arial"/>
          <w:sz w:val="24"/>
          <w:szCs w:val="24"/>
        </w:rPr>
        <w:t>Graciela Treviño Rodríguez</w:t>
      </w:r>
      <w:r w:rsidRPr="001456F1">
        <w:rPr>
          <w:rFonts w:ascii="Century Gothic" w:hAnsi="Century Gothic" w:cs="Arial"/>
          <w:sz w:val="24"/>
          <w:szCs w:val="24"/>
        </w:rPr>
        <w:t xml:space="preserve">, </w:t>
      </w:r>
      <w:r w:rsidR="0061223E" w:rsidRPr="001456F1">
        <w:rPr>
          <w:rFonts w:ascii="Century Gothic" w:hAnsi="Century Gothic" w:cs="Arial"/>
          <w:sz w:val="24"/>
          <w:szCs w:val="24"/>
        </w:rPr>
        <w:t>la elaboración d</w:t>
      </w:r>
      <w:r w:rsidRPr="001456F1">
        <w:rPr>
          <w:rFonts w:ascii="Century Gothic" w:hAnsi="Century Gothic" w:cs="Arial"/>
          <w:sz w:val="24"/>
          <w:szCs w:val="24"/>
        </w:rPr>
        <w:t>el respectivo proyecto de resolución; y,</w:t>
      </w:r>
    </w:p>
    <w:p w:rsidR="004358B2" w:rsidRPr="001456F1" w:rsidRDefault="004358B2" w:rsidP="00CE5938">
      <w:pPr>
        <w:tabs>
          <w:tab w:val="left" w:pos="1418"/>
        </w:tabs>
        <w:spacing w:after="360" w:line="360" w:lineRule="auto"/>
        <w:jc w:val="center"/>
        <w:rPr>
          <w:rFonts w:ascii="Century Gothic" w:hAnsi="Century Gothic" w:cs="Arial"/>
          <w:b/>
          <w:bCs/>
          <w:sz w:val="24"/>
          <w:szCs w:val="24"/>
        </w:rPr>
      </w:pPr>
      <w:r w:rsidRPr="001456F1">
        <w:rPr>
          <w:rFonts w:ascii="Century Gothic" w:hAnsi="Century Gothic" w:cs="Arial"/>
          <w:b/>
          <w:bCs/>
          <w:sz w:val="24"/>
          <w:szCs w:val="24"/>
        </w:rPr>
        <w:t>C O N S I D E R A N D O</w:t>
      </w:r>
    </w:p>
    <w:p w:rsidR="009A7405" w:rsidRDefault="004358B2" w:rsidP="009A7405">
      <w:pPr>
        <w:tabs>
          <w:tab w:val="left" w:pos="1418"/>
        </w:tabs>
        <w:spacing w:after="360" w:line="360" w:lineRule="auto"/>
        <w:ind w:firstLine="851"/>
        <w:jc w:val="both"/>
        <w:rPr>
          <w:rFonts w:ascii="Century Gothic" w:hAnsi="Century Gothic" w:cs="Arial"/>
          <w:sz w:val="24"/>
          <w:szCs w:val="24"/>
        </w:rPr>
      </w:pPr>
      <w:r w:rsidRPr="001456F1">
        <w:rPr>
          <w:rFonts w:ascii="Century Gothic" w:hAnsi="Century Gothic" w:cs="Arial"/>
          <w:b/>
          <w:bCs/>
          <w:sz w:val="24"/>
          <w:szCs w:val="24"/>
        </w:rPr>
        <w:lastRenderedPageBreak/>
        <w:t>PRIMERO</w:t>
      </w:r>
      <w:r w:rsidRPr="001456F1">
        <w:rPr>
          <w:rFonts w:ascii="Century Gothic" w:hAnsi="Century Gothic" w:cs="Arial"/>
          <w:sz w:val="24"/>
          <w:szCs w:val="24"/>
        </w:rPr>
        <w:t xml:space="preserve">. </w:t>
      </w:r>
      <w:r w:rsidRPr="001456F1">
        <w:rPr>
          <w:rFonts w:ascii="Century Gothic" w:hAnsi="Century Gothic" w:cs="Arial"/>
          <w:b/>
          <w:bCs/>
          <w:sz w:val="24"/>
          <w:szCs w:val="24"/>
        </w:rPr>
        <w:t>Competencia</w:t>
      </w:r>
      <w:r w:rsidR="00221D57" w:rsidRPr="001456F1">
        <w:rPr>
          <w:rFonts w:ascii="Century Gothic" w:hAnsi="Century Gothic" w:cs="Arial"/>
          <w:b/>
          <w:bCs/>
          <w:sz w:val="24"/>
          <w:szCs w:val="24"/>
        </w:rPr>
        <w:t>.</w:t>
      </w:r>
    </w:p>
    <w:p w:rsidR="002A6412" w:rsidRPr="002A6412" w:rsidRDefault="002A6412" w:rsidP="009A7405">
      <w:pPr>
        <w:tabs>
          <w:tab w:val="left" w:pos="1418"/>
        </w:tabs>
        <w:spacing w:after="360" w:line="360" w:lineRule="auto"/>
        <w:ind w:firstLine="851"/>
        <w:jc w:val="both"/>
        <w:rPr>
          <w:rFonts w:ascii="Century Gothic" w:hAnsi="Century Gothic" w:cs="Arial"/>
          <w:sz w:val="24"/>
          <w:szCs w:val="24"/>
        </w:rPr>
      </w:pPr>
      <w:r w:rsidRPr="002A6412">
        <w:rPr>
          <w:rFonts w:ascii="Century Gothic" w:hAnsi="Century Gothic" w:cs="Arial"/>
          <w:sz w:val="24"/>
          <w:szCs w:val="24"/>
        </w:rPr>
        <w:t xml:space="preserve">El Pleno del Supremo Tribunal de Justicia del Estado es competente para resolver el presente recurso de queja, con fundamento en los artículos </w:t>
      </w:r>
      <w:r w:rsidRPr="00B51945">
        <w:rPr>
          <w:rFonts w:ascii="Century Gothic" w:hAnsi="Century Gothic" w:cs="Arial"/>
          <w:sz w:val="24"/>
          <w:szCs w:val="24"/>
        </w:rPr>
        <w:t>11 y 14, fracción XIV, de la Ley Orgánica del Poder Judicial del Estado</w:t>
      </w:r>
      <w:r w:rsidRPr="002A6412">
        <w:rPr>
          <w:rFonts w:ascii="Century Gothic" w:hAnsi="Century Gothic" w:cs="Arial"/>
          <w:sz w:val="24"/>
          <w:szCs w:val="24"/>
        </w:rPr>
        <w:t>,</w:t>
      </w:r>
      <w:r w:rsidRPr="002A6412">
        <w:rPr>
          <w:rStyle w:val="Refdenotaalpie"/>
          <w:rFonts w:ascii="Century Gothic" w:hAnsi="Century Gothic" w:cs="Arial"/>
          <w:sz w:val="24"/>
          <w:szCs w:val="24"/>
        </w:rPr>
        <w:footnoteReference w:id="1"/>
      </w:r>
      <w:r w:rsidRPr="002A6412">
        <w:rPr>
          <w:rFonts w:ascii="Century Gothic" w:hAnsi="Century Gothic" w:cs="Arial"/>
          <w:sz w:val="24"/>
          <w:szCs w:val="24"/>
        </w:rPr>
        <w:t xml:space="preserve"> en relación con los numerales </w:t>
      </w:r>
      <w:r w:rsidRPr="00B51945">
        <w:rPr>
          <w:rFonts w:ascii="Century Gothic" w:hAnsi="Century Gothic" w:cs="Arial"/>
          <w:sz w:val="24"/>
          <w:szCs w:val="24"/>
        </w:rPr>
        <w:t>971, fracción III, y último párrafo del 973 del Código de Procedimientos Civiles del Estado.</w:t>
      </w:r>
      <w:r w:rsidRPr="00B51945">
        <w:rPr>
          <w:rStyle w:val="Refdenotaalpie"/>
          <w:rFonts w:ascii="Century Gothic" w:hAnsi="Century Gothic" w:cs="Arial"/>
          <w:sz w:val="24"/>
          <w:szCs w:val="24"/>
        </w:rPr>
        <w:footnoteReference w:id="2"/>
      </w:r>
      <w:r w:rsidRPr="00B51945">
        <w:rPr>
          <w:rFonts w:ascii="Century Gothic" w:hAnsi="Century Gothic" w:cs="Arial"/>
          <w:sz w:val="24"/>
          <w:szCs w:val="24"/>
        </w:rPr>
        <w:t xml:space="preserve"> Atento a que el auto recurrido fue dictado por un Juez Civil, con residencia en e</w:t>
      </w:r>
      <w:r w:rsidRPr="002A6412">
        <w:rPr>
          <w:rFonts w:ascii="Century Gothic" w:hAnsi="Century Gothic" w:cs="Arial"/>
          <w:sz w:val="24"/>
          <w:szCs w:val="24"/>
        </w:rPr>
        <w:t xml:space="preserve">l territorio judicial, donde este Órgano Colegiado ejerce su jurisdicción. </w:t>
      </w:r>
    </w:p>
    <w:p w:rsidR="004F092A" w:rsidRDefault="004358B2" w:rsidP="00CE5938">
      <w:pPr>
        <w:tabs>
          <w:tab w:val="left" w:pos="1418"/>
        </w:tabs>
        <w:spacing w:after="360" w:line="360" w:lineRule="auto"/>
        <w:ind w:firstLine="851"/>
        <w:jc w:val="both"/>
        <w:rPr>
          <w:rFonts w:ascii="Century Gothic" w:hAnsi="Century Gothic" w:cs="Arial"/>
          <w:b/>
          <w:bCs/>
          <w:sz w:val="24"/>
          <w:szCs w:val="24"/>
        </w:rPr>
      </w:pPr>
      <w:r w:rsidRPr="001456F1">
        <w:rPr>
          <w:rFonts w:ascii="Century Gothic" w:hAnsi="Century Gothic" w:cs="Arial"/>
          <w:b/>
          <w:bCs/>
          <w:sz w:val="24"/>
          <w:szCs w:val="24"/>
        </w:rPr>
        <w:t>SEGUNDO. Trámite</w:t>
      </w:r>
      <w:r w:rsidR="004F092A">
        <w:rPr>
          <w:rFonts w:ascii="Century Gothic" w:hAnsi="Century Gothic" w:cs="Arial"/>
          <w:b/>
          <w:bCs/>
          <w:sz w:val="24"/>
          <w:szCs w:val="24"/>
        </w:rPr>
        <w:t xml:space="preserve"> del recurso</w:t>
      </w:r>
    </w:p>
    <w:p w:rsidR="004F092A" w:rsidRDefault="004F092A" w:rsidP="00CE5938">
      <w:pPr>
        <w:tabs>
          <w:tab w:val="left" w:pos="1418"/>
        </w:tabs>
        <w:spacing w:after="360" w:line="360" w:lineRule="auto"/>
        <w:ind w:firstLine="851"/>
        <w:jc w:val="both"/>
        <w:rPr>
          <w:rStyle w:val="Refdecomentario"/>
          <w:rFonts w:ascii="Century Gothic" w:hAnsi="Century Gothic"/>
          <w:sz w:val="24"/>
          <w:szCs w:val="24"/>
        </w:rPr>
      </w:pPr>
      <w:r w:rsidRPr="002A6412">
        <w:rPr>
          <w:rFonts w:ascii="Century Gothic" w:hAnsi="Century Gothic" w:cs="Arial"/>
          <w:bCs/>
          <w:sz w:val="24"/>
          <w:szCs w:val="24"/>
        </w:rPr>
        <w:t xml:space="preserve">La substanciación del medio de impugnación de que se trata, se encuentra establecido en los </w:t>
      </w:r>
      <w:r w:rsidRPr="00B51945">
        <w:rPr>
          <w:rFonts w:ascii="Century Gothic" w:hAnsi="Century Gothic" w:cs="Arial"/>
          <w:bCs/>
          <w:sz w:val="24"/>
          <w:szCs w:val="24"/>
        </w:rPr>
        <w:t>artículos 971, fracción III y 973 de la Legislación Adjetiva Civil;</w:t>
      </w:r>
      <w:r w:rsidRPr="00B51945">
        <w:rPr>
          <w:rStyle w:val="Refdenotaalpie"/>
          <w:rFonts w:ascii="Century Gothic" w:hAnsi="Century Gothic" w:cs="Arial"/>
          <w:sz w:val="24"/>
          <w:szCs w:val="24"/>
        </w:rPr>
        <w:footnoteReference w:id="3"/>
      </w:r>
      <w:r w:rsidRPr="00B51945">
        <w:rPr>
          <w:rFonts w:ascii="Century Gothic" w:hAnsi="Century Gothic" w:cs="Arial"/>
          <w:bCs/>
          <w:sz w:val="24"/>
          <w:szCs w:val="24"/>
        </w:rPr>
        <w:t xml:space="preserve"> y, 17, fracción VIII, de la Ley Orgánica del Poder Judicial del Estado,</w:t>
      </w:r>
      <w:r w:rsidRPr="00B51945">
        <w:rPr>
          <w:rStyle w:val="Refdenotaalpie"/>
          <w:rFonts w:ascii="Century Gothic" w:hAnsi="Century Gothic" w:cs="Arial"/>
          <w:sz w:val="24"/>
          <w:szCs w:val="24"/>
        </w:rPr>
        <w:footnoteReference w:id="4"/>
      </w:r>
      <w:r w:rsidRPr="00B51945">
        <w:rPr>
          <w:rFonts w:ascii="Century Gothic" w:hAnsi="Century Gothic" w:cs="Arial"/>
          <w:bCs/>
          <w:sz w:val="24"/>
          <w:szCs w:val="24"/>
        </w:rPr>
        <w:t xml:space="preserve"> e</w:t>
      </w:r>
      <w:r w:rsidRPr="002A6412">
        <w:rPr>
          <w:rFonts w:ascii="Century Gothic" w:hAnsi="Century Gothic" w:cs="Arial"/>
          <w:bCs/>
          <w:sz w:val="24"/>
          <w:szCs w:val="24"/>
        </w:rPr>
        <w:t>n razón de que se interpone en contra de un auto dictado en ejecución de sentencia que niega admitir un recurso de apelación</w:t>
      </w:r>
      <w:r w:rsidRPr="002A6412">
        <w:rPr>
          <w:rStyle w:val="Refdecomentario"/>
          <w:rFonts w:ascii="Century Gothic" w:hAnsi="Century Gothic"/>
          <w:sz w:val="24"/>
          <w:szCs w:val="24"/>
        </w:rPr>
        <w:t>.</w:t>
      </w:r>
    </w:p>
    <w:p w:rsidR="004358B2" w:rsidRPr="001456F1" w:rsidRDefault="004358B2" w:rsidP="00CE5938">
      <w:pPr>
        <w:tabs>
          <w:tab w:val="left" w:pos="1418"/>
        </w:tabs>
        <w:spacing w:after="360" w:line="360" w:lineRule="auto"/>
        <w:ind w:firstLine="851"/>
        <w:jc w:val="both"/>
        <w:rPr>
          <w:rFonts w:ascii="Century Gothic" w:hAnsi="Century Gothic" w:cs="Arial"/>
          <w:b/>
          <w:bCs/>
          <w:sz w:val="24"/>
          <w:szCs w:val="24"/>
        </w:rPr>
      </w:pPr>
      <w:r w:rsidRPr="001456F1">
        <w:rPr>
          <w:rFonts w:ascii="Century Gothic" w:hAnsi="Century Gothic" w:cs="Arial"/>
          <w:b/>
          <w:bCs/>
          <w:sz w:val="24"/>
          <w:szCs w:val="24"/>
        </w:rPr>
        <w:lastRenderedPageBreak/>
        <w:t>TERCERO. Oportunidad del recurso</w:t>
      </w:r>
      <w:r w:rsidR="00221D57" w:rsidRPr="001456F1">
        <w:rPr>
          <w:rFonts w:ascii="Century Gothic" w:hAnsi="Century Gothic" w:cs="Arial"/>
          <w:b/>
          <w:bCs/>
          <w:sz w:val="24"/>
          <w:szCs w:val="24"/>
        </w:rPr>
        <w:t>.</w:t>
      </w:r>
    </w:p>
    <w:p w:rsidR="00B61AD0" w:rsidRPr="003358C1" w:rsidRDefault="00EF6ECB" w:rsidP="00CE5938">
      <w:pPr>
        <w:tabs>
          <w:tab w:val="left" w:pos="1418"/>
        </w:tabs>
        <w:spacing w:after="360" w:line="360" w:lineRule="auto"/>
        <w:ind w:firstLine="851"/>
        <w:jc w:val="both"/>
        <w:rPr>
          <w:rFonts w:ascii="Century Gothic" w:hAnsi="Century Gothic" w:cs="Arial"/>
          <w:sz w:val="24"/>
          <w:szCs w:val="24"/>
          <w:highlight w:val="yellow"/>
        </w:rPr>
      </w:pPr>
      <w:r>
        <w:rPr>
          <w:rFonts w:ascii="Century Gothic" w:hAnsi="Century Gothic" w:cs="Arial"/>
          <w:sz w:val="24"/>
          <w:szCs w:val="24"/>
        </w:rPr>
        <w:t xml:space="preserve">El presente recurso </w:t>
      </w:r>
      <w:r w:rsidR="00B61AD0" w:rsidRPr="00B61AD0">
        <w:rPr>
          <w:rFonts w:ascii="Century Gothic" w:hAnsi="Century Gothic" w:cs="Arial"/>
          <w:sz w:val="24"/>
          <w:szCs w:val="24"/>
        </w:rPr>
        <w:t xml:space="preserve">se interpuso dentro del plazo de tres días previsto en el artículo 973, primer párrafo, del Código de Procedimientos Civiles, pues de acuerdo a las constancias que emitió el juez de la causa, </w:t>
      </w:r>
      <w:r>
        <w:rPr>
          <w:rFonts w:ascii="Century Gothic" w:hAnsi="Century Gothic" w:cs="Arial"/>
          <w:sz w:val="24"/>
          <w:szCs w:val="24"/>
        </w:rPr>
        <w:t>e</w:t>
      </w:r>
      <w:r w:rsidR="00B61AD0" w:rsidRPr="00B61AD0">
        <w:rPr>
          <w:rFonts w:ascii="Century Gothic" w:hAnsi="Century Gothic" w:cs="Arial"/>
          <w:sz w:val="24"/>
          <w:szCs w:val="24"/>
        </w:rPr>
        <w:t xml:space="preserve">l </w:t>
      </w:r>
      <w:r>
        <w:rPr>
          <w:rFonts w:ascii="Century Gothic" w:hAnsi="Century Gothic" w:cs="Arial"/>
          <w:sz w:val="24"/>
          <w:szCs w:val="24"/>
        </w:rPr>
        <w:t xml:space="preserve">auto </w:t>
      </w:r>
      <w:r w:rsidR="00B61AD0" w:rsidRPr="00B61AD0">
        <w:rPr>
          <w:rFonts w:ascii="Century Gothic" w:hAnsi="Century Gothic" w:cs="Arial"/>
          <w:sz w:val="24"/>
          <w:szCs w:val="24"/>
        </w:rPr>
        <w:t>impugnad</w:t>
      </w:r>
      <w:r>
        <w:rPr>
          <w:rFonts w:ascii="Century Gothic" w:hAnsi="Century Gothic" w:cs="Arial"/>
          <w:sz w:val="24"/>
          <w:szCs w:val="24"/>
        </w:rPr>
        <w:t>o</w:t>
      </w:r>
      <w:r w:rsidR="00B61AD0" w:rsidRPr="00B61AD0">
        <w:rPr>
          <w:rFonts w:ascii="Century Gothic" w:hAnsi="Century Gothic" w:cs="Arial"/>
          <w:sz w:val="24"/>
          <w:szCs w:val="24"/>
        </w:rPr>
        <w:t xml:space="preserve"> se notificó </w:t>
      </w:r>
      <w:r w:rsidR="00B61AD0" w:rsidRPr="007300DD">
        <w:rPr>
          <w:rFonts w:ascii="Century Gothic" w:hAnsi="Century Gothic" w:cs="Arial"/>
          <w:sz w:val="24"/>
          <w:szCs w:val="24"/>
        </w:rPr>
        <w:t xml:space="preserve">por medio de lista a la parte quejosa el </w:t>
      </w:r>
      <w:r w:rsidR="00356F8C" w:rsidRPr="007300DD">
        <w:rPr>
          <w:rFonts w:ascii="Century Gothic" w:hAnsi="Century Gothic" w:cs="Arial"/>
          <w:sz w:val="24"/>
          <w:szCs w:val="24"/>
        </w:rPr>
        <w:t xml:space="preserve">jueves </w:t>
      </w:r>
      <w:r w:rsidR="00B61AD0" w:rsidRPr="007300DD">
        <w:rPr>
          <w:rFonts w:ascii="Century Gothic" w:hAnsi="Century Gothic" w:cs="Arial"/>
          <w:sz w:val="24"/>
          <w:szCs w:val="24"/>
        </w:rPr>
        <w:t xml:space="preserve">20 veinte de </w:t>
      </w:r>
      <w:r w:rsidR="00356F8C" w:rsidRPr="007300DD">
        <w:rPr>
          <w:rFonts w:ascii="Century Gothic" w:hAnsi="Century Gothic" w:cs="Arial"/>
          <w:sz w:val="24"/>
          <w:szCs w:val="24"/>
        </w:rPr>
        <w:t>agosto de 2020</w:t>
      </w:r>
      <w:r w:rsidR="00B61AD0" w:rsidRPr="007300DD">
        <w:rPr>
          <w:rFonts w:ascii="Century Gothic" w:hAnsi="Century Gothic" w:cs="Arial"/>
          <w:sz w:val="24"/>
          <w:szCs w:val="24"/>
        </w:rPr>
        <w:t xml:space="preserve"> dos mil </w:t>
      </w:r>
      <w:r w:rsidR="00356F8C" w:rsidRPr="007300DD">
        <w:rPr>
          <w:rFonts w:ascii="Century Gothic" w:hAnsi="Century Gothic" w:cs="Arial"/>
          <w:sz w:val="24"/>
          <w:szCs w:val="24"/>
        </w:rPr>
        <w:t>veinte</w:t>
      </w:r>
      <w:r w:rsidR="00B61AD0" w:rsidRPr="007300DD">
        <w:rPr>
          <w:rFonts w:ascii="Century Gothic" w:hAnsi="Century Gothic" w:cs="Arial"/>
          <w:sz w:val="24"/>
          <w:szCs w:val="24"/>
        </w:rPr>
        <w:t>,</w:t>
      </w:r>
      <w:r w:rsidRPr="007300DD">
        <w:rPr>
          <w:rFonts w:ascii="Century Gothic" w:hAnsi="Century Gothic" w:cs="Arial"/>
          <w:sz w:val="24"/>
          <w:szCs w:val="24"/>
        </w:rPr>
        <w:t xml:space="preserve"> (foja 61 vta.)</w:t>
      </w:r>
      <w:r w:rsidR="00B61AD0" w:rsidRPr="007300DD">
        <w:rPr>
          <w:rFonts w:ascii="Century Gothic" w:hAnsi="Century Gothic" w:cs="Arial"/>
          <w:sz w:val="24"/>
          <w:szCs w:val="24"/>
        </w:rPr>
        <w:t xml:space="preserve"> notificación que surtió sus efectos al día siguiente, es decir, el </w:t>
      </w:r>
      <w:r w:rsidR="00356F8C" w:rsidRPr="007300DD">
        <w:rPr>
          <w:rFonts w:ascii="Century Gothic" w:hAnsi="Century Gothic" w:cs="Arial"/>
          <w:sz w:val="24"/>
          <w:szCs w:val="24"/>
        </w:rPr>
        <w:t>viernes</w:t>
      </w:r>
      <w:r w:rsidR="00B61AD0" w:rsidRPr="007300DD">
        <w:rPr>
          <w:rFonts w:ascii="Century Gothic" w:hAnsi="Century Gothic" w:cs="Arial"/>
          <w:sz w:val="24"/>
          <w:szCs w:val="24"/>
        </w:rPr>
        <w:t xml:space="preserve"> 21 veintiuno de ese mes y año. En ese tenor, el plazo en cuestión, inició el </w:t>
      </w:r>
      <w:r w:rsidR="00356F8C" w:rsidRPr="007300DD">
        <w:rPr>
          <w:rFonts w:ascii="Century Gothic" w:hAnsi="Century Gothic" w:cs="Arial"/>
          <w:sz w:val="24"/>
          <w:szCs w:val="24"/>
        </w:rPr>
        <w:t>lunes 24</w:t>
      </w:r>
      <w:r w:rsidR="00B61AD0" w:rsidRPr="007300DD">
        <w:rPr>
          <w:rFonts w:ascii="Century Gothic" w:hAnsi="Century Gothic" w:cs="Arial"/>
          <w:sz w:val="24"/>
          <w:szCs w:val="24"/>
        </w:rPr>
        <w:t xml:space="preserve"> </w:t>
      </w:r>
      <w:r w:rsidR="00356F8C" w:rsidRPr="007300DD">
        <w:rPr>
          <w:rFonts w:ascii="Century Gothic" w:hAnsi="Century Gothic" w:cs="Arial"/>
          <w:sz w:val="24"/>
          <w:szCs w:val="24"/>
        </w:rPr>
        <w:t xml:space="preserve">veinticuatro </w:t>
      </w:r>
      <w:r w:rsidR="00B61AD0" w:rsidRPr="007300DD">
        <w:rPr>
          <w:rFonts w:ascii="Century Gothic" w:hAnsi="Century Gothic" w:cs="Arial"/>
          <w:sz w:val="24"/>
          <w:szCs w:val="24"/>
        </w:rPr>
        <w:t xml:space="preserve">y concluyó el </w:t>
      </w:r>
      <w:r w:rsidR="00356F8C" w:rsidRPr="007300DD">
        <w:rPr>
          <w:rFonts w:ascii="Century Gothic" w:hAnsi="Century Gothic" w:cs="Arial"/>
          <w:sz w:val="24"/>
          <w:szCs w:val="24"/>
        </w:rPr>
        <w:t>viernes 2</w:t>
      </w:r>
      <w:r w:rsidR="0082206A" w:rsidRPr="007300DD">
        <w:rPr>
          <w:rFonts w:ascii="Century Gothic" w:hAnsi="Century Gothic" w:cs="Arial"/>
          <w:sz w:val="24"/>
          <w:szCs w:val="24"/>
        </w:rPr>
        <w:t>7</w:t>
      </w:r>
      <w:r w:rsidR="00B61AD0" w:rsidRPr="007300DD">
        <w:rPr>
          <w:rFonts w:ascii="Century Gothic" w:hAnsi="Century Gothic" w:cs="Arial"/>
          <w:sz w:val="24"/>
          <w:szCs w:val="24"/>
        </w:rPr>
        <w:t xml:space="preserve"> </w:t>
      </w:r>
      <w:r w:rsidR="00356F8C" w:rsidRPr="007300DD">
        <w:rPr>
          <w:rFonts w:ascii="Century Gothic" w:hAnsi="Century Gothic" w:cs="Arial"/>
          <w:sz w:val="24"/>
          <w:szCs w:val="24"/>
        </w:rPr>
        <w:t>veinti</w:t>
      </w:r>
      <w:r w:rsidR="0082206A" w:rsidRPr="007300DD">
        <w:rPr>
          <w:rFonts w:ascii="Century Gothic" w:hAnsi="Century Gothic" w:cs="Arial"/>
          <w:sz w:val="24"/>
          <w:szCs w:val="24"/>
        </w:rPr>
        <w:t xml:space="preserve">siete </w:t>
      </w:r>
      <w:r w:rsidR="00B61AD0" w:rsidRPr="007300DD">
        <w:rPr>
          <w:rFonts w:ascii="Century Gothic" w:hAnsi="Century Gothic" w:cs="Arial"/>
          <w:sz w:val="24"/>
          <w:szCs w:val="24"/>
        </w:rPr>
        <w:t xml:space="preserve">de </w:t>
      </w:r>
      <w:r w:rsidR="00356F8C" w:rsidRPr="007300DD">
        <w:rPr>
          <w:rFonts w:ascii="Century Gothic" w:hAnsi="Century Gothic" w:cs="Arial"/>
          <w:sz w:val="24"/>
          <w:szCs w:val="24"/>
        </w:rPr>
        <w:t>agosto de 2020</w:t>
      </w:r>
      <w:r w:rsidR="00B61AD0" w:rsidRPr="007300DD">
        <w:rPr>
          <w:rFonts w:ascii="Century Gothic" w:hAnsi="Century Gothic" w:cs="Arial"/>
          <w:sz w:val="24"/>
          <w:szCs w:val="24"/>
        </w:rPr>
        <w:t xml:space="preserve"> dos mil veint</w:t>
      </w:r>
      <w:r w:rsidR="00356F8C" w:rsidRPr="007300DD">
        <w:rPr>
          <w:rFonts w:ascii="Century Gothic" w:hAnsi="Century Gothic" w:cs="Arial"/>
          <w:sz w:val="24"/>
          <w:szCs w:val="24"/>
        </w:rPr>
        <w:t>e</w:t>
      </w:r>
      <w:r w:rsidR="0082206A" w:rsidRPr="007300DD">
        <w:rPr>
          <w:rFonts w:ascii="Century Gothic" w:hAnsi="Century Gothic" w:cs="Arial"/>
          <w:sz w:val="24"/>
          <w:szCs w:val="24"/>
        </w:rPr>
        <w:t xml:space="preserve">; </w:t>
      </w:r>
      <w:r w:rsidR="003358C1" w:rsidRPr="007300DD">
        <w:rPr>
          <w:rFonts w:ascii="Century Gothic" w:hAnsi="Century Gothic" w:cs="Arial"/>
          <w:sz w:val="24"/>
          <w:szCs w:val="24"/>
        </w:rPr>
        <w:t>con excepción del 25 por ser inhábil</w:t>
      </w:r>
      <w:r w:rsidR="00B61AD0" w:rsidRPr="007300DD">
        <w:rPr>
          <w:rFonts w:ascii="Century Gothic" w:hAnsi="Century Gothic" w:cs="Arial"/>
          <w:sz w:val="24"/>
          <w:szCs w:val="24"/>
        </w:rPr>
        <w:t>,</w:t>
      </w:r>
      <w:r w:rsidR="00B61AD0" w:rsidRPr="00B61AD0">
        <w:rPr>
          <w:rFonts w:ascii="Century Gothic" w:hAnsi="Century Gothic" w:cs="Arial"/>
          <w:sz w:val="24"/>
          <w:szCs w:val="24"/>
        </w:rPr>
        <w:t xml:space="preserve"> tal y como se hizo constar en la certificación de </w:t>
      </w:r>
      <w:r w:rsidR="00B61AD0" w:rsidRPr="001456F1">
        <w:rPr>
          <w:rFonts w:ascii="Century Gothic" w:hAnsi="Century Gothic" w:cs="Arial"/>
          <w:sz w:val="24"/>
          <w:szCs w:val="24"/>
        </w:rPr>
        <w:t>28 veintiocho de octubre del 2020 dos mil veinte,</w:t>
      </w:r>
      <w:r w:rsidR="00B61AD0" w:rsidRPr="00B61AD0">
        <w:rPr>
          <w:rFonts w:ascii="Century Gothic" w:hAnsi="Century Gothic" w:cs="Arial"/>
          <w:sz w:val="24"/>
          <w:szCs w:val="24"/>
        </w:rPr>
        <w:t xml:space="preserve"> por parte de la Secretaria General del Supremo Tribunal de Justicia.</w:t>
      </w:r>
      <w:r w:rsidR="00B61AD0" w:rsidRPr="003358C1">
        <w:rPr>
          <w:rStyle w:val="Ancladenotaalpie"/>
          <w:rFonts w:ascii="Century Gothic" w:hAnsi="Century Gothic" w:cs="Arial"/>
          <w:sz w:val="20"/>
          <w:szCs w:val="20"/>
        </w:rPr>
        <w:footnoteReference w:id="5"/>
      </w:r>
    </w:p>
    <w:p w:rsidR="00B61AD0" w:rsidRDefault="00B61AD0" w:rsidP="00CE5938">
      <w:pPr>
        <w:tabs>
          <w:tab w:val="left" w:pos="1418"/>
        </w:tabs>
        <w:spacing w:after="360" w:line="360" w:lineRule="auto"/>
        <w:ind w:firstLine="851"/>
        <w:jc w:val="both"/>
        <w:rPr>
          <w:rFonts w:ascii="Century Gothic" w:hAnsi="Century Gothic" w:cs="Arial"/>
          <w:sz w:val="24"/>
          <w:szCs w:val="24"/>
        </w:rPr>
      </w:pPr>
      <w:r w:rsidRPr="00B61AD0">
        <w:rPr>
          <w:rFonts w:ascii="Century Gothic" w:hAnsi="Century Gothic" w:cs="Arial"/>
          <w:sz w:val="24"/>
          <w:szCs w:val="24"/>
        </w:rPr>
        <w:t xml:space="preserve">Por tanto, si la </w:t>
      </w:r>
      <w:proofErr w:type="spellStart"/>
      <w:r w:rsidRPr="00B61AD0">
        <w:rPr>
          <w:rFonts w:ascii="Century Gothic" w:hAnsi="Century Gothic" w:cs="Arial"/>
          <w:sz w:val="24"/>
          <w:szCs w:val="24"/>
        </w:rPr>
        <w:t>promovente</w:t>
      </w:r>
      <w:proofErr w:type="spellEnd"/>
      <w:r w:rsidRPr="00B61AD0">
        <w:rPr>
          <w:rFonts w:ascii="Century Gothic" w:hAnsi="Century Gothic" w:cs="Arial"/>
          <w:sz w:val="24"/>
          <w:szCs w:val="24"/>
        </w:rPr>
        <w:t xml:space="preserve"> interpuso el recurso de queja en estudio mediante escrito presentado el </w:t>
      </w:r>
      <w:r w:rsidRPr="00AD0AA1">
        <w:rPr>
          <w:rFonts w:ascii="Century Gothic" w:hAnsi="Century Gothic" w:cs="Arial"/>
          <w:sz w:val="24"/>
          <w:szCs w:val="24"/>
        </w:rPr>
        <w:t>27 veintisiete de agosto de 2020 dos mil veinte,</w:t>
      </w:r>
      <w:r w:rsidRPr="00B61AD0">
        <w:rPr>
          <w:rFonts w:ascii="Century Gothic" w:hAnsi="Century Gothic" w:cs="Arial"/>
          <w:sz w:val="24"/>
          <w:szCs w:val="24"/>
        </w:rPr>
        <w:t xml:space="preserve"> entonces, resulta evidente que el recurso en comento fue promovido </w:t>
      </w:r>
      <w:r w:rsidR="009A3D52">
        <w:rPr>
          <w:rFonts w:ascii="Century Gothic" w:hAnsi="Century Gothic" w:cs="Arial"/>
          <w:sz w:val="24"/>
          <w:szCs w:val="24"/>
        </w:rPr>
        <w:t xml:space="preserve">en </w:t>
      </w:r>
      <w:r w:rsidRPr="00B61AD0">
        <w:rPr>
          <w:rFonts w:ascii="Century Gothic" w:hAnsi="Century Gothic" w:cs="Arial"/>
          <w:sz w:val="24"/>
          <w:szCs w:val="24"/>
        </w:rPr>
        <w:t xml:space="preserve">el </w:t>
      </w:r>
      <w:r w:rsidRPr="007300DD">
        <w:rPr>
          <w:rFonts w:ascii="Century Gothic" w:hAnsi="Century Gothic" w:cs="Arial"/>
          <w:sz w:val="24"/>
          <w:szCs w:val="24"/>
        </w:rPr>
        <w:t>tercer día</w:t>
      </w:r>
      <w:r w:rsidRPr="00B61AD0">
        <w:rPr>
          <w:rFonts w:ascii="Century Gothic" w:hAnsi="Century Gothic" w:cs="Arial"/>
          <w:sz w:val="24"/>
          <w:szCs w:val="24"/>
        </w:rPr>
        <w:t xml:space="preserve"> del plazo legal y, por consiguiente, en tiempo.</w:t>
      </w:r>
    </w:p>
    <w:p w:rsidR="0031162D" w:rsidRPr="007300DD" w:rsidRDefault="0031162D" w:rsidP="00CE5938">
      <w:pPr>
        <w:tabs>
          <w:tab w:val="left" w:pos="1418"/>
        </w:tabs>
        <w:spacing w:after="360" w:line="360" w:lineRule="auto"/>
        <w:ind w:firstLine="851"/>
        <w:jc w:val="both"/>
        <w:rPr>
          <w:rFonts w:ascii="Century Gothic" w:hAnsi="Century Gothic" w:cs="Arial"/>
          <w:b/>
          <w:sz w:val="24"/>
          <w:szCs w:val="24"/>
        </w:rPr>
      </w:pPr>
      <w:r w:rsidRPr="007300DD">
        <w:rPr>
          <w:rFonts w:ascii="Century Gothic" w:hAnsi="Century Gothic" w:cs="Arial"/>
          <w:b/>
          <w:sz w:val="24"/>
          <w:szCs w:val="24"/>
        </w:rPr>
        <w:t>CUARTO. Legitimación de la recurrente.</w:t>
      </w:r>
    </w:p>
    <w:p w:rsidR="0031162D" w:rsidRPr="0031162D" w:rsidRDefault="0031162D" w:rsidP="00CE5938">
      <w:pPr>
        <w:tabs>
          <w:tab w:val="left" w:pos="851"/>
        </w:tabs>
        <w:spacing w:after="360" w:line="360" w:lineRule="auto"/>
        <w:ind w:firstLine="851"/>
        <w:jc w:val="both"/>
        <w:rPr>
          <w:rFonts w:ascii="Century Gothic" w:hAnsi="Century Gothic" w:cs="Arial"/>
          <w:sz w:val="24"/>
          <w:szCs w:val="24"/>
        </w:rPr>
      </w:pPr>
      <w:r w:rsidRPr="007300DD">
        <w:rPr>
          <w:rFonts w:ascii="Century Gothic" w:hAnsi="Century Gothic" w:cs="Arial"/>
          <w:sz w:val="24"/>
          <w:szCs w:val="24"/>
        </w:rPr>
        <w:t>La recurrente está legitimada para interponer el presente recurso de queja, por tener el carácter de demandada, dentro del juicio de origen.</w:t>
      </w:r>
      <w:r w:rsidRPr="0031162D">
        <w:rPr>
          <w:rFonts w:ascii="Century Gothic" w:hAnsi="Century Gothic" w:cs="Arial"/>
          <w:sz w:val="24"/>
          <w:szCs w:val="24"/>
        </w:rPr>
        <w:t xml:space="preserve"> </w:t>
      </w:r>
    </w:p>
    <w:p w:rsidR="004358B2" w:rsidRPr="001456F1" w:rsidRDefault="0031162D" w:rsidP="00CE5938">
      <w:pPr>
        <w:tabs>
          <w:tab w:val="left" w:pos="1418"/>
        </w:tabs>
        <w:spacing w:after="360" w:line="360" w:lineRule="auto"/>
        <w:ind w:firstLine="851"/>
        <w:jc w:val="both"/>
        <w:rPr>
          <w:rFonts w:ascii="Century Gothic" w:hAnsi="Century Gothic" w:cs="Arial"/>
          <w:b/>
          <w:bCs/>
          <w:sz w:val="24"/>
          <w:szCs w:val="24"/>
        </w:rPr>
      </w:pPr>
      <w:r>
        <w:rPr>
          <w:rFonts w:ascii="Century Gothic" w:hAnsi="Century Gothic" w:cs="Arial"/>
          <w:b/>
          <w:bCs/>
          <w:sz w:val="24"/>
          <w:szCs w:val="24"/>
        </w:rPr>
        <w:t>QUINTO</w:t>
      </w:r>
      <w:r w:rsidR="004358B2" w:rsidRPr="001456F1">
        <w:rPr>
          <w:rFonts w:ascii="Century Gothic" w:hAnsi="Century Gothic" w:cs="Arial"/>
          <w:b/>
          <w:bCs/>
          <w:sz w:val="24"/>
          <w:szCs w:val="24"/>
        </w:rPr>
        <w:t xml:space="preserve">. Fijación de la </w:t>
      </w:r>
      <w:r w:rsidR="00221D57" w:rsidRPr="001456F1">
        <w:rPr>
          <w:rFonts w:ascii="Century Gothic" w:hAnsi="Century Gothic" w:cs="Arial"/>
          <w:b/>
          <w:bCs/>
          <w:iCs/>
          <w:sz w:val="24"/>
          <w:szCs w:val="24"/>
        </w:rPr>
        <w:t>Litis.</w:t>
      </w:r>
    </w:p>
    <w:p w:rsidR="004358B2" w:rsidRPr="001456F1" w:rsidRDefault="004358B2" w:rsidP="00CE5938">
      <w:pPr>
        <w:pStyle w:val="Normal1"/>
        <w:spacing w:after="360" w:line="360" w:lineRule="auto"/>
        <w:ind w:firstLine="851"/>
        <w:jc w:val="both"/>
        <w:rPr>
          <w:rFonts w:ascii="Century Gothic" w:hAnsi="Century Gothic"/>
          <w:color w:val="auto"/>
        </w:rPr>
      </w:pPr>
      <w:r w:rsidRPr="001456F1">
        <w:rPr>
          <w:rFonts w:ascii="Century Gothic" w:hAnsi="Century Gothic" w:cs="Arial"/>
          <w:color w:val="auto"/>
        </w:rPr>
        <w:t>Precisado lo anterior, es menester precisar, que el auto combatido en queja literalmente dice:</w:t>
      </w:r>
    </w:p>
    <w:p w:rsidR="00ED0E3D" w:rsidRDefault="004358B2" w:rsidP="00CE5938">
      <w:pPr>
        <w:spacing w:after="360" w:line="360" w:lineRule="auto"/>
        <w:ind w:left="708" w:firstLine="851"/>
        <w:jc w:val="both"/>
        <w:rPr>
          <w:rFonts w:ascii="Century Gothic" w:hAnsi="Century Gothic" w:cs="Arial"/>
          <w:i/>
          <w:sz w:val="20"/>
          <w:szCs w:val="20"/>
        </w:rPr>
      </w:pPr>
      <w:r w:rsidRPr="00B61AD0">
        <w:rPr>
          <w:rFonts w:ascii="Century Gothic" w:hAnsi="Century Gothic" w:cs="Arial"/>
          <w:i/>
          <w:sz w:val="20"/>
          <w:szCs w:val="20"/>
        </w:rPr>
        <w:t>“…Ci</w:t>
      </w:r>
      <w:r w:rsidR="00E56F5C" w:rsidRPr="00B61AD0">
        <w:rPr>
          <w:rFonts w:ascii="Century Gothic" w:hAnsi="Century Gothic" w:cs="Arial"/>
          <w:i/>
          <w:sz w:val="20"/>
          <w:szCs w:val="20"/>
        </w:rPr>
        <w:t>u</w:t>
      </w:r>
      <w:r w:rsidRPr="00B61AD0">
        <w:rPr>
          <w:rFonts w:ascii="Century Gothic" w:hAnsi="Century Gothic" w:cs="Arial"/>
          <w:i/>
          <w:sz w:val="20"/>
          <w:szCs w:val="20"/>
        </w:rPr>
        <w:t xml:space="preserve">dad Valles, Estado de San Luis Potosí, 19 diecinueve de agosto del año 2020 dos mil veinte. Téngase por recibido oficio por parte del buzón de la Oficialía de partes común de esta Ciudad, con fecha de registro 17 diecisiete de agosto del presente año, por medio del cual acompaña escrito de </w:t>
      </w:r>
      <w:r w:rsidR="007557B6">
        <w:rPr>
          <w:rFonts w:ascii="Century Gothic" w:hAnsi="Century Gothic" w:cs="Arial"/>
          <w:i/>
          <w:sz w:val="20"/>
          <w:szCs w:val="20"/>
        </w:rPr>
        <w:t>ELIMINADO</w:t>
      </w:r>
      <w:r w:rsidRPr="00B61AD0">
        <w:rPr>
          <w:rFonts w:ascii="Century Gothic" w:hAnsi="Century Gothic" w:cs="Arial"/>
          <w:i/>
          <w:sz w:val="20"/>
          <w:szCs w:val="20"/>
        </w:rPr>
        <w:t xml:space="preserve">, con dos juegos de copias para traslados, </w:t>
      </w:r>
      <w:proofErr w:type="spellStart"/>
      <w:r w:rsidRPr="00B61AD0">
        <w:rPr>
          <w:rFonts w:ascii="Century Gothic" w:hAnsi="Century Gothic" w:cs="Arial"/>
          <w:i/>
          <w:sz w:val="20"/>
          <w:szCs w:val="20"/>
        </w:rPr>
        <w:t>recepcionado</w:t>
      </w:r>
      <w:proofErr w:type="spellEnd"/>
      <w:r w:rsidRPr="00B61AD0">
        <w:rPr>
          <w:rFonts w:ascii="Century Gothic" w:hAnsi="Century Gothic" w:cs="Arial"/>
          <w:i/>
          <w:sz w:val="20"/>
          <w:szCs w:val="20"/>
        </w:rPr>
        <w:t xml:space="preserve"> en </w:t>
      </w:r>
      <w:r w:rsidRPr="00B61AD0">
        <w:rPr>
          <w:rFonts w:ascii="Century Gothic" w:hAnsi="Century Gothic" w:cs="Arial"/>
          <w:i/>
          <w:sz w:val="20"/>
          <w:szCs w:val="20"/>
        </w:rPr>
        <w:lastRenderedPageBreak/>
        <w:t xml:space="preserve">este Juzgado el día 18 dieciocho de agosto de la presente anualidad. </w:t>
      </w:r>
      <w:r w:rsidRPr="00B61AD0">
        <w:rPr>
          <w:rFonts w:ascii="Century Gothic" w:hAnsi="Century Gothic" w:cs="Arial"/>
          <w:b/>
          <w:i/>
          <w:sz w:val="20"/>
          <w:szCs w:val="20"/>
          <w:u w:val="single"/>
        </w:rPr>
        <w:t>Visto su contenido con fundamento en lo dispuesto por el artículo 70 del Código de Procedimientos Civiles para el Estado, se desecha de plano el recurso de apelación que hace valer en contra de la resolución de fecha 5 cinco de agosto del año actual, en razón de que la referida resolución interlocutoria no admite recurso alguno conform</w:t>
      </w:r>
      <w:r w:rsidR="00143452" w:rsidRPr="00B61AD0">
        <w:rPr>
          <w:rFonts w:ascii="Century Gothic" w:hAnsi="Century Gothic" w:cs="Arial"/>
          <w:b/>
          <w:i/>
          <w:sz w:val="20"/>
          <w:szCs w:val="20"/>
          <w:u w:val="single"/>
        </w:rPr>
        <w:t>e</w:t>
      </w:r>
      <w:r w:rsidRPr="00B61AD0">
        <w:rPr>
          <w:rFonts w:ascii="Century Gothic" w:hAnsi="Century Gothic" w:cs="Arial"/>
          <w:b/>
          <w:i/>
          <w:sz w:val="20"/>
          <w:szCs w:val="20"/>
          <w:u w:val="single"/>
        </w:rPr>
        <w:t xml:space="preserve"> lo dispuesto en el dispositivo 75 de la ley en consulta.-</w:t>
      </w:r>
      <w:r w:rsidRPr="00B61AD0">
        <w:rPr>
          <w:rFonts w:ascii="Century Gothic" w:hAnsi="Century Gothic" w:cs="Arial"/>
          <w:i/>
          <w:sz w:val="20"/>
          <w:szCs w:val="20"/>
        </w:rPr>
        <w:t xml:space="preserve"> Notifíquese…”.</w:t>
      </w:r>
    </w:p>
    <w:p w:rsidR="004358B2" w:rsidRPr="001456F1" w:rsidRDefault="004358B2" w:rsidP="00CE5938">
      <w:pPr>
        <w:pStyle w:val="Normal1"/>
        <w:spacing w:after="360" w:line="360" w:lineRule="auto"/>
        <w:ind w:firstLine="851"/>
        <w:jc w:val="both"/>
        <w:rPr>
          <w:rFonts w:ascii="Century Gothic" w:hAnsi="Century Gothic" w:cs="Arial"/>
          <w:b/>
          <w:color w:val="auto"/>
        </w:rPr>
      </w:pPr>
      <w:r w:rsidRPr="001456F1">
        <w:rPr>
          <w:rFonts w:ascii="Century Gothic" w:hAnsi="Century Gothic" w:cs="Arial"/>
          <w:color w:val="auto"/>
        </w:rPr>
        <w:t>En contra de dicha determinación l</w:t>
      </w:r>
      <w:r w:rsidR="00B376E5" w:rsidRPr="001456F1">
        <w:rPr>
          <w:rFonts w:ascii="Century Gothic" w:hAnsi="Century Gothic" w:cs="Arial"/>
          <w:color w:val="auto"/>
        </w:rPr>
        <w:t>a</w:t>
      </w:r>
      <w:r w:rsidRPr="001456F1">
        <w:rPr>
          <w:rFonts w:ascii="Century Gothic" w:hAnsi="Century Gothic" w:cs="Arial"/>
          <w:color w:val="auto"/>
        </w:rPr>
        <w:t xml:space="preserve"> inconforme formuló como </w:t>
      </w:r>
      <w:r w:rsidR="002317E4" w:rsidRPr="001456F1">
        <w:rPr>
          <w:rFonts w:ascii="Century Gothic" w:hAnsi="Century Gothic" w:cs="Arial"/>
          <w:b/>
          <w:color w:val="auto"/>
        </w:rPr>
        <w:t>único</w:t>
      </w:r>
      <w:r w:rsidR="002317E4" w:rsidRPr="001456F1">
        <w:rPr>
          <w:rFonts w:ascii="Century Gothic" w:hAnsi="Century Gothic" w:cs="Arial"/>
          <w:color w:val="auto"/>
        </w:rPr>
        <w:t xml:space="preserve"> </w:t>
      </w:r>
      <w:r w:rsidRPr="001456F1">
        <w:rPr>
          <w:rFonts w:ascii="Century Gothic" w:hAnsi="Century Gothic" w:cs="Arial"/>
          <w:b/>
          <w:color w:val="auto"/>
        </w:rPr>
        <w:t>agravio:</w:t>
      </w:r>
    </w:p>
    <w:p w:rsidR="002160DC" w:rsidRPr="00B61AD0" w:rsidRDefault="004358B2" w:rsidP="00CE5938">
      <w:pPr>
        <w:spacing w:after="120" w:line="360" w:lineRule="auto"/>
        <w:ind w:left="708" w:firstLine="851"/>
        <w:jc w:val="both"/>
        <w:rPr>
          <w:rFonts w:ascii="Century Gothic" w:hAnsi="Century Gothic" w:cs="Century Gothic"/>
          <w:i/>
          <w:sz w:val="20"/>
          <w:szCs w:val="20"/>
        </w:rPr>
      </w:pPr>
      <w:r w:rsidRPr="00B61AD0">
        <w:rPr>
          <w:rFonts w:ascii="Century Gothic" w:hAnsi="Century Gothic" w:cs="Century Gothic"/>
          <w:i/>
          <w:sz w:val="20"/>
          <w:szCs w:val="20"/>
        </w:rPr>
        <w:t>“</w:t>
      </w:r>
      <w:r w:rsidR="009F37A0" w:rsidRPr="00B61AD0">
        <w:rPr>
          <w:rFonts w:ascii="Century Gothic" w:hAnsi="Century Gothic" w:cs="Century Gothic"/>
          <w:i/>
          <w:sz w:val="20"/>
          <w:szCs w:val="20"/>
        </w:rPr>
        <w:t>[…] E</w:t>
      </w:r>
      <w:r w:rsidRPr="00B61AD0">
        <w:rPr>
          <w:rFonts w:ascii="Century Gothic" w:hAnsi="Century Gothic" w:cs="Century Gothic"/>
          <w:i/>
          <w:sz w:val="20"/>
          <w:szCs w:val="20"/>
        </w:rPr>
        <w:t xml:space="preserve">l auto de fecha 19 de Agosto del 2020, que fue publicado en listas del juzgado antes señalado, el día 20 veinte de </w:t>
      </w:r>
      <w:r w:rsidR="002160DC" w:rsidRPr="00B61AD0">
        <w:rPr>
          <w:rFonts w:ascii="Century Gothic" w:hAnsi="Century Gothic" w:cs="Century Gothic"/>
          <w:i/>
          <w:sz w:val="20"/>
          <w:szCs w:val="20"/>
        </w:rPr>
        <w:t>a</w:t>
      </w:r>
      <w:r w:rsidRPr="00B61AD0">
        <w:rPr>
          <w:rFonts w:ascii="Century Gothic" w:hAnsi="Century Gothic" w:cs="Century Gothic"/>
          <w:i/>
          <w:sz w:val="20"/>
          <w:szCs w:val="20"/>
        </w:rPr>
        <w:t>gosto del año en curso, en el cual NIEG</w:t>
      </w:r>
      <w:r w:rsidR="00B07B63" w:rsidRPr="00B61AD0">
        <w:rPr>
          <w:rFonts w:ascii="Century Gothic" w:hAnsi="Century Gothic" w:cs="Century Gothic"/>
          <w:i/>
          <w:sz w:val="20"/>
          <w:szCs w:val="20"/>
        </w:rPr>
        <w:t>A ADMITIR EL RECURSO DE APELACIÓ</w:t>
      </w:r>
      <w:r w:rsidRPr="00B61AD0">
        <w:rPr>
          <w:rFonts w:ascii="Century Gothic" w:hAnsi="Century Gothic" w:cs="Century Gothic"/>
          <w:i/>
          <w:sz w:val="20"/>
          <w:szCs w:val="20"/>
        </w:rPr>
        <w:t>N PLANTEADO POR LA SUSCRITA en contra de la sentencia definitiva dictada el 05 cinco de Agosto del presente año, auto o resolución impugnada, que es materia del presente recurso</w:t>
      </w:r>
      <w:r w:rsidR="002160DC" w:rsidRPr="00B61AD0">
        <w:rPr>
          <w:rFonts w:ascii="Century Gothic" w:hAnsi="Century Gothic" w:cs="Century Gothic"/>
          <w:i/>
          <w:sz w:val="20"/>
          <w:szCs w:val="20"/>
        </w:rPr>
        <w:t xml:space="preserve"> […].</w:t>
      </w:r>
      <w:r w:rsidRPr="00B61AD0">
        <w:rPr>
          <w:rFonts w:ascii="Century Gothic" w:hAnsi="Century Gothic" w:cs="Century Gothic"/>
          <w:i/>
          <w:sz w:val="20"/>
          <w:szCs w:val="20"/>
        </w:rPr>
        <w:t xml:space="preserve"> </w:t>
      </w:r>
    </w:p>
    <w:p w:rsidR="002160DC" w:rsidRPr="00B61AD0" w:rsidRDefault="002160DC" w:rsidP="00CE5938">
      <w:pPr>
        <w:spacing w:after="120" w:line="360" w:lineRule="auto"/>
        <w:ind w:firstLine="851"/>
        <w:jc w:val="both"/>
        <w:rPr>
          <w:rFonts w:ascii="Century Gothic" w:hAnsi="Century Gothic" w:cs="Century Gothic"/>
          <w:i/>
          <w:sz w:val="20"/>
          <w:szCs w:val="20"/>
        </w:rPr>
      </w:pPr>
      <w:r w:rsidRPr="00B61AD0">
        <w:rPr>
          <w:rFonts w:ascii="Century Gothic" w:hAnsi="Century Gothic" w:cs="Century Gothic"/>
          <w:i/>
          <w:sz w:val="20"/>
          <w:szCs w:val="20"/>
        </w:rPr>
        <w:t>[…]</w:t>
      </w:r>
    </w:p>
    <w:p w:rsidR="00F15FED" w:rsidRPr="00B61AD0" w:rsidRDefault="00F15FED" w:rsidP="00CE5938">
      <w:pPr>
        <w:spacing w:after="120" w:line="360" w:lineRule="auto"/>
        <w:ind w:left="708" w:firstLine="851"/>
        <w:jc w:val="both"/>
        <w:rPr>
          <w:rFonts w:ascii="Century Gothic" w:hAnsi="Century Gothic" w:cs="Century Gothic"/>
          <w:i/>
          <w:sz w:val="20"/>
          <w:szCs w:val="20"/>
        </w:rPr>
      </w:pPr>
      <w:r w:rsidRPr="00B61AD0">
        <w:rPr>
          <w:rFonts w:ascii="Century Gothic" w:hAnsi="Century Gothic" w:cs="Century Gothic"/>
          <w:i/>
          <w:sz w:val="20"/>
          <w:szCs w:val="20"/>
        </w:rPr>
        <w:t>Que s</w:t>
      </w:r>
      <w:r w:rsidR="00E66E21" w:rsidRPr="00B61AD0">
        <w:rPr>
          <w:rFonts w:ascii="Century Gothic" w:hAnsi="Century Gothic" w:cs="Century Gothic"/>
          <w:i/>
          <w:sz w:val="20"/>
          <w:szCs w:val="20"/>
        </w:rPr>
        <w:t>i</w:t>
      </w:r>
      <w:r w:rsidR="004358B2" w:rsidRPr="00B61AD0">
        <w:rPr>
          <w:rFonts w:ascii="Century Gothic" w:hAnsi="Century Gothic" w:cs="Century Gothic"/>
          <w:i/>
          <w:sz w:val="20"/>
          <w:szCs w:val="20"/>
        </w:rPr>
        <w:t xml:space="preserve"> bien es cierto el artículo 75 de la Ley Adjetiva Civil en vigor en el Estado, establece que las nulidades promovidas por las partes se promoverán ante el Juez que conozca del negocio, </w:t>
      </w:r>
      <w:r w:rsidRPr="00B61AD0">
        <w:rPr>
          <w:rFonts w:ascii="Century Gothic" w:hAnsi="Century Gothic" w:cs="Century Gothic"/>
          <w:i/>
          <w:sz w:val="20"/>
          <w:szCs w:val="20"/>
        </w:rPr>
        <w:t xml:space="preserve">(…) que </w:t>
      </w:r>
      <w:r w:rsidR="004358B2" w:rsidRPr="00B61AD0">
        <w:rPr>
          <w:rFonts w:ascii="Century Gothic" w:hAnsi="Century Gothic" w:cs="Century Gothic"/>
          <w:i/>
          <w:sz w:val="20"/>
          <w:szCs w:val="20"/>
        </w:rPr>
        <w:t xml:space="preserve">en el mismo numeral existe una </w:t>
      </w:r>
      <w:r w:rsidR="004358B2" w:rsidRPr="00B61AD0">
        <w:rPr>
          <w:rFonts w:ascii="Century Gothic" w:hAnsi="Century Gothic" w:cs="Century Gothic"/>
          <w:b/>
          <w:i/>
          <w:sz w:val="20"/>
          <w:szCs w:val="20"/>
        </w:rPr>
        <w:t>salvedad</w:t>
      </w:r>
      <w:r w:rsidR="004358B2" w:rsidRPr="00B61AD0">
        <w:rPr>
          <w:rFonts w:ascii="Century Gothic" w:hAnsi="Century Gothic" w:cs="Century Gothic"/>
          <w:i/>
          <w:sz w:val="20"/>
          <w:szCs w:val="20"/>
        </w:rPr>
        <w:t xml:space="preserve"> para recurrir al Recurso de Apelación, siempre y cuando se trate de </w:t>
      </w:r>
      <w:r w:rsidR="004358B2" w:rsidRPr="00F22E81">
        <w:rPr>
          <w:rFonts w:ascii="Century Gothic" w:hAnsi="Century Gothic" w:cs="Century Gothic"/>
          <w:b/>
          <w:i/>
          <w:sz w:val="20"/>
          <w:szCs w:val="20"/>
        </w:rPr>
        <w:t>nulidades por falta de emplazamiento</w:t>
      </w:r>
      <w:r w:rsidR="004358B2" w:rsidRPr="00B61AD0">
        <w:rPr>
          <w:rFonts w:ascii="Century Gothic" w:hAnsi="Century Gothic" w:cs="Century Gothic"/>
          <w:i/>
          <w:sz w:val="20"/>
          <w:szCs w:val="20"/>
        </w:rPr>
        <w:t xml:space="preserve">, de citación para absolver posiciones o para reconocimiento de documentos, </w:t>
      </w:r>
      <w:r w:rsidRPr="00B61AD0">
        <w:rPr>
          <w:rFonts w:ascii="Century Gothic" w:hAnsi="Century Gothic" w:cs="Century Gothic"/>
          <w:i/>
          <w:sz w:val="20"/>
          <w:szCs w:val="20"/>
        </w:rPr>
        <w:t xml:space="preserve">(…) </w:t>
      </w:r>
      <w:r w:rsidRPr="00F732E8">
        <w:rPr>
          <w:rFonts w:ascii="Century Gothic" w:hAnsi="Century Gothic" w:cs="Century Gothic"/>
          <w:i/>
          <w:sz w:val="20"/>
          <w:szCs w:val="20"/>
        </w:rPr>
        <w:t>que</w:t>
      </w:r>
      <w:r w:rsidRPr="00F22E81">
        <w:rPr>
          <w:rFonts w:ascii="Century Gothic" w:hAnsi="Century Gothic" w:cs="Century Gothic"/>
          <w:b/>
          <w:i/>
          <w:sz w:val="20"/>
          <w:szCs w:val="20"/>
        </w:rPr>
        <w:t xml:space="preserve"> de lo que se duele la quejosa es</w:t>
      </w:r>
      <w:r w:rsidRPr="00B61AD0">
        <w:rPr>
          <w:rFonts w:ascii="Century Gothic" w:hAnsi="Century Gothic" w:cs="Century Gothic"/>
          <w:i/>
          <w:sz w:val="20"/>
          <w:szCs w:val="20"/>
        </w:rPr>
        <w:t xml:space="preserve"> </w:t>
      </w:r>
      <w:r w:rsidR="004358B2" w:rsidRPr="00B61AD0">
        <w:rPr>
          <w:rFonts w:ascii="Century Gothic" w:hAnsi="Century Gothic" w:cs="Century Gothic"/>
          <w:b/>
          <w:i/>
          <w:sz w:val="20"/>
          <w:szCs w:val="20"/>
        </w:rPr>
        <w:t>de la falta de emplazamiento al incidente de costas y gastos</w:t>
      </w:r>
      <w:r w:rsidR="004358B2" w:rsidRPr="00B61AD0">
        <w:rPr>
          <w:rFonts w:ascii="Century Gothic" w:hAnsi="Century Gothic" w:cs="Century Gothic"/>
          <w:i/>
          <w:sz w:val="20"/>
          <w:szCs w:val="20"/>
        </w:rPr>
        <w:t xml:space="preserve"> que promueve el actor del Juicio principal, </w:t>
      </w:r>
      <w:r w:rsidR="00A02528" w:rsidRPr="00B61AD0">
        <w:rPr>
          <w:rFonts w:ascii="Century Gothic" w:hAnsi="Century Gothic" w:cs="Century Gothic"/>
          <w:i/>
          <w:sz w:val="20"/>
          <w:szCs w:val="20"/>
        </w:rPr>
        <w:t xml:space="preserve">puesto que </w:t>
      </w:r>
      <w:r w:rsidR="004358B2" w:rsidRPr="00F732E8">
        <w:rPr>
          <w:rFonts w:ascii="Century Gothic" w:hAnsi="Century Gothic" w:cs="Century Gothic"/>
          <w:b/>
          <w:i/>
          <w:sz w:val="20"/>
          <w:szCs w:val="20"/>
        </w:rPr>
        <w:t xml:space="preserve">en ningún momento, </w:t>
      </w:r>
      <w:r w:rsidR="00A02528" w:rsidRPr="00F732E8">
        <w:rPr>
          <w:rFonts w:ascii="Century Gothic" w:hAnsi="Century Gothic" w:cs="Century Gothic"/>
          <w:b/>
          <w:i/>
          <w:sz w:val="20"/>
          <w:szCs w:val="20"/>
        </w:rPr>
        <w:t>fue notificada y emplazada personalmente del incidente</w:t>
      </w:r>
      <w:r w:rsidR="00A02528" w:rsidRPr="00B61AD0">
        <w:rPr>
          <w:rFonts w:ascii="Century Gothic" w:hAnsi="Century Gothic" w:cs="Century Gothic"/>
          <w:i/>
          <w:sz w:val="20"/>
          <w:szCs w:val="20"/>
        </w:rPr>
        <w:t xml:space="preserve"> interpuesto por el actor</w:t>
      </w:r>
      <w:r w:rsidR="004358B2" w:rsidRPr="00B61AD0">
        <w:rPr>
          <w:rFonts w:ascii="Century Gothic" w:hAnsi="Century Gothic" w:cs="Century Gothic"/>
          <w:i/>
          <w:sz w:val="20"/>
          <w:szCs w:val="20"/>
        </w:rPr>
        <w:t xml:space="preserve">. </w:t>
      </w:r>
    </w:p>
    <w:p w:rsidR="00592177" w:rsidRPr="00B61AD0" w:rsidRDefault="00A02528" w:rsidP="00CE5938">
      <w:pPr>
        <w:spacing w:after="120" w:line="360" w:lineRule="auto"/>
        <w:ind w:left="708" w:firstLine="851"/>
        <w:jc w:val="both"/>
        <w:rPr>
          <w:rFonts w:ascii="Century Gothic" w:hAnsi="Century Gothic" w:cs="Century Gothic"/>
          <w:i/>
          <w:sz w:val="20"/>
          <w:szCs w:val="20"/>
        </w:rPr>
      </w:pPr>
      <w:r w:rsidRPr="00B61AD0">
        <w:rPr>
          <w:rFonts w:ascii="Century Gothic" w:hAnsi="Century Gothic" w:cs="Century Gothic"/>
          <w:i/>
          <w:sz w:val="20"/>
          <w:szCs w:val="20"/>
        </w:rPr>
        <w:t xml:space="preserve">Que dicho incidente fue </w:t>
      </w:r>
      <w:r w:rsidR="004358B2" w:rsidRPr="00B61AD0">
        <w:rPr>
          <w:rFonts w:ascii="Century Gothic" w:hAnsi="Century Gothic" w:cs="Century Gothic"/>
          <w:i/>
          <w:sz w:val="20"/>
          <w:szCs w:val="20"/>
        </w:rPr>
        <w:t xml:space="preserve">acordado y admitido </w:t>
      </w:r>
      <w:r w:rsidRPr="00B61AD0">
        <w:rPr>
          <w:rFonts w:ascii="Century Gothic" w:hAnsi="Century Gothic" w:cs="Century Gothic"/>
          <w:i/>
          <w:sz w:val="20"/>
          <w:szCs w:val="20"/>
        </w:rPr>
        <w:t xml:space="preserve">en el </w:t>
      </w:r>
      <w:r w:rsidR="004358B2" w:rsidRPr="00B61AD0">
        <w:rPr>
          <w:rFonts w:ascii="Century Gothic" w:hAnsi="Century Gothic" w:cs="Century Gothic"/>
          <w:i/>
          <w:sz w:val="20"/>
          <w:szCs w:val="20"/>
        </w:rPr>
        <w:t>auto de fecha 2 de julio del 2019</w:t>
      </w:r>
      <w:r w:rsidRPr="00B61AD0">
        <w:rPr>
          <w:rFonts w:ascii="Century Gothic" w:hAnsi="Century Gothic" w:cs="Century Gothic"/>
          <w:i/>
          <w:sz w:val="20"/>
          <w:szCs w:val="20"/>
        </w:rPr>
        <w:t>,</w:t>
      </w:r>
      <w:r w:rsidR="004358B2" w:rsidRPr="00B61AD0">
        <w:rPr>
          <w:rFonts w:ascii="Century Gothic" w:hAnsi="Century Gothic" w:cs="Century Gothic"/>
          <w:i/>
          <w:sz w:val="20"/>
          <w:szCs w:val="20"/>
        </w:rPr>
        <w:t xml:space="preserve"> </w:t>
      </w:r>
      <w:r w:rsidRPr="00B61AD0">
        <w:rPr>
          <w:rFonts w:ascii="Century Gothic" w:hAnsi="Century Gothic" w:cs="Century Gothic"/>
          <w:i/>
          <w:sz w:val="20"/>
          <w:szCs w:val="20"/>
        </w:rPr>
        <w:t xml:space="preserve">proveído </w:t>
      </w:r>
      <w:r w:rsidR="004358B2" w:rsidRPr="00B61AD0">
        <w:rPr>
          <w:rFonts w:ascii="Century Gothic" w:hAnsi="Century Gothic" w:cs="Century Gothic"/>
          <w:i/>
          <w:sz w:val="20"/>
          <w:szCs w:val="20"/>
        </w:rPr>
        <w:t>en contra del cual interpus</w:t>
      </w:r>
      <w:r w:rsidR="00847D3C" w:rsidRPr="00B61AD0">
        <w:rPr>
          <w:rFonts w:ascii="Century Gothic" w:hAnsi="Century Gothic" w:cs="Century Gothic"/>
          <w:i/>
          <w:sz w:val="20"/>
          <w:szCs w:val="20"/>
        </w:rPr>
        <w:t xml:space="preserve">o </w:t>
      </w:r>
      <w:r w:rsidR="004358B2" w:rsidRPr="00B61AD0">
        <w:rPr>
          <w:rFonts w:ascii="Century Gothic" w:hAnsi="Century Gothic" w:cs="Century Gothic"/>
          <w:i/>
          <w:sz w:val="20"/>
          <w:szCs w:val="20"/>
        </w:rPr>
        <w:t>Incidente de Nulidad de Actuaciones por no habérse</w:t>
      </w:r>
      <w:r w:rsidR="00847D3C" w:rsidRPr="00B61AD0">
        <w:rPr>
          <w:rFonts w:ascii="Century Gothic" w:hAnsi="Century Gothic" w:cs="Century Gothic"/>
          <w:i/>
          <w:sz w:val="20"/>
          <w:szCs w:val="20"/>
        </w:rPr>
        <w:t>l</w:t>
      </w:r>
      <w:r w:rsidR="004358B2" w:rsidRPr="00B61AD0">
        <w:rPr>
          <w:rFonts w:ascii="Century Gothic" w:hAnsi="Century Gothic" w:cs="Century Gothic"/>
          <w:i/>
          <w:sz w:val="20"/>
          <w:szCs w:val="20"/>
        </w:rPr>
        <w:t xml:space="preserve">e notificado en forma personal en </w:t>
      </w:r>
      <w:r w:rsidR="00847D3C" w:rsidRPr="00B61AD0">
        <w:rPr>
          <w:rFonts w:ascii="Century Gothic" w:hAnsi="Century Gothic" w:cs="Century Gothic"/>
          <w:i/>
          <w:sz w:val="20"/>
          <w:szCs w:val="20"/>
        </w:rPr>
        <w:t xml:space="preserve">su </w:t>
      </w:r>
      <w:r w:rsidR="004358B2" w:rsidRPr="00B61AD0">
        <w:rPr>
          <w:rFonts w:ascii="Century Gothic" w:hAnsi="Century Gothic" w:cs="Century Gothic"/>
          <w:i/>
          <w:sz w:val="20"/>
          <w:szCs w:val="20"/>
        </w:rPr>
        <w:t xml:space="preserve">domicilio, </w:t>
      </w:r>
      <w:r w:rsidR="00DE26E6" w:rsidRPr="00B61AD0">
        <w:rPr>
          <w:rFonts w:ascii="Century Gothic" w:hAnsi="Century Gothic" w:cs="Century Gothic"/>
          <w:i/>
          <w:sz w:val="20"/>
          <w:szCs w:val="20"/>
        </w:rPr>
        <w:t xml:space="preserve">que </w:t>
      </w:r>
      <w:r w:rsidR="004358B2" w:rsidRPr="00B61AD0">
        <w:rPr>
          <w:rFonts w:ascii="Century Gothic" w:hAnsi="Century Gothic" w:cs="Century Gothic"/>
          <w:i/>
          <w:sz w:val="20"/>
          <w:szCs w:val="20"/>
        </w:rPr>
        <w:t xml:space="preserve">el Juez de </w:t>
      </w:r>
      <w:r w:rsidR="00DE26E6" w:rsidRPr="00B61AD0">
        <w:rPr>
          <w:rFonts w:ascii="Century Gothic" w:hAnsi="Century Gothic" w:cs="Century Gothic"/>
          <w:i/>
          <w:sz w:val="20"/>
          <w:szCs w:val="20"/>
        </w:rPr>
        <w:t>o</w:t>
      </w:r>
      <w:r w:rsidR="004358B2" w:rsidRPr="00B61AD0">
        <w:rPr>
          <w:rFonts w:ascii="Century Gothic" w:hAnsi="Century Gothic" w:cs="Century Gothic"/>
          <w:i/>
          <w:sz w:val="20"/>
          <w:szCs w:val="20"/>
        </w:rPr>
        <w:t xml:space="preserve">rigen, </w:t>
      </w:r>
      <w:r w:rsidR="00DE26E6" w:rsidRPr="00B61AD0">
        <w:rPr>
          <w:rFonts w:ascii="Century Gothic" w:hAnsi="Century Gothic" w:cs="Century Gothic"/>
          <w:i/>
          <w:sz w:val="20"/>
          <w:szCs w:val="20"/>
        </w:rPr>
        <w:t xml:space="preserve">indicó </w:t>
      </w:r>
      <w:r w:rsidR="004358B2" w:rsidRPr="00B61AD0">
        <w:rPr>
          <w:rFonts w:ascii="Century Gothic" w:hAnsi="Century Gothic" w:cs="Century Gothic"/>
          <w:i/>
          <w:sz w:val="20"/>
          <w:szCs w:val="20"/>
        </w:rPr>
        <w:t xml:space="preserve">que hay constancia actuarial de fecha 30 de </w:t>
      </w:r>
      <w:r w:rsidR="00DE26E6" w:rsidRPr="00B61AD0">
        <w:rPr>
          <w:rFonts w:ascii="Century Gothic" w:hAnsi="Century Gothic" w:cs="Century Gothic"/>
          <w:i/>
          <w:sz w:val="20"/>
          <w:szCs w:val="20"/>
        </w:rPr>
        <w:t>d</w:t>
      </w:r>
      <w:r w:rsidR="004358B2" w:rsidRPr="00B61AD0">
        <w:rPr>
          <w:rFonts w:ascii="Century Gothic" w:hAnsi="Century Gothic" w:cs="Century Gothic"/>
          <w:i/>
          <w:sz w:val="20"/>
          <w:szCs w:val="20"/>
        </w:rPr>
        <w:t xml:space="preserve">iciembre del 2019, levantada por la actuaria adscrita al Juzgado, donde notifica a </w:t>
      </w:r>
      <w:r w:rsidR="007557B6">
        <w:rPr>
          <w:rFonts w:ascii="Century Gothic" w:hAnsi="Century Gothic" w:cs="Century Gothic"/>
          <w:i/>
          <w:sz w:val="20"/>
          <w:szCs w:val="20"/>
        </w:rPr>
        <w:t>ELIMINADO</w:t>
      </w:r>
      <w:r w:rsidR="004358B2" w:rsidRPr="00B61AD0">
        <w:rPr>
          <w:rFonts w:ascii="Century Gothic" w:hAnsi="Century Gothic" w:cs="Century Gothic"/>
          <w:i/>
          <w:sz w:val="20"/>
          <w:szCs w:val="20"/>
        </w:rPr>
        <w:t xml:space="preserve"> en su calidad de </w:t>
      </w:r>
      <w:r w:rsidR="008C1D41" w:rsidRPr="00B61AD0">
        <w:rPr>
          <w:rFonts w:ascii="Century Gothic" w:hAnsi="Century Gothic" w:cs="Century Gothic"/>
          <w:i/>
          <w:sz w:val="20"/>
          <w:szCs w:val="20"/>
        </w:rPr>
        <w:t xml:space="preserve">(sic) </w:t>
      </w:r>
      <w:r w:rsidR="004358B2" w:rsidRPr="00B61AD0">
        <w:rPr>
          <w:rFonts w:ascii="Century Gothic" w:hAnsi="Century Gothic" w:cs="Century Gothic"/>
          <w:i/>
          <w:sz w:val="20"/>
          <w:szCs w:val="20"/>
        </w:rPr>
        <w:t xml:space="preserve">actuaciones gastos, cuyo trámite se ordenó en el auto de fecha 2 de </w:t>
      </w:r>
      <w:r w:rsidR="00DE26E6" w:rsidRPr="00B61AD0">
        <w:rPr>
          <w:rFonts w:ascii="Century Gothic" w:hAnsi="Century Gothic" w:cs="Century Gothic"/>
          <w:i/>
          <w:sz w:val="20"/>
          <w:szCs w:val="20"/>
        </w:rPr>
        <w:t>a</w:t>
      </w:r>
      <w:r w:rsidR="004358B2" w:rsidRPr="00B61AD0">
        <w:rPr>
          <w:rFonts w:ascii="Century Gothic" w:hAnsi="Century Gothic" w:cs="Century Gothic"/>
          <w:i/>
          <w:sz w:val="20"/>
          <w:szCs w:val="20"/>
        </w:rPr>
        <w:t>gosto del 2019</w:t>
      </w:r>
      <w:r w:rsidR="00592177" w:rsidRPr="00B61AD0">
        <w:rPr>
          <w:rFonts w:ascii="Century Gothic" w:hAnsi="Century Gothic" w:cs="Century Gothic"/>
          <w:i/>
          <w:sz w:val="20"/>
          <w:szCs w:val="20"/>
        </w:rPr>
        <w:t xml:space="preserve"> (…).</w:t>
      </w:r>
      <w:r w:rsidR="004358B2" w:rsidRPr="00B61AD0">
        <w:rPr>
          <w:rFonts w:ascii="Century Gothic" w:hAnsi="Century Gothic" w:cs="Century Gothic"/>
          <w:i/>
          <w:sz w:val="20"/>
          <w:szCs w:val="20"/>
        </w:rPr>
        <w:t xml:space="preserve"> </w:t>
      </w:r>
    </w:p>
    <w:p w:rsidR="00644CE4" w:rsidRPr="00B61AD0" w:rsidRDefault="00592177" w:rsidP="00CE5938">
      <w:pPr>
        <w:spacing w:after="120" w:line="360" w:lineRule="auto"/>
        <w:ind w:left="708" w:firstLine="851"/>
        <w:jc w:val="both"/>
        <w:rPr>
          <w:rFonts w:ascii="Century Gothic" w:hAnsi="Century Gothic" w:cs="Century Gothic"/>
          <w:i/>
          <w:sz w:val="20"/>
          <w:szCs w:val="20"/>
        </w:rPr>
      </w:pPr>
      <w:r w:rsidRPr="00B61AD0">
        <w:rPr>
          <w:rFonts w:ascii="Century Gothic" w:hAnsi="Century Gothic" w:cs="Century Gothic"/>
          <w:i/>
          <w:sz w:val="20"/>
          <w:szCs w:val="20"/>
        </w:rPr>
        <w:t xml:space="preserve">Que a la quejosa (…) </w:t>
      </w:r>
      <w:r w:rsidR="004358B2" w:rsidRPr="00B61AD0">
        <w:rPr>
          <w:rFonts w:ascii="Century Gothic" w:hAnsi="Century Gothic" w:cs="Century Gothic"/>
          <w:i/>
          <w:sz w:val="20"/>
          <w:szCs w:val="20"/>
        </w:rPr>
        <w:t>desde el auto de fecha 2 de Julio del 2019</w:t>
      </w:r>
      <w:r w:rsidRPr="00B61AD0">
        <w:rPr>
          <w:rFonts w:ascii="Century Gothic" w:hAnsi="Century Gothic" w:cs="Century Gothic"/>
          <w:i/>
          <w:sz w:val="20"/>
          <w:szCs w:val="20"/>
        </w:rPr>
        <w:t>,</w:t>
      </w:r>
      <w:r w:rsidR="004358B2" w:rsidRPr="00B61AD0">
        <w:rPr>
          <w:rFonts w:ascii="Century Gothic" w:hAnsi="Century Gothic" w:cs="Century Gothic"/>
          <w:i/>
          <w:sz w:val="20"/>
          <w:szCs w:val="20"/>
        </w:rPr>
        <w:t xml:space="preserve"> no se </w:t>
      </w:r>
      <w:r w:rsidRPr="00B61AD0">
        <w:rPr>
          <w:rFonts w:ascii="Century Gothic" w:hAnsi="Century Gothic" w:cs="Century Gothic"/>
          <w:i/>
          <w:sz w:val="20"/>
          <w:szCs w:val="20"/>
        </w:rPr>
        <w:t>l</w:t>
      </w:r>
      <w:r w:rsidR="004358B2" w:rsidRPr="00B61AD0">
        <w:rPr>
          <w:rFonts w:ascii="Century Gothic" w:hAnsi="Century Gothic" w:cs="Century Gothic"/>
          <w:i/>
          <w:sz w:val="20"/>
          <w:szCs w:val="20"/>
        </w:rPr>
        <w:t xml:space="preserve">e notificó personalmente </w:t>
      </w:r>
      <w:r w:rsidRPr="00B61AD0">
        <w:rPr>
          <w:rFonts w:ascii="Century Gothic" w:hAnsi="Century Gothic" w:cs="Century Gothic"/>
          <w:i/>
          <w:sz w:val="20"/>
          <w:szCs w:val="20"/>
        </w:rPr>
        <w:t xml:space="preserve">o a su </w:t>
      </w:r>
      <w:r w:rsidR="004358B2" w:rsidRPr="00B61AD0">
        <w:rPr>
          <w:rFonts w:ascii="Century Gothic" w:hAnsi="Century Gothic" w:cs="Century Gothic"/>
          <w:i/>
          <w:sz w:val="20"/>
          <w:szCs w:val="20"/>
        </w:rPr>
        <w:t xml:space="preserve">apoderado hasta la fecha de presentación del INCIDENTE DE NULIDAD DE ACTUACIONES, </w:t>
      </w:r>
      <w:r w:rsidRPr="00B61AD0">
        <w:rPr>
          <w:rFonts w:ascii="Century Gothic" w:hAnsi="Century Gothic" w:cs="Century Gothic"/>
          <w:i/>
          <w:sz w:val="20"/>
          <w:szCs w:val="20"/>
        </w:rPr>
        <w:t xml:space="preserve">por lo que la motivación del A quo, </w:t>
      </w:r>
      <w:r w:rsidR="004358B2" w:rsidRPr="00B61AD0">
        <w:rPr>
          <w:rFonts w:ascii="Century Gothic" w:hAnsi="Century Gothic" w:cs="Century Gothic"/>
          <w:i/>
          <w:sz w:val="20"/>
          <w:szCs w:val="20"/>
        </w:rPr>
        <w:t xml:space="preserve">es contraria </w:t>
      </w:r>
      <w:r w:rsidRPr="00B61AD0">
        <w:rPr>
          <w:rFonts w:ascii="Century Gothic" w:hAnsi="Century Gothic" w:cs="Century Gothic"/>
          <w:i/>
          <w:sz w:val="20"/>
          <w:szCs w:val="20"/>
        </w:rPr>
        <w:t xml:space="preserve">a </w:t>
      </w:r>
      <w:r w:rsidR="004358B2" w:rsidRPr="00B61AD0">
        <w:rPr>
          <w:rFonts w:ascii="Century Gothic" w:hAnsi="Century Gothic" w:cs="Century Gothic"/>
          <w:i/>
          <w:sz w:val="20"/>
          <w:szCs w:val="20"/>
        </w:rPr>
        <w:t>derecho y al procedimiento civil</w:t>
      </w:r>
      <w:r w:rsidRPr="00B61AD0">
        <w:rPr>
          <w:rFonts w:ascii="Century Gothic" w:hAnsi="Century Gothic" w:cs="Century Gothic"/>
          <w:i/>
          <w:sz w:val="20"/>
          <w:szCs w:val="20"/>
        </w:rPr>
        <w:t xml:space="preserve">, porque no entró </w:t>
      </w:r>
      <w:r w:rsidR="004358B2" w:rsidRPr="00B61AD0">
        <w:rPr>
          <w:rFonts w:ascii="Century Gothic" w:hAnsi="Century Gothic" w:cs="Century Gothic"/>
          <w:i/>
          <w:sz w:val="20"/>
          <w:szCs w:val="20"/>
        </w:rPr>
        <w:t xml:space="preserve">al estudio de lo pedido </w:t>
      </w:r>
      <w:r w:rsidR="00FA57F6" w:rsidRPr="00B61AD0">
        <w:rPr>
          <w:rFonts w:ascii="Century Gothic" w:hAnsi="Century Gothic" w:cs="Century Gothic"/>
          <w:i/>
          <w:sz w:val="20"/>
          <w:szCs w:val="20"/>
        </w:rPr>
        <w:t xml:space="preserve">(…) y se le debió haber notificado a ella </w:t>
      </w:r>
      <w:r w:rsidR="004358B2" w:rsidRPr="00B61AD0">
        <w:rPr>
          <w:rFonts w:ascii="Century Gothic" w:hAnsi="Century Gothic" w:cs="Century Gothic"/>
          <w:i/>
          <w:sz w:val="20"/>
          <w:szCs w:val="20"/>
        </w:rPr>
        <w:t xml:space="preserve">personalmente en </w:t>
      </w:r>
      <w:r w:rsidR="00FA57F6" w:rsidRPr="00B61AD0">
        <w:rPr>
          <w:rFonts w:ascii="Century Gothic" w:hAnsi="Century Gothic" w:cs="Century Gothic"/>
          <w:i/>
          <w:sz w:val="20"/>
          <w:szCs w:val="20"/>
        </w:rPr>
        <w:t>su</w:t>
      </w:r>
      <w:r w:rsidR="004358B2" w:rsidRPr="00B61AD0">
        <w:rPr>
          <w:rFonts w:ascii="Century Gothic" w:hAnsi="Century Gothic" w:cs="Century Gothic"/>
          <w:i/>
          <w:sz w:val="20"/>
          <w:szCs w:val="20"/>
        </w:rPr>
        <w:t xml:space="preserve"> domicilio particular, como lo es</w:t>
      </w:r>
      <w:r w:rsidR="008C1D41" w:rsidRPr="00B61AD0">
        <w:rPr>
          <w:rFonts w:ascii="Century Gothic" w:hAnsi="Century Gothic" w:cs="Century Gothic"/>
          <w:i/>
          <w:sz w:val="20"/>
          <w:szCs w:val="20"/>
        </w:rPr>
        <w:t>,</w:t>
      </w:r>
      <w:r w:rsidR="004358B2" w:rsidRPr="00B61AD0">
        <w:rPr>
          <w:rFonts w:ascii="Century Gothic" w:hAnsi="Century Gothic" w:cs="Century Gothic"/>
          <w:i/>
          <w:sz w:val="20"/>
          <w:szCs w:val="20"/>
        </w:rPr>
        <w:t xml:space="preserve"> en </w:t>
      </w:r>
      <w:r w:rsidR="008C1D41" w:rsidRPr="00B61AD0">
        <w:rPr>
          <w:rFonts w:ascii="Century Gothic" w:hAnsi="Century Gothic" w:cs="Century Gothic"/>
          <w:i/>
          <w:sz w:val="20"/>
          <w:szCs w:val="20"/>
        </w:rPr>
        <w:t xml:space="preserve">el </w:t>
      </w:r>
      <w:r w:rsidR="007557B6">
        <w:rPr>
          <w:rFonts w:ascii="Century Gothic" w:hAnsi="Century Gothic" w:cs="Century Gothic"/>
          <w:i/>
          <w:sz w:val="20"/>
          <w:szCs w:val="20"/>
        </w:rPr>
        <w:t>ELIMINADO</w:t>
      </w:r>
      <w:r w:rsidR="004358B2" w:rsidRPr="00B61AD0">
        <w:rPr>
          <w:rFonts w:ascii="Century Gothic" w:hAnsi="Century Gothic" w:cs="Century Gothic"/>
          <w:i/>
          <w:sz w:val="20"/>
          <w:szCs w:val="20"/>
        </w:rPr>
        <w:t xml:space="preserve"> </w:t>
      </w:r>
      <w:r w:rsidR="00504415" w:rsidRPr="00B61AD0">
        <w:rPr>
          <w:rFonts w:ascii="Century Gothic" w:hAnsi="Century Gothic" w:cs="Century Gothic"/>
          <w:i/>
          <w:sz w:val="20"/>
          <w:szCs w:val="20"/>
        </w:rPr>
        <w:t>c</w:t>
      </w:r>
      <w:r w:rsidR="004358B2" w:rsidRPr="00B61AD0">
        <w:rPr>
          <w:rFonts w:ascii="Century Gothic" w:hAnsi="Century Gothic" w:cs="Century Gothic"/>
          <w:i/>
          <w:sz w:val="20"/>
          <w:szCs w:val="20"/>
        </w:rPr>
        <w:t xml:space="preserve">arretera </w:t>
      </w:r>
      <w:r w:rsidR="007557B6">
        <w:rPr>
          <w:rFonts w:ascii="Century Gothic" w:hAnsi="Century Gothic" w:cs="Century Gothic"/>
          <w:i/>
          <w:sz w:val="20"/>
          <w:szCs w:val="20"/>
        </w:rPr>
        <w:t>ELIMINADO</w:t>
      </w:r>
      <w:r w:rsidR="004358B2" w:rsidRPr="00B61AD0">
        <w:rPr>
          <w:rFonts w:ascii="Century Gothic" w:hAnsi="Century Gothic" w:cs="Century Gothic"/>
          <w:i/>
          <w:sz w:val="20"/>
          <w:szCs w:val="20"/>
        </w:rPr>
        <w:t xml:space="preserve"> Rancho </w:t>
      </w:r>
      <w:r w:rsidR="007557B6">
        <w:rPr>
          <w:rFonts w:ascii="Century Gothic" w:hAnsi="Century Gothic" w:cs="Century Gothic"/>
          <w:i/>
          <w:sz w:val="20"/>
          <w:szCs w:val="20"/>
        </w:rPr>
        <w:t>ELIMINADO</w:t>
      </w:r>
      <w:r w:rsidR="004358B2" w:rsidRPr="00B61AD0">
        <w:rPr>
          <w:rFonts w:ascii="Century Gothic" w:hAnsi="Century Gothic" w:cs="Century Gothic"/>
          <w:i/>
          <w:sz w:val="20"/>
          <w:szCs w:val="20"/>
        </w:rPr>
        <w:t xml:space="preserve"> de esta Ciudad, como se </w:t>
      </w:r>
      <w:r w:rsidR="004358B2" w:rsidRPr="00B61AD0">
        <w:rPr>
          <w:rFonts w:ascii="Century Gothic" w:hAnsi="Century Gothic" w:cs="Century Gothic"/>
          <w:i/>
          <w:sz w:val="20"/>
          <w:szCs w:val="20"/>
        </w:rPr>
        <w:lastRenderedPageBreak/>
        <w:t xml:space="preserve">desprende de autos en el escrito inicial de demanda del actor, </w:t>
      </w:r>
      <w:r w:rsidR="00FA57F6" w:rsidRPr="00B61AD0">
        <w:rPr>
          <w:rFonts w:ascii="Century Gothic" w:hAnsi="Century Gothic" w:cs="Century Gothic"/>
          <w:i/>
          <w:sz w:val="20"/>
          <w:szCs w:val="20"/>
        </w:rPr>
        <w:t xml:space="preserve">(…) </w:t>
      </w:r>
      <w:r w:rsidR="004358B2" w:rsidRPr="00B61AD0">
        <w:rPr>
          <w:rFonts w:ascii="Century Gothic" w:hAnsi="Century Gothic" w:cs="Century Gothic"/>
          <w:i/>
          <w:sz w:val="20"/>
          <w:szCs w:val="20"/>
        </w:rPr>
        <w:t xml:space="preserve">y bajo ninguna circunstancia, se </w:t>
      </w:r>
      <w:r w:rsidR="00FA57F6" w:rsidRPr="00B61AD0">
        <w:rPr>
          <w:rFonts w:ascii="Century Gothic" w:hAnsi="Century Gothic" w:cs="Century Gothic"/>
          <w:i/>
          <w:sz w:val="20"/>
          <w:szCs w:val="20"/>
        </w:rPr>
        <w:t>l</w:t>
      </w:r>
      <w:r w:rsidR="004358B2" w:rsidRPr="00B61AD0">
        <w:rPr>
          <w:rFonts w:ascii="Century Gothic" w:hAnsi="Century Gothic" w:cs="Century Gothic"/>
          <w:i/>
          <w:sz w:val="20"/>
          <w:szCs w:val="20"/>
        </w:rPr>
        <w:t xml:space="preserve">e ha corrido traslado del incidente que promueve el aquí actor, </w:t>
      </w:r>
      <w:r w:rsidR="00FA57F6" w:rsidRPr="00B61AD0">
        <w:rPr>
          <w:rFonts w:ascii="Century Gothic" w:hAnsi="Century Gothic" w:cs="Century Gothic"/>
          <w:i/>
          <w:sz w:val="20"/>
          <w:szCs w:val="20"/>
        </w:rPr>
        <w:t xml:space="preserve">(…) </w:t>
      </w:r>
      <w:r w:rsidR="004358B2" w:rsidRPr="00B61AD0">
        <w:rPr>
          <w:rFonts w:ascii="Century Gothic" w:hAnsi="Century Gothic" w:cs="Century Gothic"/>
          <w:i/>
          <w:sz w:val="20"/>
          <w:szCs w:val="20"/>
        </w:rPr>
        <w:t xml:space="preserve">y </w:t>
      </w:r>
      <w:r w:rsidR="00FA57F6" w:rsidRPr="00B61AD0">
        <w:rPr>
          <w:rFonts w:ascii="Century Gothic" w:hAnsi="Century Gothic" w:cs="Century Gothic"/>
          <w:i/>
          <w:sz w:val="20"/>
          <w:szCs w:val="20"/>
        </w:rPr>
        <w:t xml:space="preserve">que donde </w:t>
      </w:r>
      <w:r w:rsidR="004358B2" w:rsidRPr="00B61AD0">
        <w:rPr>
          <w:rFonts w:ascii="Century Gothic" w:hAnsi="Century Gothic" w:cs="Century Gothic"/>
          <w:i/>
          <w:sz w:val="20"/>
          <w:szCs w:val="20"/>
        </w:rPr>
        <w:t xml:space="preserve">supuestamente </w:t>
      </w:r>
      <w:r w:rsidR="00FA57F6" w:rsidRPr="00B61AD0">
        <w:rPr>
          <w:rFonts w:ascii="Century Gothic" w:hAnsi="Century Gothic" w:cs="Century Gothic"/>
          <w:i/>
          <w:sz w:val="20"/>
          <w:szCs w:val="20"/>
        </w:rPr>
        <w:t>l</w:t>
      </w:r>
      <w:r w:rsidR="004358B2" w:rsidRPr="00B61AD0">
        <w:rPr>
          <w:rFonts w:ascii="Century Gothic" w:hAnsi="Century Gothic" w:cs="Century Gothic"/>
          <w:i/>
          <w:sz w:val="20"/>
          <w:szCs w:val="20"/>
        </w:rPr>
        <w:t xml:space="preserve">e fue notificado </w:t>
      </w:r>
      <w:r w:rsidR="00644CE4" w:rsidRPr="00B61AD0">
        <w:rPr>
          <w:rFonts w:ascii="Century Gothic" w:hAnsi="Century Gothic" w:cs="Century Gothic"/>
          <w:i/>
          <w:sz w:val="20"/>
          <w:szCs w:val="20"/>
        </w:rPr>
        <w:t>(</w:t>
      </w:r>
      <w:r w:rsidR="004358B2" w:rsidRPr="00B61AD0">
        <w:rPr>
          <w:rFonts w:ascii="Century Gothic" w:hAnsi="Century Gothic" w:cs="Century Gothic"/>
          <w:i/>
          <w:sz w:val="20"/>
          <w:szCs w:val="20"/>
        </w:rPr>
        <w:t xml:space="preserve">Avenida </w:t>
      </w:r>
      <w:r w:rsidR="007557B6">
        <w:rPr>
          <w:rFonts w:ascii="Century Gothic" w:hAnsi="Century Gothic" w:cs="Century Gothic"/>
          <w:i/>
          <w:sz w:val="20"/>
          <w:szCs w:val="20"/>
        </w:rPr>
        <w:t>ELIMINADO</w:t>
      </w:r>
      <w:r w:rsidR="00644CE4" w:rsidRPr="00B61AD0">
        <w:rPr>
          <w:rFonts w:ascii="Century Gothic" w:hAnsi="Century Gothic" w:cs="Century Gothic"/>
          <w:i/>
          <w:sz w:val="20"/>
          <w:szCs w:val="20"/>
        </w:rPr>
        <w:t xml:space="preserve">), si </w:t>
      </w:r>
      <w:r w:rsidR="004358B2" w:rsidRPr="00B61AD0">
        <w:rPr>
          <w:rFonts w:ascii="Century Gothic" w:hAnsi="Century Gothic" w:cs="Century Gothic"/>
          <w:i/>
          <w:sz w:val="20"/>
          <w:szCs w:val="20"/>
        </w:rPr>
        <w:t xml:space="preserve">está autorizado para oír y recibir notificaciones, </w:t>
      </w:r>
      <w:r w:rsidR="00644CE4" w:rsidRPr="00B61AD0">
        <w:rPr>
          <w:rFonts w:ascii="Century Gothic" w:hAnsi="Century Gothic" w:cs="Century Gothic"/>
          <w:i/>
          <w:sz w:val="20"/>
          <w:szCs w:val="20"/>
        </w:rPr>
        <w:t xml:space="preserve">pero lo </w:t>
      </w:r>
      <w:r w:rsidR="004358B2" w:rsidRPr="00B61AD0">
        <w:rPr>
          <w:rFonts w:ascii="Century Gothic" w:hAnsi="Century Gothic" w:cs="Century Gothic"/>
          <w:i/>
          <w:sz w:val="20"/>
          <w:szCs w:val="20"/>
        </w:rPr>
        <w:t>cierto es</w:t>
      </w:r>
      <w:r w:rsidR="00644CE4" w:rsidRPr="00B61AD0">
        <w:rPr>
          <w:rFonts w:ascii="Century Gothic" w:hAnsi="Century Gothic" w:cs="Century Gothic"/>
          <w:i/>
          <w:sz w:val="20"/>
          <w:szCs w:val="20"/>
        </w:rPr>
        <w:t>,</w:t>
      </w:r>
      <w:r w:rsidR="004358B2" w:rsidRPr="00B61AD0">
        <w:rPr>
          <w:rFonts w:ascii="Century Gothic" w:hAnsi="Century Gothic" w:cs="Century Gothic"/>
          <w:i/>
          <w:sz w:val="20"/>
          <w:szCs w:val="20"/>
        </w:rPr>
        <w:t xml:space="preserve"> que </w:t>
      </w:r>
      <w:r w:rsidR="004358B2" w:rsidRPr="00F732E8">
        <w:rPr>
          <w:rFonts w:ascii="Century Gothic" w:hAnsi="Century Gothic" w:cs="Century Gothic"/>
          <w:b/>
          <w:i/>
          <w:sz w:val="20"/>
          <w:szCs w:val="20"/>
        </w:rPr>
        <w:t xml:space="preserve">por ser un incidente </w:t>
      </w:r>
      <w:r w:rsidR="00644CE4" w:rsidRPr="00F732E8">
        <w:rPr>
          <w:rFonts w:ascii="Century Gothic" w:hAnsi="Century Gothic" w:cs="Century Gothic"/>
          <w:b/>
          <w:i/>
          <w:sz w:val="20"/>
          <w:szCs w:val="20"/>
        </w:rPr>
        <w:t>se le debe notificar y emplazar en forma personal en su domicilio</w:t>
      </w:r>
      <w:r w:rsidR="00644CE4" w:rsidRPr="00B61AD0">
        <w:rPr>
          <w:rFonts w:ascii="Century Gothic" w:hAnsi="Century Gothic" w:cs="Century Gothic"/>
          <w:i/>
          <w:sz w:val="20"/>
          <w:szCs w:val="20"/>
        </w:rPr>
        <w:t xml:space="preserve"> en </w:t>
      </w:r>
      <w:r w:rsidR="004358B2" w:rsidRPr="00B61AD0">
        <w:rPr>
          <w:rFonts w:ascii="Century Gothic" w:hAnsi="Century Gothic" w:cs="Century Gothic"/>
          <w:i/>
          <w:sz w:val="20"/>
          <w:szCs w:val="20"/>
        </w:rPr>
        <w:t xml:space="preserve">el </w:t>
      </w:r>
      <w:r w:rsidR="007557B6">
        <w:rPr>
          <w:rFonts w:ascii="Century Gothic" w:hAnsi="Century Gothic" w:cs="Century Gothic"/>
          <w:i/>
          <w:sz w:val="20"/>
          <w:szCs w:val="20"/>
        </w:rPr>
        <w:t>ELIMINADO</w:t>
      </w:r>
      <w:r w:rsidR="004358B2" w:rsidRPr="00B61AD0">
        <w:rPr>
          <w:rFonts w:ascii="Century Gothic" w:hAnsi="Century Gothic" w:cs="Century Gothic"/>
          <w:i/>
          <w:sz w:val="20"/>
          <w:szCs w:val="20"/>
        </w:rPr>
        <w:t xml:space="preserve"> </w:t>
      </w:r>
      <w:r w:rsidR="00644CE4" w:rsidRPr="00B61AD0">
        <w:rPr>
          <w:rFonts w:ascii="Century Gothic" w:hAnsi="Century Gothic" w:cs="Century Gothic"/>
          <w:i/>
          <w:sz w:val="20"/>
          <w:szCs w:val="20"/>
        </w:rPr>
        <w:t>c</w:t>
      </w:r>
      <w:r w:rsidR="004358B2" w:rsidRPr="00B61AD0">
        <w:rPr>
          <w:rFonts w:ascii="Century Gothic" w:hAnsi="Century Gothic" w:cs="Century Gothic"/>
          <w:i/>
          <w:sz w:val="20"/>
          <w:szCs w:val="20"/>
        </w:rPr>
        <w:t xml:space="preserve">arretera </w:t>
      </w:r>
      <w:r w:rsidR="007557B6">
        <w:rPr>
          <w:rFonts w:ascii="Century Gothic" w:hAnsi="Century Gothic" w:cs="Century Gothic"/>
          <w:i/>
          <w:sz w:val="20"/>
          <w:szCs w:val="20"/>
        </w:rPr>
        <w:t>ELIMINADO</w:t>
      </w:r>
      <w:r w:rsidR="004358B2" w:rsidRPr="00B61AD0">
        <w:rPr>
          <w:rFonts w:ascii="Century Gothic" w:hAnsi="Century Gothic" w:cs="Century Gothic"/>
          <w:i/>
          <w:sz w:val="20"/>
          <w:szCs w:val="20"/>
        </w:rPr>
        <w:t xml:space="preserve"> Rancho </w:t>
      </w:r>
      <w:r w:rsidR="007557B6">
        <w:rPr>
          <w:rFonts w:ascii="Century Gothic" w:hAnsi="Century Gothic" w:cs="Century Gothic"/>
          <w:i/>
          <w:sz w:val="20"/>
          <w:szCs w:val="20"/>
        </w:rPr>
        <w:t>ELIMINADO</w:t>
      </w:r>
      <w:r w:rsidR="004358B2" w:rsidRPr="00B61AD0">
        <w:rPr>
          <w:rFonts w:ascii="Century Gothic" w:hAnsi="Century Gothic" w:cs="Century Gothic"/>
          <w:i/>
          <w:sz w:val="20"/>
          <w:szCs w:val="20"/>
        </w:rPr>
        <w:t xml:space="preserve"> de esta Ciudad, tal y como lo hizo saber el actor del Juicio </w:t>
      </w:r>
      <w:r w:rsidR="007557B6">
        <w:rPr>
          <w:rFonts w:ascii="Century Gothic" w:hAnsi="Century Gothic" w:cs="Century Gothic"/>
          <w:i/>
          <w:sz w:val="20"/>
          <w:szCs w:val="20"/>
        </w:rPr>
        <w:t>ELIMINADO</w:t>
      </w:r>
      <w:r w:rsidR="004358B2" w:rsidRPr="00B61AD0">
        <w:rPr>
          <w:rFonts w:ascii="Century Gothic" w:hAnsi="Century Gothic" w:cs="Century Gothic"/>
          <w:i/>
          <w:sz w:val="20"/>
          <w:szCs w:val="20"/>
        </w:rPr>
        <w:t xml:space="preserve"> mediante escrito inicial de demanda </w:t>
      </w:r>
      <w:proofErr w:type="spellStart"/>
      <w:r w:rsidR="004358B2" w:rsidRPr="00B61AD0">
        <w:rPr>
          <w:rFonts w:ascii="Century Gothic" w:hAnsi="Century Gothic" w:cs="Century Gothic"/>
          <w:i/>
          <w:sz w:val="20"/>
          <w:szCs w:val="20"/>
        </w:rPr>
        <w:t>recepcionado</w:t>
      </w:r>
      <w:proofErr w:type="spellEnd"/>
      <w:r w:rsidR="004358B2" w:rsidRPr="00B61AD0">
        <w:rPr>
          <w:rFonts w:ascii="Century Gothic" w:hAnsi="Century Gothic" w:cs="Century Gothic"/>
          <w:i/>
          <w:sz w:val="20"/>
          <w:szCs w:val="20"/>
        </w:rPr>
        <w:t xml:space="preserve"> en ese Tribunal el día 07 siete de Octubre del 2013 dos mil trece, domicilio en el cual fu</w:t>
      </w:r>
      <w:r w:rsidR="00644CE4" w:rsidRPr="00B61AD0">
        <w:rPr>
          <w:rFonts w:ascii="Century Gothic" w:hAnsi="Century Gothic" w:cs="Century Gothic"/>
          <w:i/>
          <w:sz w:val="20"/>
          <w:szCs w:val="20"/>
        </w:rPr>
        <w:t>e</w:t>
      </w:r>
      <w:r w:rsidR="004358B2" w:rsidRPr="00B61AD0">
        <w:rPr>
          <w:rFonts w:ascii="Century Gothic" w:hAnsi="Century Gothic" w:cs="Century Gothic"/>
          <w:i/>
          <w:sz w:val="20"/>
          <w:szCs w:val="20"/>
        </w:rPr>
        <w:t xml:space="preserve"> emplazada a</w:t>
      </w:r>
      <w:r w:rsidR="00504415" w:rsidRPr="00B61AD0">
        <w:rPr>
          <w:rFonts w:ascii="Century Gothic" w:hAnsi="Century Gothic" w:cs="Century Gothic"/>
          <w:i/>
          <w:sz w:val="20"/>
          <w:szCs w:val="20"/>
        </w:rPr>
        <w:t xml:space="preserve"> </w:t>
      </w:r>
      <w:r w:rsidR="004358B2" w:rsidRPr="00B61AD0">
        <w:rPr>
          <w:rFonts w:ascii="Century Gothic" w:hAnsi="Century Gothic" w:cs="Century Gothic"/>
          <w:i/>
          <w:sz w:val="20"/>
          <w:szCs w:val="20"/>
        </w:rPr>
        <w:t xml:space="preserve">Juicio </w:t>
      </w:r>
      <w:r w:rsidR="00644CE4" w:rsidRPr="00B61AD0">
        <w:rPr>
          <w:rFonts w:ascii="Century Gothic" w:hAnsi="Century Gothic" w:cs="Century Gothic"/>
          <w:i/>
          <w:sz w:val="20"/>
          <w:szCs w:val="20"/>
        </w:rPr>
        <w:t xml:space="preserve">(…) </w:t>
      </w:r>
      <w:r w:rsidR="00504415" w:rsidRPr="00B61AD0">
        <w:rPr>
          <w:rFonts w:ascii="Century Gothic" w:hAnsi="Century Gothic" w:cs="Century Gothic"/>
          <w:i/>
          <w:sz w:val="20"/>
          <w:szCs w:val="20"/>
        </w:rPr>
        <w:t xml:space="preserve">por lo que se debe </w:t>
      </w:r>
      <w:r w:rsidR="004358B2" w:rsidRPr="00B61AD0">
        <w:rPr>
          <w:rFonts w:ascii="Century Gothic" w:hAnsi="Century Gothic" w:cs="Century Gothic"/>
          <w:i/>
          <w:sz w:val="20"/>
          <w:szCs w:val="20"/>
        </w:rPr>
        <w:t>ten</w:t>
      </w:r>
      <w:r w:rsidR="00504415" w:rsidRPr="00B61AD0">
        <w:rPr>
          <w:rFonts w:ascii="Century Gothic" w:hAnsi="Century Gothic" w:cs="Century Gothic"/>
          <w:i/>
          <w:sz w:val="20"/>
          <w:szCs w:val="20"/>
        </w:rPr>
        <w:t xml:space="preserve">er </w:t>
      </w:r>
      <w:r w:rsidR="004358B2" w:rsidRPr="00B61AD0">
        <w:rPr>
          <w:rFonts w:ascii="Century Gothic" w:hAnsi="Century Gothic" w:cs="Century Gothic"/>
          <w:i/>
          <w:sz w:val="20"/>
          <w:szCs w:val="20"/>
        </w:rPr>
        <w:t>nulo lo actuado con anterioridad, ya que nunca h</w:t>
      </w:r>
      <w:r w:rsidR="00644CE4" w:rsidRPr="00B61AD0">
        <w:rPr>
          <w:rFonts w:ascii="Century Gothic" w:hAnsi="Century Gothic" w:cs="Century Gothic"/>
          <w:i/>
          <w:sz w:val="20"/>
          <w:szCs w:val="20"/>
        </w:rPr>
        <w:t>a</w:t>
      </w:r>
      <w:r w:rsidR="004358B2" w:rsidRPr="00B61AD0">
        <w:rPr>
          <w:rFonts w:ascii="Century Gothic" w:hAnsi="Century Gothic" w:cs="Century Gothic"/>
          <w:i/>
          <w:sz w:val="20"/>
          <w:szCs w:val="20"/>
        </w:rPr>
        <w:t xml:space="preserve"> sido requerida conforme a la ley en </w:t>
      </w:r>
      <w:r w:rsidR="00644CE4" w:rsidRPr="00B61AD0">
        <w:rPr>
          <w:rFonts w:ascii="Century Gothic" w:hAnsi="Century Gothic" w:cs="Century Gothic"/>
          <w:i/>
          <w:sz w:val="20"/>
          <w:szCs w:val="20"/>
        </w:rPr>
        <w:t>su</w:t>
      </w:r>
      <w:r w:rsidR="004358B2" w:rsidRPr="00B61AD0">
        <w:rPr>
          <w:rFonts w:ascii="Century Gothic" w:hAnsi="Century Gothic" w:cs="Century Gothic"/>
          <w:i/>
          <w:sz w:val="20"/>
          <w:szCs w:val="20"/>
        </w:rPr>
        <w:t xml:space="preserve"> domicilio antes citado. </w:t>
      </w:r>
    </w:p>
    <w:p w:rsidR="004358B2" w:rsidRDefault="00504415" w:rsidP="00830407">
      <w:pPr>
        <w:spacing w:after="360" w:line="360" w:lineRule="auto"/>
        <w:ind w:left="708" w:firstLine="851"/>
        <w:jc w:val="both"/>
        <w:rPr>
          <w:rFonts w:ascii="Century Gothic" w:hAnsi="Century Gothic" w:cs="Century Gothic"/>
          <w:i/>
          <w:sz w:val="20"/>
          <w:szCs w:val="20"/>
        </w:rPr>
      </w:pPr>
      <w:r w:rsidRPr="00B61AD0">
        <w:rPr>
          <w:rFonts w:ascii="Century Gothic" w:hAnsi="Century Gothic" w:cs="Century Gothic"/>
          <w:i/>
          <w:sz w:val="20"/>
          <w:szCs w:val="20"/>
        </w:rPr>
        <w:t xml:space="preserve">Que a </w:t>
      </w:r>
      <w:r w:rsidR="004358B2" w:rsidRPr="00B61AD0">
        <w:rPr>
          <w:rFonts w:ascii="Century Gothic" w:hAnsi="Century Gothic" w:cs="Century Gothic"/>
          <w:i/>
          <w:sz w:val="20"/>
          <w:szCs w:val="20"/>
        </w:rPr>
        <w:t xml:space="preserve">la actuación que le </w:t>
      </w:r>
      <w:r w:rsidR="004358B2" w:rsidRPr="00712EC7">
        <w:rPr>
          <w:rFonts w:ascii="Century Gothic" w:hAnsi="Century Gothic" w:cs="Century Gothic"/>
          <w:i/>
          <w:sz w:val="20"/>
          <w:szCs w:val="20"/>
        </w:rPr>
        <w:t>falte alguna de -las formalidades</w:t>
      </w:r>
      <w:r w:rsidR="004358B2" w:rsidRPr="00B61AD0">
        <w:rPr>
          <w:rFonts w:ascii="Century Gothic" w:hAnsi="Century Gothic" w:cs="Century Gothic"/>
          <w:i/>
          <w:sz w:val="20"/>
          <w:szCs w:val="20"/>
        </w:rPr>
        <w:t xml:space="preserve"> prescritas por la Ley Adjetiva Civil, será nula de pleno derecho; </w:t>
      </w:r>
      <w:r w:rsidRPr="00B61AD0">
        <w:rPr>
          <w:rFonts w:ascii="Century Gothic" w:hAnsi="Century Gothic" w:cs="Century Gothic"/>
          <w:i/>
          <w:sz w:val="20"/>
          <w:szCs w:val="20"/>
        </w:rPr>
        <w:t>conforme a los artículos 72, 74 y 75 del Código de Procedimientos Civiles vigente para el Estado</w:t>
      </w:r>
      <w:r w:rsidR="004358B2" w:rsidRPr="00B61AD0">
        <w:rPr>
          <w:rFonts w:ascii="Century Gothic" w:hAnsi="Century Gothic" w:cs="Century Gothic"/>
          <w:i/>
          <w:sz w:val="20"/>
          <w:szCs w:val="20"/>
        </w:rPr>
        <w:t>…”.</w:t>
      </w:r>
    </w:p>
    <w:p w:rsidR="00504415" w:rsidRPr="00071B5C" w:rsidRDefault="00504415" w:rsidP="00830407">
      <w:pPr>
        <w:spacing w:after="360" w:line="360" w:lineRule="auto"/>
        <w:ind w:firstLine="851"/>
        <w:jc w:val="both"/>
        <w:rPr>
          <w:rFonts w:ascii="Century Gothic" w:hAnsi="Century Gothic" w:cs="Arial"/>
          <w:sz w:val="20"/>
          <w:szCs w:val="20"/>
          <w:lang w:eastAsia="es-MX"/>
        </w:rPr>
      </w:pPr>
      <w:r w:rsidRPr="001456F1">
        <w:rPr>
          <w:rFonts w:ascii="Century Gothic" w:hAnsi="Century Gothic" w:cs="Arial"/>
          <w:sz w:val="24"/>
          <w:szCs w:val="24"/>
          <w:lang w:eastAsia="es-MX"/>
        </w:rPr>
        <w:t xml:space="preserve">Por su parte, el Juez Natural, rindió su </w:t>
      </w:r>
      <w:r w:rsidRPr="001456F1">
        <w:rPr>
          <w:rFonts w:ascii="Century Gothic" w:hAnsi="Century Gothic" w:cs="Arial"/>
          <w:b/>
          <w:sz w:val="24"/>
          <w:szCs w:val="24"/>
          <w:lang w:eastAsia="es-MX"/>
        </w:rPr>
        <w:t xml:space="preserve">informe </w:t>
      </w:r>
      <w:r w:rsidR="002211DC" w:rsidRPr="001456F1">
        <w:rPr>
          <w:rFonts w:ascii="Century Gothic" w:hAnsi="Century Gothic" w:cs="Arial"/>
          <w:b/>
          <w:sz w:val="24"/>
          <w:szCs w:val="24"/>
          <w:lang w:eastAsia="es-MX"/>
        </w:rPr>
        <w:t>con</w:t>
      </w:r>
      <w:r w:rsidRPr="001456F1">
        <w:rPr>
          <w:rFonts w:ascii="Century Gothic" w:hAnsi="Century Gothic" w:cs="Arial"/>
          <w:b/>
          <w:sz w:val="24"/>
          <w:szCs w:val="24"/>
          <w:lang w:eastAsia="es-MX"/>
        </w:rPr>
        <w:t xml:space="preserve"> justificación</w:t>
      </w:r>
      <w:r w:rsidRPr="001456F1">
        <w:rPr>
          <w:rFonts w:ascii="Century Gothic" w:hAnsi="Century Gothic" w:cs="Arial"/>
          <w:sz w:val="24"/>
          <w:szCs w:val="24"/>
          <w:lang w:eastAsia="es-MX"/>
        </w:rPr>
        <w:t xml:space="preserve"> mediante el </w:t>
      </w:r>
      <w:r w:rsidR="00081B57" w:rsidRPr="001456F1">
        <w:rPr>
          <w:rFonts w:ascii="Century Gothic" w:hAnsi="Century Gothic" w:cs="Arial"/>
          <w:sz w:val="24"/>
          <w:szCs w:val="24"/>
          <w:lang w:eastAsia="es-MX"/>
        </w:rPr>
        <w:t>oficio número 494/2020, el 0</w:t>
      </w:r>
      <w:r w:rsidR="004358B2" w:rsidRPr="001456F1">
        <w:rPr>
          <w:rFonts w:ascii="Century Gothic" w:hAnsi="Century Gothic" w:cs="Arial"/>
          <w:sz w:val="24"/>
          <w:szCs w:val="24"/>
          <w:lang w:eastAsia="es-MX"/>
        </w:rPr>
        <w:t xml:space="preserve">9 nueve de septiembre de 2020 dos mil veinte, </w:t>
      </w:r>
      <w:r w:rsidRPr="001456F1">
        <w:rPr>
          <w:rFonts w:ascii="Century Gothic" w:hAnsi="Century Gothic" w:cs="Arial"/>
          <w:sz w:val="24"/>
          <w:szCs w:val="24"/>
          <w:lang w:eastAsia="es-MX"/>
        </w:rPr>
        <w:t xml:space="preserve">en el que indicó: </w:t>
      </w:r>
    </w:p>
    <w:p w:rsidR="004358B2" w:rsidRPr="00071B5C" w:rsidRDefault="004358B2" w:rsidP="00CE5938">
      <w:pPr>
        <w:spacing w:after="360" w:line="360" w:lineRule="auto"/>
        <w:ind w:left="708" w:firstLine="851"/>
        <w:jc w:val="both"/>
        <w:rPr>
          <w:rFonts w:ascii="Century Gothic" w:hAnsi="Century Gothic" w:cs="Century Gothic"/>
          <w:i/>
          <w:sz w:val="20"/>
          <w:szCs w:val="20"/>
          <w:lang w:eastAsia="es-MX"/>
        </w:rPr>
      </w:pPr>
      <w:r w:rsidRPr="00071B5C">
        <w:rPr>
          <w:rFonts w:ascii="Century Gothic" w:hAnsi="Century Gothic" w:cs="Century Gothic"/>
          <w:i/>
          <w:sz w:val="20"/>
          <w:szCs w:val="20"/>
          <w:lang w:eastAsia="es-MX"/>
        </w:rPr>
        <w:t xml:space="preserve">“…Por medio del presente, en cumplimiento a lo dispuesto por el numeral 973 del Código de Procedimientos Civiles vigente en el Estado, me permito rendir el INFORME CON JUSTIFICACIÓN, en relación con el EXPEDIENTE NÚMERO 739/16, RELATIVO AL JUICIO ORDINARIO CIVIL POR NULIDAD ABSOLUTA, haciendo del conocimiento que efectivamente con fecha 05 de agosto del presente año, se emitió resolución en la cual se resolvió el Incidente de Nulidad de Actuaciones por Defectos en la Notificación, planteado por la ahora quejosa, a partir de la actuación del día 02 dos de julio del año 2019, dentro del Juicio en el cual se menciona, resultando infundado y por ende improcedente dicho incidente de nulidad, en razón de lo cual, las actuaciones que corren a partir del día 02 de julio del año 2019, y que fueron materia de impugnación subsisten con todos los efectos jurídicos que le son propios, dicha resolución en forma posterior fue recurrida por la C. </w:t>
      </w:r>
      <w:r w:rsidR="007557B6">
        <w:rPr>
          <w:rFonts w:ascii="Century Gothic" w:hAnsi="Century Gothic" w:cs="Century Gothic"/>
          <w:i/>
          <w:sz w:val="20"/>
          <w:szCs w:val="20"/>
          <w:lang w:eastAsia="es-MX"/>
        </w:rPr>
        <w:t>ELIMINADO</w:t>
      </w:r>
      <w:r w:rsidRPr="00071B5C">
        <w:rPr>
          <w:rFonts w:ascii="Century Gothic" w:hAnsi="Century Gothic" w:cs="Century Gothic"/>
          <w:i/>
          <w:sz w:val="20"/>
          <w:szCs w:val="20"/>
          <w:lang w:eastAsia="es-MX"/>
        </w:rPr>
        <w:t xml:space="preserve"> mediante escrito presentado mediante Buzón de la Oficialía de Partes el día 17 diecisiete de agosto de los corrientes y recibido en este Juzgado el día 18 de agosto del presente año, al cual le recayó acuerdo con fecha 19 diecinueve del mes y año en cita, proveído en el cual se desechó de plano el recurso de apelación que se hizo valer en contra de la resolución de fecha 05 cinco de agosto del presente año, en razón de que dicha interlocutoria no admite recurso alguno conforme a lo establecido por el artículo 75 del Código de Procedimientos Civiles; por lo que se considera que esta autoridad jurisdiccional actuó siempre con apego a la legalidad, por lo que se sostiene la constitucionalidad del acto, ello sin perjuicio de lo que se determine por </w:t>
      </w:r>
      <w:r w:rsidRPr="00071B5C">
        <w:rPr>
          <w:rFonts w:ascii="Century Gothic" w:hAnsi="Century Gothic" w:cs="Century Gothic"/>
          <w:i/>
          <w:sz w:val="20"/>
          <w:szCs w:val="20"/>
          <w:lang w:eastAsia="es-MX"/>
        </w:rPr>
        <w:lastRenderedPageBreak/>
        <w:t>ese H. Tribunal de Segunda Instancia, lo anterior para los fines y efectos legales a que haya lugar, acompañándose al presente oficio las constancias necesarias debidamente certificadas que avalan dicho informe…”.</w:t>
      </w:r>
    </w:p>
    <w:p w:rsidR="003C1B64" w:rsidRPr="001456F1" w:rsidRDefault="00692C66" w:rsidP="00CE5938">
      <w:pPr>
        <w:spacing w:after="360" w:line="360" w:lineRule="auto"/>
        <w:ind w:firstLine="851"/>
        <w:jc w:val="both"/>
        <w:rPr>
          <w:rFonts w:ascii="Century Gothic" w:hAnsi="Century Gothic" w:cs="Arial"/>
          <w:sz w:val="24"/>
          <w:szCs w:val="24"/>
          <w:lang w:eastAsia="es-MX"/>
        </w:rPr>
      </w:pPr>
      <w:r w:rsidRPr="001456F1">
        <w:rPr>
          <w:rFonts w:ascii="Century Gothic" w:hAnsi="Century Gothic" w:cs="Arial"/>
          <w:sz w:val="24"/>
          <w:szCs w:val="24"/>
          <w:lang w:eastAsia="es-MX"/>
        </w:rPr>
        <w:t xml:space="preserve">Mediante </w:t>
      </w:r>
      <w:r w:rsidR="005A338C">
        <w:rPr>
          <w:rFonts w:ascii="Century Gothic" w:hAnsi="Century Gothic" w:cs="Arial"/>
          <w:sz w:val="24"/>
          <w:szCs w:val="24"/>
          <w:lang w:eastAsia="es-MX"/>
        </w:rPr>
        <w:t>acuerdo de</w:t>
      </w:r>
      <w:r w:rsidR="004358B2" w:rsidRPr="001456F1">
        <w:rPr>
          <w:rFonts w:ascii="Century Gothic" w:hAnsi="Century Gothic" w:cs="Arial"/>
          <w:sz w:val="24"/>
          <w:szCs w:val="24"/>
          <w:lang w:eastAsia="es-MX"/>
        </w:rPr>
        <w:t xml:space="preserve"> 28 veintiocho de octubre de</w:t>
      </w:r>
      <w:r w:rsidRPr="001456F1">
        <w:rPr>
          <w:rFonts w:ascii="Century Gothic" w:hAnsi="Century Gothic" w:cs="Arial"/>
          <w:sz w:val="24"/>
          <w:szCs w:val="24"/>
          <w:lang w:eastAsia="es-MX"/>
        </w:rPr>
        <w:t xml:space="preserve">l año </w:t>
      </w:r>
      <w:r w:rsidR="00BE1624" w:rsidRPr="001456F1">
        <w:rPr>
          <w:rFonts w:ascii="Century Gothic" w:hAnsi="Century Gothic" w:cs="Arial"/>
          <w:sz w:val="24"/>
          <w:szCs w:val="24"/>
          <w:lang w:eastAsia="es-MX"/>
        </w:rPr>
        <w:t>que antecede</w:t>
      </w:r>
      <w:r w:rsidRPr="001456F1">
        <w:rPr>
          <w:rFonts w:ascii="Century Gothic" w:hAnsi="Century Gothic" w:cs="Arial"/>
          <w:sz w:val="24"/>
          <w:szCs w:val="24"/>
          <w:lang w:eastAsia="es-MX"/>
        </w:rPr>
        <w:t>,</w:t>
      </w:r>
      <w:r w:rsidR="004358B2" w:rsidRPr="001456F1">
        <w:rPr>
          <w:rFonts w:ascii="Century Gothic" w:hAnsi="Century Gothic" w:cs="Arial"/>
          <w:sz w:val="24"/>
          <w:szCs w:val="24"/>
          <w:lang w:eastAsia="es-MX"/>
        </w:rPr>
        <w:t xml:space="preserve"> pronunciado por la Presidenta del H. Supremo Tribunal de Justicia y del Consejo de</w:t>
      </w:r>
      <w:r w:rsidR="00E06CAA" w:rsidRPr="001456F1">
        <w:rPr>
          <w:rFonts w:ascii="Century Gothic" w:hAnsi="Century Gothic" w:cs="Arial"/>
          <w:sz w:val="24"/>
          <w:szCs w:val="24"/>
          <w:lang w:eastAsia="es-MX"/>
        </w:rPr>
        <w:t xml:space="preserve"> la Judicatura del Estado, </w:t>
      </w:r>
      <w:r w:rsidR="004358B2" w:rsidRPr="001456F1">
        <w:rPr>
          <w:rFonts w:ascii="Century Gothic" w:hAnsi="Century Gothic" w:cs="Arial"/>
          <w:sz w:val="24"/>
          <w:szCs w:val="24"/>
          <w:lang w:eastAsia="es-MX"/>
        </w:rPr>
        <w:t xml:space="preserve">se tuvo al </w:t>
      </w:r>
      <w:r w:rsidR="00071B5C">
        <w:rPr>
          <w:rFonts w:ascii="Century Gothic" w:hAnsi="Century Gothic" w:cs="Arial"/>
          <w:sz w:val="24"/>
          <w:szCs w:val="24"/>
          <w:lang w:eastAsia="es-MX"/>
        </w:rPr>
        <w:t>colitigan</w:t>
      </w:r>
      <w:r w:rsidR="008D2AC8">
        <w:rPr>
          <w:rFonts w:ascii="Century Gothic" w:hAnsi="Century Gothic" w:cs="Arial"/>
          <w:sz w:val="24"/>
          <w:szCs w:val="24"/>
          <w:lang w:eastAsia="es-MX"/>
        </w:rPr>
        <w:t>t</w:t>
      </w:r>
      <w:r w:rsidR="00071B5C">
        <w:rPr>
          <w:rFonts w:ascii="Century Gothic" w:hAnsi="Century Gothic" w:cs="Arial"/>
          <w:sz w:val="24"/>
          <w:szCs w:val="24"/>
          <w:lang w:eastAsia="es-MX"/>
        </w:rPr>
        <w:t xml:space="preserve">e </w:t>
      </w:r>
      <w:r w:rsidR="007557B6">
        <w:rPr>
          <w:rFonts w:ascii="Century Gothic" w:hAnsi="Century Gothic" w:cs="Arial"/>
          <w:sz w:val="24"/>
          <w:szCs w:val="24"/>
          <w:lang w:eastAsia="es-MX"/>
        </w:rPr>
        <w:t>ELIMINADO</w:t>
      </w:r>
      <w:r w:rsidR="004358B2" w:rsidRPr="001456F1">
        <w:rPr>
          <w:rFonts w:ascii="Century Gothic" w:hAnsi="Century Gothic" w:cs="Arial"/>
          <w:sz w:val="24"/>
          <w:szCs w:val="24"/>
          <w:lang w:eastAsia="es-MX"/>
        </w:rPr>
        <w:t xml:space="preserve">, por desinteresado por hacer valer el derecho que le asistía de conformidad con lo dispuesto por el numeral </w:t>
      </w:r>
      <w:r w:rsidR="004358B2" w:rsidRPr="001456F1">
        <w:rPr>
          <w:rFonts w:ascii="Century Gothic" w:hAnsi="Century Gothic" w:cs="Arial"/>
          <w:b/>
          <w:sz w:val="24"/>
          <w:szCs w:val="24"/>
          <w:lang w:eastAsia="es-MX"/>
        </w:rPr>
        <w:t>973</w:t>
      </w:r>
      <w:r w:rsidR="004358B2" w:rsidRPr="001456F1">
        <w:rPr>
          <w:rFonts w:ascii="Century Gothic" w:hAnsi="Century Gothic" w:cs="Arial"/>
          <w:sz w:val="24"/>
          <w:szCs w:val="24"/>
          <w:lang w:eastAsia="es-MX"/>
        </w:rPr>
        <w:t xml:space="preserve"> de la Ley </w:t>
      </w:r>
      <w:r w:rsidR="003C1B64" w:rsidRPr="001456F1">
        <w:rPr>
          <w:rFonts w:ascii="Century Gothic" w:hAnsi="Century Gothic" w:cs="Arial"/>
          <w:sz w:val="24"/>
          <w:szCs w:val="24"/>
          <w:lang w:eastAsia="es-MX"/>
        </w:rPr>
        <w:t>Adjetiva Civil.</w:t>
      </w:r>
    </w:p>
    <w:p w:rsidR="0031162D" w:rsidRPr="0031162D" w:rsidRDefault="0031162D" w:rsidP="00CE5938">
      <w:pPr>
        <w:spacing w:after="360" w:line="360" w:lineRule="auto"/>
        <w:ind w:firstLine="851"/>
        <w:jc w:val="both"/>
        <w:rPr>
          <w:rFonts w:ascii="Century Gothic" w:hAnsi="Century Gothic" w:cs="Arial"/>
          <w:b/>
          <w:sz w:val="24"/>
          <w:szCs w:val="24"/>
        </w:rPr>
      </w:pPr>
      <w:r w:rsidRPr="0031162D">
        <w:rPr>
          <w:rFonts w:ascii="Century Gothic" w:hAnsi="Century Gothic" w:cs="Arial"/>
          <w:b/>
          <w:sz w:val="24"/>
          <w:szCs w:val="24"/>
        </w:rPr>
        <w:t xml:space="preserve">SEXTO. </w:t>
      </w:r>
      <w:r w:rsidR="005A338C">
        <w:rPr>
          <w:rFonts w:ascii="Century Gothic" w:hAnsi="Century Gothic" w:cs="Arial"/>
          <w:b/>
          <w:sz w:val="24"/>
          <w:szCs w:val="24"/>
        </w:rPr>
        <w:t>Idoneidad</w:t>
      </w:r>
      <w:r w:rsidRPr="0031162D">
        <w:rPr>
          <w:rFonts w:ascii="Century Gothic" w:hAnsi="Century Gothic" w:cs="Arial"/>
          <w:b/>
          <w:sz w:val="24"/>
          <w:szCs w:val="24"/>
        </w:rPr>
        <w:t xml:space="preserve"> del recurso </w:t>
      </w:r>
    </w:p>
    <w:p w:rsidR="0031162D" w:rsidRPr="00B51945" w:rsidRDefault="0031162D" w:rsidP="00CE5938">
      <w:pPr>
        <w:spacing w:after="360" w:line="360" w:lineRule="auto"/>
        <w:ind w:firstLine="851"/>
        <w:jc w:val="both"/>
        <w:rPr>
          <w:rFonts w:ascii="Century Gothic" w:hAnsi="Century Gothic" w:cs="Arial"/>
          <w:sz w:val="24"/>
          <w:szCs w:val="24"/>
        </w:rPr>
      </w:pPr>
      <w:r w:rsidRPr="00B51945">
        <w:rPr>
          <w:rFonts w:ascii="Century Gothic" w:hAnsi="Century Gothic" w:cs="Arial"/>
          <w:sz w:val="24"/>
          <w:szCs w:val="24"/>
        </w:rPr>
        <w:t xml:space="preserve">Previo al estudio de fondo del caso planteado y objeto de análisis, es pertinente determinar si el auto de 19 diecinueve de agosto de 2020 dos mil veinte, dictado en ejecución de sentencia, es recurrible o no en queja. </w:t>
      </w:r>
    </w:p>
    <w:p w:rsidR="0031162D" w:rsidRPr="00B51945" w:rsidRDefault="0031162D" w:rsidP="00CE5938">
      <w:pPr>
        <w:spacing w:after="360" w:line="360" w:lineRule="auto"/>
        <w:ind w:firstLine="851"/>
        <w:jc w:val="both"/>
        <w:rPr>
          <w:rFonts w:ascii="Century Gothic" w:hAnsi="Century Gothic" w:cs="Arial"/>
          <w:sz w:val="24"/>
          <w:szCs w:val="24"/>
        </w:rPr>
      </w:pPr>
      <w:r w:rsidRPr="00B51945">
        <w:rPr>
          <w:rFonts w:ascii="Century Gothic" w:hAnsi="Century Gothic" w:cs="Arial"/>
          <w:sz w:val="24"/>
          <w:szCs w:val="24"/>
        </w:rPr>
        <w:t>Sobre ese tenor, el Primer y Segundo Tribunal Colegiado en Materia Civil y Administrativa del Noveno Circuito, han sostenido que, de conformidad con el artículo 1004 de la Le</w:t>
      </w:r>
      <w:r w:rsidR="006516CF" w:rsidRPr="00B51945">
        <w:rPr>
          <w:rFonts w:ascii="Century Gothic" w:hAnsi="Century Gothic" w:cs="Arial"/>
          <w:sz w:val="24"/>
          <w:szCs w:val="24"/>
        </w:rPr>
        <w:t xml:space="preserve">y Adjetiva Civil en el Estado, </w:t>
      </w:r>
      <w:r w:rsidRPr="00B51945">
        <w:rPr>
          <w:rFonts w:ascii="Century Gothic" w:hAnsi="Century Gothic" w:cs="Arial"/>
          <w:sz w:val="24"/>
          <w:szCs w:val="24"/>
        </w:rPr>
        <w:t xml:space="preserve">para determinar si una resolución dictada en ejecución de sentencia es recurrible o no, debe atenderse al objeto o finalidad de dicha determinación; si está dirigida directamente a cumplir con lo ordenado en el fallo, es irrecurrible, pero si la resolución no tiene vinculación con el cumplimiento del fallo o niega ese cumplimiento, entonces sí es recurrible, a través del medio ordinario defensa respectivo. </w:t>
      </w:r>
    </w:p>
    <w:p w:rsidR="0031162D" w:rsidRPr="0031162D" w:rsidRDefault="0031162D" w:rsidP="00CE5938">
      <w:pPr>
        <w:spacing w:after="360" w:line="360" w:lineRule="auto"/>
        <w:ind w:firstLine="851"/>
        <w:jc w:val="both"/>
        <w:rPr>
          <w:rFonts w:ascii="Century Gothic" w:hAnsi="Century Gothic" w:cs="Arial"/>
          <w:sz w:val="24"/>
          <w:szCs w:val="24"/>
        </w:rPr>
      </w:pPr>
      <w:r w:rsidRPr="00B51945">
        <w:rPr>
          <w:rFonts w:ascii="Century Gothic" w:hAnsi="Century Gothic" w:cs="Arial"/>
          <w:sz w:val="24"/>
          <w:szCs w:val="24"/>
        </w:rPr>
        <w:t xml:space="preserve">En virtud de lo anterior, y una vez analizado el auto impugnado, se concluye que no fue dictado para lograr la ejecución de la sentencia, pues no tiene relación directa e inmediata con la ejecución de la misma, por tanto, sí es recurrible en queja, de conformidad con lo </w:t>
      </w:r>
      <w:r w:rsidRPr="00B51945">
        <w:rPr>
          <w:rFonts w:ascii="Century Gothic" w:hAnsi="Century Gothic" w:cs="Arial"/>
          <w:bCs/>
          <w:sz w:val="24"/>
          <w:szCs w:val="24"/>
        </w:rPr>
        <w:t>establecido en el artículo 971, fracción III de la Legislación Adjetiva Civil.</w:t>
      </w:r>
    </w:p>
    <w:p w:rsidR="004358B2" w:rsidRPr="001456F1" w:rsidRDefault="0031162D" w:rsidP="00CE5938">
      <w:pPr>
        <w:spacing w:after="360" w:line="360" w:lineRule="auto"/>
        <w:ind w:firstLine="851"/>
        <w:jc w:val="both"/>
        <w:rPr>
          <w:rFonts w:ascii="Century Gothic" w:hAnsi="Century Gothic" w:cs="Arial"/>
          <w:b/>
          <w:bCs/>
          <w:sz w:val="24"/>
          <w:szCs w:val="24"/>
        </w:rPr>
      </w:pPr>
      <w:r>
        <w:rPr>
          <w:rFonts w:ascii="Century Gothic" w:hAnsi="Century Gothic" w:cs="Arial"/>
          <w:b/>
          <w:bCs/>
          <w:sz w:val="24"/>
          <w:szCs w:val="24"/>
        </w:rPr>
        <w:t>SÉPTIMO</w:t>
      </w:r>
      <w:r w:rsidR="00221D57" w:rsidRPr="001456F1">
        <w:rPr>
          <w:rFonts w:ascii="Century Gothic" w:hAnsi="Century Gothic" w:cs="Arial"/>
          <w:b/>
          <w:bCs/>
          <w:sz w:val="24"/>
          <w:szCs w:val="24"/>
        </w:rPr>
        <w:t>. Estudio</w:t>
      </w:r>
      <w:r w:rsidR="00586C48" w:rsidRPr="001456F1">
        <w:rPr>
          <w:rFonts w:ascii="Century Gothic" w:hAnsi="Century Gothic" w:cs="Arial"/>
          <w:b/>
          <w:bCs/>
          <w:sz w:val="24"/>
          <w:szCs w:val="24"/>
        </w:rPr>
        <w:t xml:space="preserve"> del recurso</w:t>
      </w:r>
      <w:r w:rsidR="00221D57" w:rsidRPr="001456F1">
        <w:rPr>
          <w:rFonts w:ascii="Century Gothic" w:hAnsi="Century Gothic" w:cs="Arial"/>
          <w:b/>
          <w:bCs/>
          <w:sz w:val="24"/>
          <w:szCs w:val="24"/>
        </w:rPr>
        <w:t>.</w:t>
      </w:r>
    </w:p>
    <w:p w:rsidR="004B2A90" w:rsidRPr="00496DCE" w:rsidRDefault="004B2A90" w:rsidP="00CE5938">
      <w:pPr>
        <w:pStyle w:val="Normal0"/>
        <w:spacing w:after="360" w:line="360" w:lineRule="auto"/>
        <w:ind w:firstLine="851"/>
        <w:jc w:val="both"/>
        <w:rPr>
          <w:rFonts w:ascii="Century Gothic" w:hAnsi="Century Gothic"/>
          <w:b/>
        </w:rPr>
      </w:pPr>
      <w:r w:rsidRPr="00496DCE">
        <w:rPr>
          <w:rFonts w:ascii="Century Gothic" w:hAnsi="Century Gothic"/>
          <w:b/>
        </w:rPr>
        <w:lastRenderedPageBreak/>
        <w:t>I. Antecedentes.</w:t>
      </w:r>
    </w:p>
    <w:p w:rsidR="004B2A90" w:rsidRDefault="004B2A90" w:rsidP="00CE5938">
      <w:pPr>
        <w:pStyle w:val="Textoindependiente"/>
        <w:spacing w:after="360" w:line="360" w:lineRule="auto"/>
        <w:ind w:firstLine="851"/>
        <w:rPr>
          <w:rFonts w:ascii="Century Gothic" w:hAnsi="Century Gothic"/>
          <w:bCs/>
          <w:iCs/>
          <w:sz w:val="24"/>
        </w:rPr>
      </w:pPr>
      <w:r w:rsidRPr="00824C5B">
        <w:rPr>
          <w:rFonts w:ascii="Century Gothic" w:hAnsi="Century Gothic" w:cs="Arial"/>
          <w:bCs/>
          <w:sz w:val="24"/>
          <w:szCs w:val="24"/>
        </w:rPr>
        <w:t>A efecto de realizar el estudio de los motivos de disenso es menester ci</w:t>
      </w:r>
      <w:r>
        <w:rPr>
          <w:rFonts w:ascii="Century Gothic" w:hAnsi="Century Gothic" w:cs="Arial"/>
          <w:bCs/>
          <w:sz w:val="24"/>
          <w:szCs w:val="24"/>
        </w:rPr>
        <w:t>tar los siguientes antecedentes</w:t>
      </w:r>
      <w:r w:rsidRPr="00824C5B">
        <w:rPr>
          <w:rFonts w:ascii="Century Gothic" w:hAnsi="Century Gothic" w:cs="Arial"/>
          <w:bCs/>
          <w:sz w:val="24"/>
          <w:szCs w:val="24"/>
        </w:rPr>
        <w:t xml:space="preserve"> </w:t>
      </w:r>
      <w:r w:rsidRPr="00824C5B">
        <w:rPr>
          <w:rFonts w:ascii="Century Gothic" w:eastAsia="Calibri" w:hAnsi="Century Gothic" w:cs="Arial"/>
          <w:sz w:val="24"/>
          <w:szCs w:val="24"/>
          <w:lang w:val="es-ES"/>
        </w:rPr>
        <w:t xml:space="preserve">que </w:t>
      </w:r>
      <w:r w:rsidRPr="00824C5B">
        <w:rPr>
          <w:rFonts w:ascii="Century Gothic" w:hAnsi="Century Gothic"/>
          <w:sz w:val="24"/>
          <w:szCs w:val="24"/>
        </w:rPr>
        <w:t>se desprenden del testimonio de constancias que en vía de informe con justificación</w:t>
      </w:r>
      <w:r w:rsidR="00621F95">
        <w:rPr>
          <w:rStyle w:val="Refdenotaalpie"/>
          <w:rFonts w:ascii="Century Gothic" w:hAnsi="Century Gothic"/>
          <w:sz w:val="24"/>
          <w:szCs w:val="24"/>
        </w:rPr>
        <w:footnoteReference w:id="6"/>
      </w:r>
      <w:r w:rsidRPr="00824C5B">
        <w:rPr>
          <w:rFonts w:ascii="Century Gothic" w:hAnsi="Century Gothic"/>
          <w:sz w:val="24"/>
          <w:szCs w:val="24"/>
        </w:rPr>
        <w:t xml:space="preserve"> rindió el Juez Primero Civil </w:t>
      </w:r>
      <w:r w:rsidR="005A338C">
        <w:rPr>
          <w:rFonts w:ascii="Century Gothic" w:hAnsi="Century Gothic"/>
          <w:sz w:val="24"/>
          <w:szCs w:val="24"/>
        </w:rPr>
        <w:t>del Sexto Distrito Judicial de c</w:t>
      </w:r>
      <w:r w:rsidRPr="00824C5B">
        <w:rPr>
          <w:rFonts w:ascii="Century Gothic" w:hAnsi="Century Gothic"/>
          <w:sz w:val="24"/>
          <w:szCs w:val="24"/>
        </w:rPr>
        <w:t>iudad Valles, S.L.P., el cual adquiere eficacia demostrativa plena</w:t>
      </w:r>
      <w:r w:rsidRPr="0012514B">
        <w:rPr>
          <w:rFonts w:ascii="Century Gothic" w:hAnsi="Century Gothic"/>
          <w:bCs/>
          <w:iCs/>
          <w:sz w:val="24"/>
        </w:rPr>
        <w:t xml:space="preserve">, como disponen los </w:t>
      </w:r>
      <w:r w:rsidRPr="00B51945">
        <w:rPr>
          <w:rFonts w:ascii="Century Gothic" w:hAnsi="Century Gothic"/>
          <w:bCs/>
          <w:iCs/>
          <w:sz w:val="24"/>
        </w:rPr>
        <w:t>artículos 323, fracción II y 391 del Código de Procedimientos Civiles</w:t>
      </w:r>
      <w:r w:rsidRPr="00B51945">
        <w:rPr>
          <w:rStyle w:val="Refdenotaalpie"/>
          <w:rFonts w:ascii="Century Gothic" w:hAnsi="Century Gothic"/>
          <w:sz w:val="20"/>
          <w:szCs w:val="20"/>
        </w:rPr>
        <w:footnoteReference w:id="7"/>
      </w:r>
      <w:r w:rsidRPr="00B51945">
        <w:rPr>
          <w:rFonts w:ascii="Century Gothic" w:hAnsi="Century Gothic"/>
          <w:bCs/>
          <w:iCs/>
          <w:sz w:val="24"/>
        </w:rPr>
        <w:t>.</w:t>
      </w:r>
    </w:p>
    <w:p w:rsidR="004B2A90" w:rsidRDefault="004B2A90" w:rsidP="00CE5938">
      <w:pPr>
        <w:pStyle w:val="Normal0"/>
        <w:spacing w:after="360" w:line="360" w:lineRule="auto"/>
        <w:ind w:firstLine="851"/>
        <w:jc w:val="both"/>
        <w:rPr>
          <w:rFonts w:ascii="Century Gothic" w:hAnsi="Century Gothic"/>
        </w:rPr>
      </w:pPr>
      <w:r w:rsidRPr="007E7EA4">
        <w:rPr>
          <w:rFonts w:ascii="Century Gothic" w:hAnsi="Century Gothic"/>
          <w:b/>
          <w:bCs/>
        </w:rPr>
        <w:t>1</w:t>
      </w:r>
      <w:r>
        <w:rPr>
          <w:rFonts w:ascii="Century Gothic" w:hAnsi="Century Gothic"/>
          <w:b/>
          <w:bCs/>
        </w:rPr>
        <w:t xml:space="preserve">.- </w:t>
      </w:r>
      <w:r>
        <w:rPr>
          <w:rFonts w:ascii="Century Gothic" w:hAnsi="Century Gothic"/>
          <w:bCs/>
        </w:rPr>
        <w:t xml:space="preserve">El 7 siete de octubre de 2013 dos mil trece, </w:t>
      </w:r>
      <w:r w:rsidR="007557B6">
        <w:rPr>
          <w:rFonts w:ascii="Century Gothic" w:hAnsi="Century Gothic"/>
          <w:bCs/>
        </w:rPr>
        <w:t>ELIMINADO</w:t>
      </w:r>
      <w:r w:rsidRPr="007E7EA4">
        <w:rPr>
          <w:rFonts w:ascii="Century Gothic" w:hAnsi="Century Gothic"/>
        </w:rPr>
        <w:t xml:space="preserve"> demandó en la vía ordinaria civil</w:t>
      </w:r>
      <w:r w:rsidR="00B51945">
        <w:rPr>
          <w:rStyle w:val="Refdenotaalpie"/>
          <w:rFonts w:ascii="Century Gothic" w:hAnsi="Century Gothic"/>
        </w:rPr>
        <w:footnoteReference w:id="8"/>
      </w:r>
      <w:r w:rsidRPr="007E7EA4">
        <w:rPr>
          <w:rFonts w:ascii="Century Gothic" w:hAnsi="Century Gothic"/>
        </w:rPr>
        <w:t xml:space="preserve"> </w:t>
      </w:r>
      <w:proofErr w:type="spellStart"/>
      <w:r w:rsidRPr="007E7EA4">
        <w:rPr>
          <w:rFonts w:ascii="Century Gothic" w:hAnsi="Century Gothic"/>
        </w:rPr>
        <w:t>a</w:t>
      </w:r>
      <w:proofErr w:type="spellEnd"/>
      <w:r w:rsidRPr="007E7EA4">
        <w:rPr>
          <w:rFonts w:ascii="Century Gothic" w:hAnsi="Century Gothic"/>
        </w:rPr>
        <w:t xml:space="preserve"> </w:t>
      </w:r>
      <w:r w:rsidR="007557B6">
        <w:rPr>
          <w:rFonts w:ascii="Century Gothic" w:hAnsi="Century Gothic"/>
        </w:rPr>
        <w:t>ELIMINADO</w:t>
      </w:r>
      <w:r w:rsidRPr="007E7EA4">
        <w:rPr>
          <w:rFonts w:ascii="Century Gothic" w:hAnsi="Century Gothic"/>
        </w:rPr>
        <w:t>,</w:t>
      </w:r>
      <w:r>
        <w:rPr>
          <w:rFonts w:ascii="Century Gothic" w:hAnsi="Century Gothic"/>
        </w:rPr>
        <w:t xml:space="preserve"> </w:t>
      </w:r>
      <w:r w:rsidRPr="007E7EA4">
        <w:rPr>
          <w:rFonts w:ascii="Century Gothic" w:hAnsi="Century Gothic"/>
        </w:rPr>
        <w:t xml:space="preserve">a través de sus albaceas testamentarios </w:t>
      </w:r>
      <w:r w:rsidR="007557B6">
        <w:rPr>
          <w:rFonts w:ascii="Century Gothic" w:hAnsi="Century Gothic"/>
        </w:rPr>
        <w:t xml:space="preserve">ELIMINADO </w:t>
      </w:r>
      <w:r w:rsidRPr="007E7EA4">
        <w:rPr>
          <w:rFonts w:ascii="Century Gothic" w:hAnsi="Century Gothic"/>
        </w:rPr>
        <w:t xml:space="preserve">y </w:t>
      </w:r>
      <w:r w:rsidR="007557B6">
        <w:rPr>
          <w:rFonts w:ascii="Century Gothic" w:hAnsi="Century Gothic"/>
        </w:rPr>
        <w:t>ELIMINADO</w:t>
      </w:r>
      <w:r w:rsidRPr="007E7EA4">
        <w:rPr>
          <w:rFonts w:ascii="Century Gothic" w:hAnsi="Century Gothic"/>
        </w:rPr>
        <w:t xml:space="preserve">, ambos de apellido </w:t>
      </w:r>
      <w:r w:rsidR="007557B6">
        <w:rPr>
          <w:rFonts w:ascii="Century Gothic" w:hAnsi="Century Gothic"/>
        </w:rPr>
        <w:t>ELIMINADO</w:t>
      </w:r>
      <w:r>
        <w:rPr>
          <w:rFonts w:ascii="Century Gothic" w:hAnsi="Century Gothic"/>
        </w:rPr>
        <w:t xml:space="preserve">; al Notario Público No. </w:t>
      </w:r>
      <w:r w:rsidR="007557B6">
        <w:rPr>
          <w:rFonts w:ascii="Century Gothic" w:hAnsi="Century Gothic"/>
        </w:rPr>
        <w:t>ELIMINADO</w:t>
      </w:r>
      <w:r>
        <w:rPr>
          <w:rFonts w:ascii="Century Gothic" w:hAnsi="Century Gothic"/>
        </w:rPr>
        <w:t xml:space="preserve">, Lic. </w:t>
      </w:r>
      <w:r w:rsidR="007557B6">
        <w:rPr>
          <w:rFonts w:ascii="Century Gothic" w:hAnsi="Century Gothic"/>
        </w:rPr>
        <w:t>ELIMINADO</w:t>
      </w:r>
      <w:r>
        <w:rPr>
          <w:rFonts w:ascii="Century Gothic" w:hAnsi="Century Gothic"/>
        </w:rPr>
        <w:t xml:space="preserve">, con ejercicio en ese Distrito Judicial; al Director del Registro Público de la Propiedad y del Comercio de esa ciudad; a </w:t>
      </w:r>
      <w:r w:rsidR="007557B6">
        <w:rPr>
          <w:rFonts w:ascii="Century Gothic" w:hAnsi="Century Gothic"/>
        </w:rPr>
        <w:t>ELIMINADO</w:t>
      </w:r>
      <w:r>
        <w:rPr>
          <w:rFonts w:ascii="Century Gothic" w:hAnsi="Century Gothic"/>
        </w:rPr>
        <w:t xml:space="preserve">; y al Notario Público No. </w:t>
      </w:r>
      <w:r w:rsidR="007557B6">
        <w:rPr>
          <w:rFonts w:ascii="Century Gothic" w:hAnsi="Century Gothic"/>
        </w:rPr>
        <w:t>ELIMINADO</w:t>
      </w:r>
      <w:r>
        <w:rPr>
          <w:rFonts w:ascii="Century Gothic" w:hAnsi="Century Gothic"/>
        </w:rPr>
        <w:t xml:space="preserve">, Lic. </w:t>
      </w:r>
      <w:r w:rsidR="007557B6">
        <w:rPr>
          <w:rFonts w:ascii="Century Gothic" w:hAnsi="Century Gothic"/>
        </w:rPr>
        <w:t>ELIMINADO</w:t>
      </w:r>
      <w:r>
        <w:rPr>
          <w:rFonts w:ascii="Century Gothic" w:hAnsi="Century Gothic"/>
        </w:rPr>
        <w:t>, por:</w:t>
      </w:r>
    </w:p>
    <w:p w:rsidR="004B2A90" w:rsidRDefault="00D52A1B" w:rsidP="00CE5938">
      <w:pPr>
        <w:pStyle w:val="Normal0"/>
        <w:spacing w:after="360" w:line="360" w:lineRule="auto"/>
        <w:ind w:firstLine="851"/>
        <w:jc w:val="both"/>
        <w:rPr>
          <w:rFonts w:ascii="Century Gothic" w:hAnsi="Century Gothic"/>
        </w:rPr>
      </w:pPr>
      <w:r>
        <w:rPr>
          <w:rFonts w:ascii="Century Gothic" w:hAnsi="Century Gothic"/>
        </w:rPr>
        <w:t xml:space="preserve">a) </w:t>
      </w:r>
      <w:r w:rsidR="004B2A90">
        <w:rPr>
          <w:rFonts w:ascii="Century Gothic" w:hAnsi="Century Gothic"/>
        </w:rPr>
        <w:t>L</w:t>
      </w:r>
      <w:r w:rsidR="004B2A90" w:rsidRPr="007E7EA4">
        <w:rPr>
          <w:rFonts w:ascii="Century Gothic" w:hAnsi="Century Gothic"/>
        </w:rPr>
        <w:t>a nulidad absoluta, invalidez e inexistencia de</w:t>
      </w:r>
      <w:r w:rsidR="004B2A90">
        <w:rPr>
          <w:rFonts w:ascii="Century Gothic" w:hAnsi="Century Gothic"/>
        </w:rPr>
        <w:t xml:space="preserve">l </w:t>
      </w:r>
      <w:r w:rsidR="004B2A90" w:rsidRPr="007E7EA4">
        <w:rPr>
          <w:rFonts w:ascii="Century Gothic" w:hAnsi="Century Gothic"/>
        </w:rPr>
        <w:t>contrato de c</w:t>
      </w:r>
      <w:r w:rsidR="004B2A90">
        <w:rPr>
          <w:rFonts w:ascii="Century Gothic" w:hAnsi="Century Gothic"/>
        </w:rPr>
        <w:t xml:space="preserve">ompraventa supuestamente celebrado por el actor, hoy quejoso, el 8 ocho de octubre de 1986 mil novecientos ochenta y seis, ante el Notario Público No. </w:t>
      </w:r>
      <w:r w:rsidR="007557B6">
        <w:rPr>
          <w:rFonts w:ascii="Century Gothic" w:hAnsi="Century Gothic"/>
        </w:rPr>
        <w:t>ELIMINADO</w:t>
      </w:r>
      <w:r w:rsidR="004B2A90">
        <w:rPr>
          <w:rFonts w:ascii="Century Gothic" w:hAnsi="Century Gothic"/>
        </w:rPr>
        <w:t xml:space="preserve">, Lic. </w:t>
      </w:r>
      <w:r w:rsidR="007557B6">
        <w:rPr>
          <w:rFonts w:ascii="Century Gothic" w:hAnsi="Century Gothic"/>
        </w:rPr>
        <w:t>ELIMINADO</w:t>
      </w:r>
      <w:r w:rsidR="004B2A90">
        <w:rPr>
          <w:rFonts w:ascii="Century Gothic" w:hAnsi="Century Gothic"/>
        </w:rPr>
        <w:t>.</w:t>
      </w:r>
      <w:r w:rsidR="005A338C">
        <w:rPr>
          <w:rFonts w:ascii="Century Gothic" w:hAnsi="Century Gothic"/>
        </w:rPr>
        <w:t xml:space="preserve"> </w:t>
      </w:r>
    </w:p>
    <w:p w:rsidR="004B2A90" w:rsidRDefault="004B2A90" w:rsidP="00CE5938">
      <w:pPr>
        <w:pStyle w:val="Normal0"/>
        <w:spacing w:after="360" w:line="360" w:lineRule="auto"/>
        <w:ind w:firstLine="851"/>
        <w:jc w:val="both"/>
        <w:rPr>
          <w:rFonts w:ascii="Century Gothic" w:hAnsi="Century Gothic"/>
        </w:rPr>
      </w:pPr>
      <w:r>
        <w:rPr>
          <w:rFonts w:ascii="Century Gothic" w:hAnsi="Century Gothic"/>
        </w:rPr>
        <w:t xml:space="preserve">b) La nulidad del contrato de donación hecho por </w:t>
      </w:r>
      <w:r w:rsidR="007557B6">
        <w:rPr>
          <w:rFonts w:ascii="Century Gothic" w:hAnsi="Century Gothic"/>
        </w:rPr>
        <w:t>ELIMINADO</w:t>
      </w:r>
      <w:r>
        <w:rPr>
          <w:rFonts w:ascii="Century Gothic" w:hAnsi="Century Gothic"/>
        </w:rPr>
        <w:t xml:space="preserve"> a favor de </w:t>
      </w:r>
      <w:r w:rsidR="007557B6">
        <w:rPr>
          <w:rFonts w:ascii="Century Gothic" w:hAnsi="Century Gothic"/>
        </w:rPr>
        <w:t>ELIMINADO</w:t>
      </w:r>
      <w:r>
        <w:rPr>
          <w:rFonts w:ascii="Century Gothic" w:hAnsi="Century Gothic"/>
        </w:rPr>
        <w:t xml:space="preserve">, el 27 veintisiete de enero de 2009 dos mil nueve, que quedó inscrita en el protocolo del Notario Público No. </w:t>
      </w:r>
      <w:r w:rsidR="007557B6">
        <w:rPr>
          <w:rFonts w:ascii="Century Gothic" w:hAnsi="Century Gothic"/>
        </w:rPr>
        <w:t>ELIMINADO</w:t>
      </w:r>
      <w:r>
        <w:rPr>
          <w:rFonts w:ascii="Century Gothic" w:hAnsi="Century Gothic"/>
        </w:rPr>
        <w:t xml:space="preserve">, en ejercicio en esa ciudad, Lic. </w:t>
      </w:r>
      <w:r w:rsidR="007557B6">
        <w:rPr>
          <w:rFonts w:ascii="Century Gothic" w:hAnsi="Century Gothic"/>
        </w:rPr>
        <w:t>ELIMINADO</w:t>
      </w:r>
      <w:r>
        <w:rPr>
          <w:rFonts w:ascii="Century Gothic" w:hAnsi="Century Gothic"/>
        </w:rPr>
        <w:t>.</w:t>
      </w:r>
      <w:r w:rsidR="005A338C">
        <w:rPr>
          <w:rFonts w:ascii="Century Gothic" w:hAnsi="Century Gothic"/>
        </w:rPr>
        <w:t xml:space="preserve"> </w:t>
      </w:r>
    </w:p>
    <w:p w:rsidR="004B2A90" w:rsidRDefault="004B2A90" w:rsidP="00CE5938">
      <w:pPr>
        <w:pStyle w:val="Normal0"/>
        <w:spacing w:after="360" w:line="360" w:lineRule="auto"/>
        <w:ind w:firstLine="851"/>
        <w:jc w:val="both"/>
        <w:rPr>
          <w:rFonts w:ascii="Century Gothic" w:hAnsi="Century Gothic"/>
        </w:rPr>
      </w:pPr>
      <w:r>
        <w:rPr>
          <w:rFonts w:ascii="Century Gothic" w:hAnsi="Century Gothic"/>
        </w:rPr>
        <w:t>c) La cancelación de dichas escrituras ante el Registro Público de la Propiedad y del Comercio de ciudad Valles, S.L.P.</w:t>
      </w:r>
      <w:r w:rsidR="008727DD">
        <w:rPr>
          <w:rFonts w:ascii="Century Gothic" w:hAnsi="Century Gothic"/>
        </w:rPr>
        <w:t xml:space="preserve"> </w:t>
      </w:r>
    </w:p>
    <w:p w:rsidR="004B2A90" w:rsidRPr="00346358" w:rsidRDefault="004B2A90" w:rsidP="00CE5938">
      <w:pPr>
        <w:pStyle w:val="Normal0"/>
        <w:spacing w:after="360" w:line="360" w:lineRule="auto"/>
        <w:ind w:firstLine="851"/>
        <w:jc w:val="both"/>
        <w:rPr>
          <w:rFonts w:ascii="Century Gothic" w:hAnsi="Century Gothic"/>
        </w:rPr>
      </w:pPr>
      <w:r w:rsidRPr="00407E98">
        <w:rPr>
          <w:rFonts w:ascii="Century Gothic" w:hAnsi="Century Gothic"/>
          <w:b/>
        </w:rPr>
        <w:lastRenderedPageBreak/>
        <w:t>2</w:t>
      </w:r>
      <w:r>
        <w:rPr>
          <w:rFonts w:ascii="Century Gothic" w:hAnsi="Century Gothic"/>
          <w:b/>
        </w:rPr>
        <w:t>.-</w:t>
      </w:r>
      <w:r w:rsidRPr="00407E98">
        <w:rPr>
          <w:rFonts w:ascii="Century Gothic" w:hAnsi="Century Gothic"/>
        </w:rPr>
        <w:t xml:space="preserve"> </w:t>
      </w:r>
      <w:r>
        <w:rPr>
          <w:rFonts w:ascii="Century Gothic" w:hAnsi="Century Gothic"/>
        </w:rPr>
        <w:t>Dicha d</w:t>
      </w:r>
      <w:r w:rsidRPr="00407E98">
        <w:rPr>
          <w:rFonts w:ascii="Century Gothic" w:hAnsi="Century Gothic"/>
        </w:rPr>
        <w:t>emanda fue admitida</w:t>
      </w:r>
      <w:r>
        <w:rPr>
          <w:rFonts w:ascii="Century Gothic" w:hAnsi="Century Gothic"/>
        </w:rPr>
        <w:t xml:space="preserve"> por auto de </w:t>
      </w:r>
      <w:r w:rsidRPr="00407E98">
        <w:rPr>
          <w:rFonts w:ascii="Century Gothic" w:hAnsi="Century Gothic"/>
          <w:bCs/>
        </w:rPr>
        <w:t>15 quince de octubre de 2013 dos mil trece</w:t>
      </w:r>
      <w:r w:rsidR="00EC79A8">
        <w:rPr>
          <w:rStyle w:val="Refdenotaalpie"/>
          <w:rFonts w:ascii="Century Gothic" w:hAnsi="Century Gothic"/>
          <w:bCs/>
        </w:rPr>
        <w:footnoteReference w:id="9"/>
      </w:r>
      <w:r w:rsidRPr="00407E98">
        <w:rPr>
          <w:rFonts w:ascii="Century Gothic" w:hAnsi="Century Gothic"/>
          <w:bCs/>
        </w:rPr>
        <w:t xml:space="preserve">, </w:t>
      </w:r>
      <w:r>
        <w:rPr>
          <w:rFonts w:ascii="Century Gothic" w:hAnsi="Century Gothic"/>
          <w:bCs/>
        </w:rPr>
        <w:t xml:space="preserve">mediante el cual ordenó </w:t>
      </w:r>
      <w:r w:rsidRPr="00407E98">
        <w:rPr>
          <w:rFonts w:ascii="Century Gothic" w:hAnsi="Century Gothic"/>
          <w:bCs/>
        </w:rPr>
        <w:t xml:space="preserve">notificar y emplazar a los </w:t>
      </w:r>
      <w:r>
        <w:rPr>
          <w:rFonts w:ascii="Century Gothic" w:hAnsi="Century Gothic"/>
          <w:bCs/>
        </w:rPr>
        <w:t xml:space="preserve">diversos </w:t>
      </w:r>
      <w:r w:rsidRPr="00407E98">
        <w:rPr>
          <w:rFonts w:ascii="Century Gothic" w:hAnsi="Century Gothic"/>
          <w:bCs/>
        </w:rPr>
        <w:t xml:space="preserve">demandados; </w:t>
      </w:r>
      <w:r>
        <w:rPr>
          <w:rFonts w:ascii="Century Gothic" w:hAnsi="Century Gothic"/>
          <w:bCs/>
        </w:rPr>
        <w:t xml:space="preserve">siendo así que mediante escrito recibido por dicho juzgado el 4 cuatro de diciembre de 2013 dos mil trece, comparecieron </w:t>
      </w:r>
      <w:r w:rsidR="007557B6">
        <w:rPr>
          <w:rFonts w:ascii="Century Gothic" w:hAnsi="Century Gothic"/>
        </w:rPr>
        <w:t>ELIMINADO</w:t>
      </w:r>
      <w:r w:rsidRPr="00407E98">
        <w:rPr>
          <w:rFonts w:ascii="Century Gothic" w:hAnsi="Century Gothic"/>
        </w:rPr>
        <w:t xml:space="preserve"> y </w:t>
      </w:r>
      <w:r w:rsidR="007557B6">
        <w:rPr>
          <w:rFonts w:ascii="Century Gothic" w:hAnsi="Century Gothic"/>
        </w:rPr>
        <w:t>ELIMINADO</w:t>
      </w:r>
      <w:r w:rsidRPr="00407E98">
        <w:rPr>
          <w:rFonts w:ascii="Century Gothic" w:hAnsi="Century Gothic"/>
        </w:rPr>
        <w:t>,</w:t>
      </w:r>
      <w:r>
        <w:rPr>
          <w:rFonts w:ascii="Century Gothic" w:hAnsi="Century Gothic"/>
        </w:rPr>
        <w:t xml:space="preserve"> a dar contestación a la demanda</w:t>
      </w:r>
      <w:r w:rsidR="008727DD">
        <w:rPr>
          <w:rFonts w:ascii="Century Gothic" w:hAnsi="Century Gothic"/>
        </w:rPr>
        <w:t xml:space="preserve">, </w:t>
      </w:r>
      <w:r>
        <w:rPr>
          <w:rFonts w:ascii="Century Gothic" w:hAnsi="Century Gothic"/>
        </w:rPr>
        <w:t xml:space="preserve">en su carácter de albaceas testamentarios de </w:t>
      </w:r>
      <w:r w:rsidR="007557B6">
        <w:rPr>
          <w:rFonts w:ascii="Century Gothic" w:hAnsi="Century Gothic"/>
        </w:rPr>
        <w:t>ELIMINADO</w:t>
      </w:r>
      <w:r w:rsidRPr="007E7EA4">
        <w:rPr>
          <w:rFonts w:ascii="Century Gothic" w:hAnsi="Century Gothic"/>
        </w:rPr>
        <w:t xml:space="preserve">, </w:t>
      </w:r>
      <w:r>
        <w:rPr>
          <w:rFonts w:ascii="Century Gothic" w:hAnsi="Century Gothic"/>
        </w:rPr>
        <w:t xml:space="preserve">y </w:t>
      </w:r>
      <w:r w:rsidR="007557B6">
        <w:rPr>
          <w:rFonts w:ascii="Century Gothic" w:hAnsi="Century Gothic"/>
        </w:rPr>
        <w:t>ELIMINADO</w:t>
      </w:r>
      <w:r w:rsidR="00EC79A8">
        <w:rPr>
          <w:rStyle w:val="Refdenotaalpie"/>
          <w:rFonts w:ascii="Century Gothic" w:hAnsi="Century Gothic"/>
        </w:rPr>
        <w:footnoteReference w:id="10"/>
      </w:r>
      <w:r w:rsidR="00346358">
        <w:rPr>
          <w:rFonts w:ascii="Century Gothic" w:hAnsi="Century Gothic"/>
        </w:rPr>
        <w:t xml:space="preserve"> </w:t>
      </w:r>
      <w:r>
        <w:rPr>
          <w:rFonts w:ascii="Century Gothic" w:hAnsi="Century Gothic"/>
        </w:rPr>
        <w:t xml:space="preserve">además como apoderado legal de la diversa codemandada </w:t>
      </w:r>
      <w:r w:rsidR="007557B6">
        <w:rPr>
          <w:rFonts w:ascii="Century Gothic" w:hAnsi="Century Gothic"/>
          <w:bCs/>
        </w:rPr>
        <w:t>ELIMINADO</w:t>
      </w:r>
      <w:r w:rsidRPr="00407E98">
        <w:rPr>
          <w:rFonts w:ascii="Century Gothic" w:hAnsi="Century Gothic"/>
          <w:bCs/>
        </w:rPr>
        <w:t>,</w:t>
      </w:r>
      <w:r>
        <w:rPr>
          <w:rFonts w:ascii="Century Gothic" w:hAnsi="Century Gothic"/>
          <w:bCs/>
        </w:rPr>
        <w:t xml:space="preserve"> por lo que por </w:t>
      </w:r>
      <w:r w:rsidRPr="00407E98">
        <w:rPr>
          <w:rFonts w:ascii="Century Gothic" w:hAnsi="Century Gothic"/>
          <w:bCs/>
        </w:rPr>
        <w:t xml:space="preserve">auto de 10 diez de diciembre de 2013 dos mil trece, </w:t>
      </w:r>
      <w:r>
        <w:rPr>
          <w:rFonts w:ascii="Century Gothic" w:hAnsi="Century Gothic"/>
          <w:bCs/>
        </w:rPr>
        <w:t xml:space="preserve">el juez en mención los tuvo </w:t>
      </w:r>
      <w:r w:rsidRPr="00407E98">
        <w:rPr>
          <w:rFonts w:ascii="Century Gothic" w:hAnsi="Century Gothic"/>
        </w:rPr>
        <w:t>por</w:t>
      </w:r>
      <w:r>
        <w:rPr>
          <w:rFonts w:ascii="Century Gothic" w:hAnsi="Century Gothic"/>
        </w:rPr>
        <w:t xml:space="preserve"> contestando en tiempo y forma la demanda entablada en su contra</w:t>
      </w:r>
      <w:r w:rsidR="00EC79A8">
        <w:rPr>
          <w:rStyle w:val="Refdenotaalpie"/>
          <w:rFonts w:ascii="Century Gothic" w:hAnsi="Century Gothic"/>
        </w:rPr>
        <w:footnoteReference w:id="11"/>
      </w:r>
      <w:r>
        <w:rPr>
          <w:rFonts w:ascii="Century Gothic" w:hAnsi="Century Gothic"/>
        </w:rPr>
        <w:t>, en las calidades mencionadas</w:t>
      </w:r>
      <w:r w:rsidRPr="00407E98">
        <w:rPr>
          <w:rFonts w:ascii="Century Gothic" w:hAnsi="Century Gothic"/>
          <w:bCs/>
        </w:rPr>
        <w:t>,</w:t>
      </w:r>
      <w:r w:rsidRPr="00407E98">
        <w:rPr>
          <w:rFonts w:ascii="Century Gothic" w:hAnsi="Century Gothic"/>
        </w:rPr>
        <w:t xml:space="preserve"> desig</w:t>
      </w:r>
      <w:r>
        <w:rPr>
          <w:rFonts w:ascii="Century Gothic" w:hAnsi="Century Gothic"/>
        </w:rPr>
        <w:t xml:space="preserve">nando a </w:t>
      </w:r>
      <w:r w:rsidR="007557B6">
        <w:rPr>
          <w:rFonts w:ascii="Century Gothic" w:hAnsi="Century Gothic"/>
          <w:b/>
        </w:rPr>
        <w:t>ELIMINADO</w:t>
      </w:r>
      <w:r w:rsidRPr="003A4956">
        <w:rPr>
          <w:rFonts w:ascii="Century Gothic" w:hAnsi="Century Gothic"/>
          <w:b/>
        </w:rPr>
        <w:t xml:space="preserve"> </w:t>
      </w:r>
      <w:r w:rsidRPr="00346358">
        <w:rPr>
          <w:rFonts w:ascii="Century Gothic" w:hAnsi="Century Gothic"/>
        </w:rPr>
        <w:t>como su</w:t>
      </w:r>
      <w:r>
        <w:rPr>
          <w:rFonts w:ascii="Century Gothic" w:hAnsi="Century Gothic"/>
          <w:b/>
        </w:rPr>
        <w:t xml:space="preserve"> </w:t>
      </w:r>
      <w:r w:rsidRPr="003A4956">
        <w:rPr>
          <w:rFonts w:ascii="Century Gothic" w:hAnsi="Century Gothic"/>
          <w:b/>
        </w:rPr>
        <w:t>representante común</w:t>
      </w:r>
      <w:r w:rsidRPr="00407E98">
        <w:rPr>
          <w:rFonts w:ascii="Century Gothic" w:hAnsi="Century Gothic"/>
        </w:rPr>
        <w:t xml:space="preserve"> en términos de lo dispuesto por el numeral 51 del Código de Procedimientos Civiles, </w:t>
      </w:r>
      <w:r>
        <w:rPr>
          <w:rFonts w:ascii="Century Gothic" w:hAnsi="Century Gothic"/>
        </w:rPr>
        <w:t xml:space="preserve">y los tuvo por </w:t>
      </w:r>
      <w:r w:rsidRPr="00407E98">
        <w:rPr>
          <w:rFonts w:ascii="Century Gothic" w:hAnsi="Century Gothic"/>
        </w:rPr>
        <w:t xml:space="preserve">señalando como </w:t>
      </w:r>
      <w:r w:rsidRPr="00346358">
        <w:rPr>
          <w:rFonts w:ascii="Century Gothic" w:hAnsi="Century Gothic"/>
        </w:rPr>
        <w:t xml:space="preserve">domicilio para oír y recibir notificaciones el ubicado en Avenida </w:t>
      </w:r>
      <w:r w:rsidR="007557B6">
        <w:rPr>
          <w:rFonts w:ascii="Century Gothic" w:hAnsi="Century Gothic"/>
        </w:rPr>
        <w:t>ELIMINADO</w:t>
      </w:r>
      <w:r w:rsidR="00355BB0">
        <w:rPr>
          <w:rFonts w:ascii="Century Gothic" w:hAnsi="Century Gothic"/>
        </w:rPr>
        <w:t xml:space="preserve">, número </w:t>
      </w:r>
      <w:r w:rsidR="007557B6">
        <w:rPr>
          <w:rFonts w:ascii="Century Gothic" w:hAnsi="Century Gothic"/>
        </w:rPr>
        <w:t>ELIMINADO</w:t>
      </w:r>
      <w:r w:rsidR="00355BB0">
        <w:rPr>
          <w:rFonts w:ascii="Century Gothic" w:hAnsi="Century Gothic"/>
        </w:rPr>
        <w:t xml:space="preserve">, </w:t>
      </w:r>
      <w:r w:rsidR="007557B6">
        <w:rPr>
          <w:rFonts w:ascii="Century Gothic" w:hAnsi="Century Gothic"/>
        </w:rPr>
        <w:t>ELIMINADO</w:t>
      </w:r>
      <w:r w:rsidR="00355BB0">
        <w:rPr>
          <w:rFonts w:ascii="Century Gothic" w:hAnsi="Century Gothic"/>
        </w:rPr>
        <w:t xml:space="preserve"> en c</w:t>
      </w:r>
      <w:r w:rsidRPr="00346358">
        <w:rPr>
          <w:rFonts w:ascii="Century Gothic" w:hAnsi="Century Gothic"/>
        </w:rPr>
        <w:t>iudad Valles, S.L.P.</w:t>
      </w:r>
    </w:p>
    <w:p w:rsidR="00355BB0" w:rsidRDefault="004B2A90" w:rsidP="00CE5938">
      <w:pPr>
        <w:pStyle w:val="Prrafodelista"/>
        <w:spacing w:after="360" w:line="360" w:lineRule="auto"/>
        <w:ind w:left="0" w:firstLine="851"/>
        <w:jc w:val="both"/>
        <w:rPr>
          <w:rFonts w:ascii="Century Gothic" w:hAnsi="Century Gothic" w:cs="Arial"/>
        </w:rPr>
      </w:pPr>
      <w:r>
        <w:rPr>
          <w:rFonts w:ascii="Century Gothic" w:hAnsi="Century Gothic" w:cs="Arial"/>
          <w:b/>
        </w:rPr>
        <w:t>3.-</w:t>
      </w:r>
      <w:r w:rsidRPr="00530BB8">
        <w:rPr>
          <w:rFonts w:ascii="Century Gothic" w:hAnsi="Century Gothic" w:cs="Arial"/>
          <w:b/>
        </w:rPr>
        <w:t xml:space="preserve"> </w:t>
      </w:r>
      <w:r>
        <w:rPr>
          <w:rFonts w:ascii="Century Gothic" w:hAnsi="Century Gothic" w:cs="Arial"/>
          <w:bCs/>
          <w:lang w:val="es-ES"/>
        </w:rPr>
        <w:t>U</w:t>
      </w:r>
      <w:r w:rsidRPr="00EA0B9B">
        <w:rPr>
          <w:rFonts w:ascii="Century Gothic" w:hAnsi="Century Gothic" w:cs="Arial"/>
          <w:bCs/>
          <w:lang w:val="es-ES"/>
        </w:rPr>
        <w:t>na vez</w:t>
      </w:r>
      <w:r>
        <w:rPr>
          <w:rFonts w:ascii="Century Gothic" w:hAnsi="Century Gothic" w:cs="Arial"/>
          <w:b/>
          <w:bCs/>
          <w:lang w:val="es-ES"/>
        </w:rPr>
        <w:t xml:space="preserve"> </w:t>
      </w:r>
      <w:r>
        <w:rPr>
          <w:rFonts w:ascii="Century Gothic" w:hAnsi="Century Gothic" w:cs="Arial"/>
        </w:rPr>
        <w:t>c</w:t>
      </w:r>
      <w:r w:rsidRPr="00530BB8">
        <w:rPr>
          <w:rFonts w:ascii="Century Gothic" w:hAnsi="Century Gothic" w:cs="Arial"/>
        </w:rPr>
        <w:t>oncluido el procedimiento en todas sus etapas procesales</w:t>
      </w:r>
      <w:r>
        <w:rPr>
          <w:rFonts w:ascii="Century Gothic" w:hAnsi="Century Gothic" w:cs="Arial"/>
        </w:rPr>
        <w:t>,</w:t>
      </w:r>
      <w:r w:rsidRPr="00530BB8">
        <w:rPr>
          <w:rFonts w:ascii="Century Gothic" w:hAnsi="Century Gothic" w:cs="Arial"/>
        </w:rPr>
        <w:t xml:space="preserve"> el </w:t>
      </w:r>
      <w:r>
        <w:rPr>
          <w:rFonts w:ascii="Century Gothic" w:hAnsi="Century Gothic" w:cs="Arial"/>
        </w:rPr>
        <w:t>12 doce de mayo de</w:t>
      </w:r>
      <w:r w:rsidRPr="00530BB8">
        <w:rPr>
          <w:rFonts w:ascii="Century Gothic" w:hAnsi="Century Gothic" w:cs="Arial"/>
        </w:rPr>
        <w:t xml:space="preserve"> 2015 dos mil quince, se dictó </w:t>
      </w:r>
      <w:r>
        <w:rPr>
          <w:rFonts w:ascii="Century Gothic" w:hAnsi="Century Gothic" w:cs="Arial"/>
        </w:rPr>
        <w:t>sentencia d</w:t>
      </w:r>
      <w:r w:rsidRPr="00530BB8">
        <w:rPr>
          <w:rFonts w:ascii="Century Gothic" w:hAnsi="Century Gothic" w:cs="Arial"/>
        </w:rPr>
        <w:t>efinitiva a favor de la parte actora, decretando la inexistencia del con</w:t>
      </w:r>
      <w:r>
        <w:rPr>
          <w:rFonts w:ascii="Century Gothic" w:hAnsi="Century Gothic" w:cs="Arial"/>
        </w:rPr>
        <w:t>trato de compraventa impugnado</w:t>
      </w:r>
      <w:r w:rsidR="00355BB0">
        <w:rPr>
          <w:rFonts w:ascii="Century Gothic" w:hAnsi="Century Gothic" w:cs="Arial"/>
        </w:rPr>
        <w:t>.</w:t>
      </w:r>
    </w:p>
    <w:p w:rsidR="004B2A90" w:rsidRPr="007A1728" w:rsidRDefault="00355BB0" w:rsidP="00CE5938">
      <w:pPr>
        <w:pStyle w:val="Prrafodelista"/>
        <w:spacing w:after="360" w:line="360" w:lineRule="auto"/>
        <w:ind w:left="0" w:firstLine="851"/>
        <w:jc w:val="both"/>
        <w:rPr>
          <w:rFonts w:ascii="Century Gothic" w:hAnsi="Century Gothic" w:cs="Arial"/>
        </w:rPr>
      </w:pPr>
      <w:r w:rsidRPr="007A1728">
        <w:rPr>
          <w:rFonts w:ascii="Century Gothic" w:hAnsi="Century Gothic" w:cs="Arial"/>
        </w:rPr>
        <w:t xml:space="preserve">Dicha </w:t>
      </w:r>
      <w:r w:rsidR="004B2A90" w:rsidRPr="007A1728">
        <w:rPr>
          <w:rFonts w:ascii="Century Gothic" w:hAnsi="Century Gothic" w:cs="Arial"/>
        </w:rPr>
        <w:t>sentencia fue confirmada por la Quinta Sala del Supremo Tribunal de Justicia en el Estado el 11 once de se</w:t>
      </w:r>
      <w:r w:rsidR="007A1728">
        <w:rPr>
          <w:rFonts w:ascii="Century Gothic" w:hAnsi="Century Gothic" w:cs="Arial"/>
        </w:rPr>
        <w:t xml:space="preserve">ptiembre de </w:t>
      </w:r>
      <w:r w:rsidR="004B2A90" w:rsidRPr="007A1728">
        <w:rPr>
          <w:rFonts w:ascii="Century Gothic" w:hAnsi="Century Gothic" w:cs="Arial"/>
        </w:rPr>
        <w:t>2015 dos mil quince, dentro del toca de apelación 284/2015, quien en el</w:t>
      </w:r>
      <w:r w:rsidR="007A1728" w:rsidRPr="007A1728">
        <w:rPr>
          <w:rFonts w:ascii="Century Gothic" w:hAnsi="Century Gothic" w:cs="Arial"/>
        </w:rPr>
        <w:t xml:space="preserve"> resolutivo n</w:t>
      </w:r>
      <w:r w:rsidR="004B2A90" w:rsidRPr="007A1728">
        <w:rPr>
          <w:rFonts w:ascii="Century Gothic" w:hAnsi="Century Gothic" w:cs="Arial"/>
        </w:rPr>
        <w:t xml:space="preserve">oveno condenó a la parte demandada al pago de las costas y gastos originados por la tramitación del juicio principal y de segunda instancia. </w:t>
      </w:r>
    </w:p>
    <w:p w:rsidR="004B2A90" w:rsidRDefault="004B2A90" w:rsidP="00CE5938">
      <w:pPr>
        <w:spacing w:after="360" w:line="360" w:lineRule="auto"/>
        <w:ind w:firstLine="851"/>
        <w:jc w:val="both"/>
        <w:rPr>
          <w:rFonts w:ascii="Century Gothic" w:hAnsi="Century Gothic" w:cs="Arial"/>
          <w:sz w:val="24"/>
          <w:szCs w:val="24"/>
        </w:rPr>
      </w:pPr>
      <w:r w:rsidRPr="003E291E">
        <w:rPr>
          <w:rFonts w:ascii="Century Gothic" w:hAnsi="Century Gothic" w:cs="Arial"/>
          <w:sz w:val="24"/>
          <w:szCs w:val="24"/>
        </w:rPr>
        <w:t>Contra el fallo de la Alzada los demandad</w:t>
      </w:r>
      <w:r>
        <w:rPr>
          <w:rFonts w:ascii="Century Gothic" w:hAnsi="Century Gothic" w:cs="Arial"/>
          <w:sz w:val="24"/>
          <w:szCs w:val="24"/>
        </w:rPr>
        <w:t>os en lo principal, tramitaron juicio de a</w:t>
      </w:r>
      <w:r w:rsidRPr="003E291E">
        <w:rPr>
          <w:rFonts w:ascii="Century Gothic" w:hAnsi="Century Gothic" w:cs="Arial"/>
          <w:sz w:val="24"/>
          <w:szCs w:val="24"/>
        </w:rPr>
        <w:t>m</w:t>
      </w:r>
      <w:r>
        <w:rPr>
          <w:rFonts w:ascii="Century Gothic" w:hAnsi="Century Gothic" w:cs="Arial"/>
          <w:sz w:val="24"/>
          <w:szCs w:val="24"/>
        </w:rPr>
        <w:t>paro, del cual conoció el</w:t>
      </w:r>
      <w:r w:rsidRPr="003E291E">
        <w:rPr>
          <w:rFonts w:ascii="Century Gothic" w:hAnsi="Century Gothic" w:cs="Arial"/>
          <w:sz w:val="24"/>
          <w:szCs w:val="24"/>
        </w:rPr>
        <w:t xml:space="preserve"> Segundo Tribunal Colegiado en materia Civil y Administrativa del Noveno Circuito, </w:t>
      </w:r>
      <w:r>
        <w:rPr>
          <w:rFonts w:ascii="Century Gothic" w:hAnsi="Century Gothic" w:cs="Arial"/>
          <w:sz w:val="24"/>
          <w:szCs w:val="24"/>
        </w:rPr>
        <w:t xml:space="preserve">bajo el número de amparo directo </w:t>
      </w:r>
      <w:r w:rsidRPr="003E291E">
        <w:rPr>
          <w:rFonts w:ascii="Century Gothic" w:hAnsi="Century Gothic" w:cs="Arial"/>
          <w:sz w:val="24"/>
          <w:szCs w:val="24"/>
        </w:rPr>
        <w:t>901/2015,</w:t>
      </w:r>
      <w:r>
        <w:rPr>
          <w:rFonts w:ascii="Century Gothic" w:hAnsi="Century Gothic" w:cs="Arial"/>
          <w:sz w:val="24"/>
          <w:szCs w:val="24"/>
        </w:rPr>
        <w:t xml:space="preserve"> quien el 8 ocho de febrero de</w:t>
      </w:r>
      <w:r w:rsidRPr="003E291E">
        <w:rPr>
          <w:rFonts w:ascii="Century Gothic" w:hAnsi="Century Gothic" w:cs="Arial"/>
          <w:sz w:val="24"/>
          <w:szCs w:val="24"/>
        </w:rPr>
        <w:t xml:space="preserve"> 2016 dos mil dieciséis, </w:t>
      </w:r>
      <w:r>
        <w:rPr>
          <w:rFonts w:ascii="Century Gothic" w:hAnsi="Century Gothic" w:cs="Arial"/>
          <w:sz w:val="24"/>
          <w:szCs w:val="24"/>
        </w:rPr>
        <w:t>determinó no amparar ni proteger a la s</w:t>
      </w:r>
      <w:r w:rsidRPr="003E291E">
        <w:rPr>
          <w:rFonts w:ascii="Century Gothic" w:hAnsi="Century Gothic" w:cs="Arial"/>
          <w:sz w:val="24"/>
          <w:szCs w:val="24"/>
        </w:rPr>
        <w:t>ucesión</w:t>
      </w:r>
      <w:r>
        <w:rPr>
          <w:rFonts w:ascii="Century Gothic" w:hAnsi="Century Gothic" w:cs="Arial"/>
          <w:sz w:val="24"/>
          <w:szCs w:val="24"/>
        </w:rPr>
        <w:t xml:space="preserve"> </w:t>
      </w:r>
      <w:r w:rsidRPr="003E291E">
        <w:rPr>
          <w:rFonts w:ascii="Century Gothic" w:hAnsi="Century Gothic" w:cs="Arial"/>
          <w:sz w:val="24"/>
          <w:szCs w:val="24"/>
        </w:rPr>
        <w:t xml:space="preserve">a bienes de </w:t>
      </w:r>
      <w:r w:rsidR="007557B6">
        <w:rPr>
          <w:rFonts w:ascii="Century Gothic" w:hAnsi="Century Gothic" w:cs="Arial"/>
          <w:sz w:val="24"/>
          <w:szCs w:val="24"/>
        </w:rPr>
        <w:t>ELIMINADO</w:t>
      </w:r>
      <w:r>
        <w:rPr>
          <w:rFonts w:ascii="Century Gothic" w:hAnsi="Century Gothic" w:cs="Arial"/>
          <w:sz w:val="24"/>
          <w:szCs w:val="24"/>
        </w:rPr>
        <w:t xml:space="preserve">, ni a </w:t>
      </w:r>
      <w:r w:rsidR="007557B6">
        <w:rPr>
          <w:rFonts w:ascii="Century Gothic" w:hAnsi="Century Gothic" w:cs="Arial"/>
          <w:sz w:val="24"/>
          <w:szCs w:val="24"/>
        </w:rPr>
        <w:t>ELIMINADO</w:t>
      </w:r>
      <w:r w:rsidRPr="003E291E">
        <w:rPr>
          <w:rFonts w:ascii="Century Gothic" w:hAnsi="Century Gothic" w:cs="Arial"/>
          <w:sz w:val="24"/>
          <w:szCs w:val="24"/>
        </w:rPr>
        <w:t>, contra los actos que</w:t>
      </w:r>
      <w:r>
        <w:rPr>
          <w:rFonts w:ascii="Century Gothic" w:hAnsi="Century Gothic" w:cs="Arial"/>
          <w:sz w:val="24"/>
          <w:szCs w:val="24"/>
        </w:rPr>
        <w:t xml:space="preserve"> por </w:t>
      </w:r>
      <w:r>
        <w:rPr>
          <w:rFonts w:ascii="Century Gothic" w:hAnsi="Century Gothic" w:cs="Arial"/>
          <w:sz w:val="24"/>
          <w:szCs w:val="24"/>
        </w:rPr>
        <w:lastRenderedPageBreak/>
        <w:t xml:space="preserve">conducto de </w:t>
      </w:r>
      <w:r w:rsidR="007557B6">
        <w:rPr>
          <w:rFonts w:ascii="Century Gothic" w:hAnsi="Century Gothic" w:cs="Arial"/>
          <w:sz w:val="24"/>
          <w:szCs w:val="24"/>
        </w:rPr>
        <w:t>ELIMINADO</w:t>
      </w:r>
      <w:r w:rsidR="00EF41AC">
        <w:rPr>
          <w:rFonts w:ascii="Century Gothic" w:hAnsi="Century Gothic" w:cs="Arial"/>
          <w:sz w:val="24"/>
          <w:szCs w:val="24"/>
        </w:rPr>
        <w:t xml:space="preserve">, </w:t>
      </w:r>
      <w:r>
        <w:rPr>
          <w:rFonts w:ascii="Century Gothic" w:hAnsi="Century Gothic" w:cs="Arial"/>
          <w:sz w:val="24"/>
          <w:szCs w:val="24"/>
        </w:rPr>
        <w:t>representante común,</w:t>
      </w:r>
      <w:r w:rsidRPr="003E291E">
        <w:rPr>
          <w:rFonts w:ascii="Century Gothic" w:hAnsi="Century Gothic" w:cs="Arial"/>
          <w:sz w:val="24"/>
          <w:szCs w:val="24"/>
        </w:rPr>
        <w:t xml:space="preserve"> reclamaron de la Quinta Sala del Tribunal Superior del Estado</w:t>
      </w:r>
      <w:r>
        <w:rPr>
          <w:rFonts w:ascii="Century Gothic" w:hAnsi="Century Gothic" w:cs="Arial"/>
          <w:sz w:val="24"/>
          <w:szCs w:val="24"/>
        </w:rPr>
        <w:t xml:space="preserve">. </w:t>
      </w:r>
    </w:p>
    <w:p w:rsidR="004B2A90" w:rsidRPr="003E291E" w:rsidRDefault="004B2A90" w:rsidP="00CE5938">
      <w:pPr>
        <w:spacing w:after="360" w:line="360" w:lineRule="auto"/>
        <w:ind w:firstLine="851"/>
        <w:jc w:val="both"/>
        <w:rPr>
          <w:rFonts w:ascii="Century Gothic" w:hAnsi="Century Gothic" w:cs="Arial"/>
          <w:sz w:val="24"/>
          <w:szCs w:val="24"/>
        </w:rPr>
      </w:pPr>
      <w:r>
        <w:rPr>
          <w:rFonts w:ascii="Century Gothic" w:hAnsi="Century Gothic" w:cs="Arial"/>
          <w:sz w:val="24"/>
          <w:szCs w:val="24"/>
        </w:rPr>
        <w:t xml:space="preserve">Por lo que la resolución de </w:t>
      </w:r>
      <w:r w:rsidRPr="005D7AAA">
        <w:rPr>
          <w:rFonts w:ascii="Century Gothic" w:hAnsi="Century Gothic" w:cs="Arial"/>
          <w:sz w:val="24"/>
          <w:szCs w:val="24"/>
        </w:rPr>
        <w:t>12 doce de mayo de</w:t>
      </w:r>
      <w:r w:rsidRPr="00530BB8">
        <w:rPr>
          <w:rFonts w:ascii="Century Gothic" w:hAnsi="Century Gothic" w:cs="Arial"/>
          <w:sz w:val="24"/>
          <w:szCs w:val="24"/>
        </w:rPr>
        <w:t xml:space="preserve"> 2015 dos mil</w:t>
      </w:r>
      <w:r>
        <w:rPr>
          <w:rFonts w:ascii="Century Gothic" w:hAnsi="Century Gothic" w:cs="Arial"/>
          <w:sz w:val="24"/>
          <w:szCs w:val="24"/>
        </w:rPr>
        <w:t>, constituye</w:t>
      </w:r>
      <w:r w:rsidRPr="003E291E">
        <w:rPr>
          <w:rFonts w:ascii="Century Gothic" w:hAnsi="Century Gothic" w:cs="Arial"/>
          <w:sz w:val="24"/>
          <w:szCs w:val="24"/>
        </w:rPr>
        <w:t>, por ende,</w:t>
      </w:r>
      <w:r w:rsidRPr="003E291E">
        <w:rPr>
          <w:rFonts w:ascii="Century Gothic" w:hAnsi="Century Gothic" w:cs="Arial"/>
          <w:b/>
          <w:sz w:val="24"/>
          <w:szCs w:val="24"/>
        </w:rPr>
        <w:t xml:space="preserve"> cosa juzgada, </w:t>
      </w:r>
      <w:r w:rsidRPr="003E291E">
        <w:rPr>
          <w:rFonts w:ascii="Century Gothic" w:hAnsi="Century Gothic" w:cs="Arial"/>
          <w:sz w:val="24"/>
          <w:szCs w:val="24"/>
        </w:rPr>
        <w:t>condenándose a las partes a estar y pasar por él en todo tiempo y</w:t>
      </w:r>
      <w:r w:rsidR="006516CF">
        <w:rPr>
          <w:rFonts w:ascii="Century Gothic" w:hAnsi="Century Gothic" w:cs="Arial"/>
          <w:sz w:val="24"/>
          <w:szCs w:val="24"/>
        </w:rPr>
        <w:t xml:space="preserve"> lugar por ser la verdad legal.</w:t>
      </w:r>
    </w:p>
    <w:p w:rsidR="00EF41AC" w:rsidRPr="00EF41AC" w:rsidRDefault="004B2A90" w:rsidP="00EF41AC">
      <w:pPr>
        <w:pStyle w:val="Prrafodelista"/>
        <w:spacing w:after="360" w:line="360" w:lineRule="auto"/>
        <w:ind w:left="0" w:firstLine="851"/>
        <w:jc w:val="both"/>
        <w:rPr>
          <w:rFonts w:ascii="Century Gothic" w:hAnsi="Century Gothic" w:cs="Arial"/>
        </w:rPr>
      </w:pPr>
      <w:r w:rsidRPr="00917DC1">
        <w:rPr>
          <w:rFonts w:ascii="Century Gothic" w:hAnsi="Century Gothic" w:cs="Arial"/>
          <w:b/>
        </w:rPr>
        <w:t xml:space="preserve">4.- </w:t>
      </w:r>
      <w:r w:rsidRPr="008676F2">
        <w:rPr>
          <w:rFonts w:ascii="Century Gothic" w:hAnsi="Century Gothic" w:cs="Arial"/>
        </w:rPr>
        <w:t>En</w:t>
      </w:r>
      <w:r w:rsidR="008676F2">
        <w:rPr>
          <w:rFonts w:ascii="Century Gothic" w:hAnsi="Century Gothic" w:cs="Arial"/>
        </w:rPr>
        <w:t xml:space="preserve"> esa tesitura, </w:t>
      </w:r>
      <w:r w:rsidRPr="008676F2">
        <w:rPr>
          <w:rFonts w:ascii="Century Gothic" w:hAnsi="Century Gothic" w:cs="Arial"/>
        </w:rPr>
        <w:t xml:space="preserve">por escrito de 2 dos de enero de 2019 dos mil diecinueve, </w:t>
      </w:r>
      <w:r w:rsidR="007557B6">
        <w:rPr>
          <w:rFonts w:ascii="Century Gothic" w:hAnsi="Century Gothic" w:cs="Arial"/>
        </w:rPr>
        <w:t>ELIMINADO</w:t>
      </w:r>
      <w:r w:rsidRPr="008676F2">
        <w:rPr>
          <w:rFonts w:ascii="Century Gothic" w:hAnsi="Century Gothic" w:cs="Arial"/>
        </w:rPr>
        <w:t xml:space="preserve">, promovió en la vía incidental el pago de las costas y gastos en contra de </w:t>
      </w:r>
      <w:r w:rsidR="008676F2">
        <w:rPr>
          <w:rFonts w:ascii="Century Gothic" w:hAnsi="Century Gothic" w:cs="Arial"/>
        </w:rPr>
        <w:t>los diversos demandados</w:t>
      </w:r>
      <w:r w:rsidRPr="008676F2">
        <w:rPr>
          <w:rFonts w:ascii="Century Gothic" w:hAnsi="Century Gothic" w:cs="Arial"/>
        </w:rPr>
        <w:t xml:space="preserve">, </w:t>
      </w:r>
      <w:r w:rsidR="008676F2">
        <w:rPr>
          <w:rFonts w:ascii="Century Gothic" w:hAnsi="Century Gothic" w:cs="Arial"/>
        </w:rPr>
        <w:t>el cual</w:t>
      </w:r>
      <w:r w:rsidRPr="008676F2">
        <w:rPr>
          <w:rFonts w:ascii="Century Gothic" w:hAnsi="Century Gothic" w:cs="Arial"/>
        </w:rPr>
        <w:t xml:space="preserve"> fue admitido por </w:t>
      </w:r>
      <w:r w:rsidR="008676F2">
        <w:rPr>
          <w:rFonts w:ascii="Century Gothic" w:hAnsi="Century Gothic" w:cs="Arial"/>
        </w:rPr>
        <w:t xml:space="preserve">determinación </w:t>
      </w:r>
      <w:r w:rsidRPr="008676F2">
        <w:rPr>
          <w:rFonts w:ascii="Century Gothic" w:hAnsi="Century Gothic" w:cs="Arial"/>
        </w:rPr>
        <w:t>de</w:t>
      </w:r>
      <w:r w:rsidR="008676F2">
        <w:rPr>
          <w:rFonts w:ascii="Century Gothic" w:hAnsi="Century Gothic" w:cs="Arial"/>
        </w:rPr>
        <w:t>l</w:t>
      </w:r>
      <w:r w:rsidRPr="008676F2">
        <w:rPr>
          <w:rFonts w:ascii="Century Gothic" w:hAnsi="Century Gothic" w:cs="Arial"/>
        </w:rPr>
        <w:t xml:space="preserve"> 2 dos de julio de 2019 dos mil </w:t>
      </w:r>
      <w:r w:rsidR="0043596A">
        <w:rPr>
          <w:rFonts w:ascii="Century Gothic" w:hAnsi="Century Gothic" w:cs="Arial"/>
        </w:rPr>
        <w:t>diecinueve</w:t>
      </w:r>
      <w:r w:rsidR="00EC79A8">
        <w:rPr>
          <w:rStyle w:val="Refdenotaalpie"/>
          <w:rFonts w:ascii="Century Gothic" w:hAnsi="Century Gothic" w:cs="Arial"/>
        </w:rPr>
        <w:footnoteReference w:id="12"/>
      </w:r>
      <w:r w:rsidR="0043596A">
        <w:rPr>
          <w:rFonts w:ascii="Century Gothic" w:hAnsi="Century Gothic" w:cs="Arial"/>
        </w:rPr>
        <w:t>.</w:t>
      </w:r>
      <w:r w:rsidRPr="008676F2">
        <w:rPr>
          <w:rFonts w:ascii="Century Gothic" w:hAnsi="Century Gothic" w:cs="Arial"/>
        </w:rPr>
        <w:t xml:space="preserve"> </w:t>
      </w:r>
      <w:r w:rsidR="0043596A">
        <w:rPr>
          <w:rFonts w:ascii="Century Gothic" w:hAnsi="Century Gothic" w:cs="Arial"/>
        </w:rPr>
        <w:t>E</w:t>
      </w:r>
      <w:r w:rsidRPr="00AC3BFB">
        <w:rPr>
          <w:rFonts w:ascii="Century Gothic" w:hAnsi="Century Gothic" w:cs="Arial"/>
        </w:rPr>
        <w:t>l 27 veintisiete de noviembre de 2019 dos mil diecinueve</w:t>
      </w:r>
      <w:r w:rsidR="00484FA0">
        <w:rPr>
          <w:rStyle w:val="Refdenotaalpie"/>
          <w:rFonts w:ascii="Century Gothic" w:hAnsi="Century Gothic" w:cs="Arial"/>
        </w:rPr>
        <w:footnoteReference w:id="13"/>
      </w:r>
      <w:r w:rsidRPr="00AC3BFB">
        <w:rPr>
          <w:rFonts w:ascii="Century Gothic" w:hAnsi="Century Gothic" w:cs="Arial"/>
        </w:rPr>
        <w:t xml:space="preserve">, </w:t>
      </w:r>
      <w:r w:rsidR="00AC3BFB">
        <w:rPr>
          <w:rFonts w:ascii="Century Gothic" w:hAnsi="Century Gothic" w:cs="Arial"/>
        </w:rPr>
        <w:t xml:space="preserve">el juez natural resolvió el incidente en cuestión y, al efecto, </w:t>
      </w:r>
      <w:r w:rsidRPr="00AC3BFB">
        <w:rPr>
          <w:rFonts w:ascii="Century Gothic" w:hAnsi="Century Gothic" w:cs="Arial"/>
        </w:rPr>
        <w:t>conde</w:t>
      </w:r>
      <w:r w:rsidR="00AC3BFB">
        <w:rPr>
          <w:rFonts w:ascii="Century Gothic" w:hAnsi="Century Gothic" w:cs="Arial"/>
        </w:rPr>
        <w:t>nó a</w:t>
      </w:r>
      <w:r w:rsidR="0043596A">
        <w:rPr>
          <w:rFonts w:ascii="Century Gothic" w:hAnsi="Century Gothic" w:cs="Arial"/>
        </w:rPr>
        <w:t xml:space="preserve"> los demandados</w:t>
      </w:r>
      <w:r w:rsidR="00AC3BFB">
        <w:rPr>
          <w:rFonts w:ascii="Century Gothic" w:hAnsi="Century Gothic" w:cs="Arial"/>
        </w:rPr>
        <w:t xml:space="preserve">, a pagar </w:t>
      </w:r>
      <w:r w:rsidRPr="00AC3BFB">
        <w:rPr>
          <w:rFonts w:ascii="Century Gothic" w:hAnsi="Century Gothic" w:cs="Arial"/>
        </w:rPr>
        <w:t>$</w:t>
      </w:r>
      <w:r w:rsidR="007557B6">
        <w:rPr>
          <w:rFonts w:ascii="Century Gothic" w:hAnsi="Century Gothic" w:cs="Arial"/>
        </w:rPr>
        <w:t>ELIMINADO</w:t>
      </w:r>
      <w:r w:rsidRPr="00AC3BFB">
        <w:rPr>
          <w:rFonts w:ascii="Century Gothic" w:hAnsi="Century Gothic" w:cs="Arial"/>
        </w:rPr>
        <w:t xml:space="preserve"> (</w:t>
      </w:r>
      <w:r w:rsidR="007557B6">
        <w:rPr>
          <w:rFonts w:ascii="Century Gothic" w:hAnsi="Century Gothic" w:cs="Arial"/>
        </w:rPr>
        <w:t>ELIMINADO</w:t>
      </w:r>
      <w:r w:rsidRPr="00AC3BFB">
        <w:rPr>
          <w:rFonts w:ascii="Century Gothic" w:hAnsi="Century Gothic" w:cs="Arial"/>
        </w:rPr>
        <w:t xml:space="preserve">), </w:t>
      </w:r>
      <w:r w:rsidR="0043596A">
        <w:rPr>
          <w:rFonts w:ascii="Century Gothic" w:hAnsi="Century Gothic" w:cs="Arial"/>
        </w:rPr>
        <w:t xml:space="preserve">correspondiente </w:t>
      </w:r>
      <w:r w:rsidRPr="00AC3BFB">
        <w:rPr>
          <w:rFonts w:ascii="Century Gothic" w:hAnsi="Century Gothic" w:cs="Arial"/>
        </w:rPr>
        <w:t>al 20% veinte por ciento</w:t>
      </w:r>
      <w:r w:rsidR="00AC3BFB">
        <w:rPr>
          <w:rFonts w:ascii="Century Gothic" w:hAnsi="Century Gothic" w:cs="Arial"/>
        </w:rPr>
        <w:t xml:space="preserve"> del valor del negocio y</w:t>
      </w:r>
      <w:r w:rsidRPr="00AC3BFB">
        <w:rPr>
          <w:rFonts w:ascii="Century Gothic" w:hAnsi="Century Gothic" w:cs="Arial"/>
        </w:rPr>
        <w:t xml:space="preserve"> $</w:t>
      </w:r>
      <w:r w:rsidR="007557B6">
        <w:rPr>
          <w:rFonts w:ascii="Century Gothic" w:hAnsi="Century Gothic" w:cs="Arial"/>
        </w:rPr>
        <w:t>ELIMINADO</w:t>
      </w:r>
      <w:r w:rsidRPr="00AC3BFB">
        <w:rPr>
          <w:rFonts w:ascii="Century Gothic" w:hAnsi="Century Gothic" w:cs="Arial"/>
        </w:rPr>
        <w:t xml:space="preserve"> (</w:t>
      </w:r>
      <w:r w:rsidR="007557B6">
        <w:rPr>
          <w:rFonts w:ascii="Century Gothic" w:hAnsi="Century Gothic" w:cs="Arial"/>
        </w:rPr>
        <w:t>ELIMINADO</w:t>
      </w:r>
      <w:r w:rsidRPr="00AC3BFB">
        <w:rPr>
          <w:rFonts w:ascii="Century Gothic" w:hAnsi="Century Gothic" w:cs="Arial"/>
        </w:rPr>
        <w:t>), por concepto de pago de dos dictámenes periciales</w:t>
      </w:r>
      <w:r w:rsidR="0043596A">
        <w:rPr>
          <w:rFonts w:ascii="Century Gothic" w:hAnsi="Century Gothic" w:cs="Arial"/>
        </w:rPr>
        <w:t xml:space="preserve">; </w:t>
      </w:r>
      <w:r w:rsidR="00621F95">
        <w:rPr>
          <w:rFonts w:ascii="Century Gothic" w:hAnsi="Century Gothic" w:cs="Arial"/>
        </w:rPr>
        <w:t>p</w:t>
      </w:r>
      <w:r w:rsidR="00EF41AC" w:rsidRPr="00EF41AC">
        <w:rPr>
          <w:rFonts w:ascii="Century Gothic" w:hAnsi="Century Gothic" w:cs="Arial"/>
        </w:rPr>
        <w:t>or auto de 27 veintisiete de diciembre de 2019 dos mil diecinueve</w:t>
      </w:r>
      <w:r w:rsidR="00484FA0">
        <w:rPr>
          <w:rStyle w:val="Refdenotaalpie"/>
          <w:rFonts w:ascii="Century Gothic" w:hAnsi="Century Gothic" w:cs="Arial"/>
        </w:rPr>
        <w:footnoteReference w:id="14"/>
      </w:r>
      <w:r w:rsidR="00EF41AC" w:rsidRPr="00EF41AC">
        <w:rPr>
          <w:rFonts w:ascii="Century Gothic" w:hAnsi="Century Gothic" w:cs="Arial"/>
        </w:rPr>
        <w:t>, el juez de la causa declaró firme dicha resolución y ordenó requerir a la par</w:t>
      </w:r>
      <w:r w:rsidR="0043596A">
        <w:rPr>
          <w:rFonts w:ascii="Century Gothic" w:hAnsi="Century Gothic" w:cs="Arial"/>
        </w:rPr>
        <w:t>te demandada por conducto de su representante legal</w:t>
      </w:r>
      <w:r w:rsidR="00EF41AC" w:rsidRPr="00EF41AC">
        <w:rPr>
          <w:rFonts w:ascii="Century Gothic" w:hAnsi="Century Gothic" w:cs="Arial"/>
        </w:rPr>
        <w:t xml:space="preserve">, </w:t>
      </w:r>
      <w:r w:rsidR="00EF41AC">
        <w:rPr>
          <w:rFonts w:ascii="Century Gothic" w:hAnsi="Century Gothic" w:cs="Arial"/>
        </w:rPr>
        <w:t xml:space="preserve">lo cual </w:t>
      </w:r>
      <w:r w:rsidR="0043596A">
        <w:rPr>
          <w:rFonts w:ascii="Century Gothic" w:hAnsi="Century Gothic" w:cs="Arial"/>
        </w:rPr>
        <w:t>hizo</w:t>
      </w:r>
      <w:r w:rsidR="00EF41AC">
        <w:rPr>
          <w:rFonts w:ascii="Century Gothic" w:hAnsi="Century Gothic" w:cs="Arial"/>
        </w:rPr>
        <w:t xml:space="preserve"> el </w:t>
      </w:r>
      <w:r w:rsidR="00EF41AC" w:rsidRPr="00EF41AC">
        <w:rPr>
          <w:rFonts w:ascii="Century Gothic" w:hAnsi="Century Gothic" w:cs="Arial"/>
        </w:rPr>
        <w:t>30 treinta de diciembre de 2019 dos mil diecinueve, en las instalaciones del Juzgado de origen</w:t>
      </w:r>
      <w:r w:rsidR="00484FA0">
        <w:rPr>
          <w:rStyle w:val="Refdenotaalpie"/>
          <w:rFonts w:ascii="Century Gothic" w:hAnsi="Century Gothic" w:cs="Arial"/>
        </w:rPr>
        <w:footnoteReference w:id="15"/>
      </w:r>
      <w:r w:rsidR="00484FA0" w:rsidRPr="00484FA0">
        <w:rPr>
          <w:rFonts w:ascii="Century Gothic" w:hAnsi="Century Gothic" w:cs="Arial"/>
        </w:rPr>
        <w:t>,</w:t>
      </w:r>
      <w:r w:rsidR="00EF41AC" w:rsidRPr="00EF41AC">
        <w:rPr>
          <w:rFonts w:ascii="Century Gothic" w:hAnsi="Century Gothic" w:cs="Arial"/>
        </w:rPr>
        <w:t xml:space="preserve"> a </w:t>
      </w:r>
      <w:r w:rsidR="00BA7D7C">
        <w:rPr>
          <w:rFonts w:ascii="Century Gothic" w:hAnsi="Century Gothic" w:cs="Arial"/>
        </w:rPr>
        <w:t xml:space="preserve">través de su representante común </w:t>
      </w:r>
      <w:r w:rsidR="007557B6">
        <w:rPr>
          <w:rFonts w:ascii="Century Gothic" w:hAnsi="Century Gothic" w:cs="Arial"/>
          <w:bCs/>
        </w:rPr>
        <w:t>ELIMINADO</w:t>
      </w:r>
      <w:r w:rsidR="00EF41AC">
        <w:rPr>
          <w:rFonts w:ascii="Century Gothic" w:hAnsi="Century Gothic" w:cs="Arial"/>
          <w:bCs/>
        </w:rPr>
        <w:t>.</w:t>
      </w:r>
    </w:p>
    <w:p w:rsidR="00BA7D7C" w:rsidRDefault="00EF41AC" w:rsidP="00F44889">
      <w:pPr>
        <w:pStyle w:val="Normal0"/>
        <w:spacing w:after="360" w:line="360" w:lineRule="auto"/>
        <w:ind w:firstLine="851"/>
        <w:jc w:val="both"/>
        <w:rPr>
          <w:rFonts w:ascii="Century Gothic" w:hAnsi="Century Gothic"/>
        </w:rPr>
      </w:pPr>
      <w:r>
        <w:rPr>
          <w:rFonts w:ascii="Century Gothic" w:hAnsi="Century Gothic"/>
          <w:b/>
        </w:rPr>
        <w:t>5</w:t>
      </w:r>
      <w:r w:rsidR="004B2A90" w:rsidRPr="008676F2">
        <w:rPr>
          <w:rFonts w:ascii="Century Gothic" w:hAnsi="Century Gothic"/>
          <w:b/>
        </w:rPr>
        <w:t>.-</w:t>
      </w:r>
      <w:r w:rsidR="004B2A90" w:rsidRPr="008676F2">
        <w:rPr>
          <w:rFonts w:ascii="Century Gothic" w:hAnsi="Century Gothic"/>
        </w:rPr>
        <w:t xml:space="preserve"> El 18 de junio de 2020 dos mil veinte, </w:t>
      </w:r>
      <w:r w:rsidR="007557B6">
        <w:rPr>
          <w:rFonts w:ascii="Century Gothic" w:hAnsi="Century Gothic"/>
        </w:rPr>
        <w:t>ELIMINADO</w:t>
      </w:r>
      <w:r w:rsidR="004B2A90" w:rsidRPr="008676F2">
        <w:rPr>
          <w:rFonts w:ascii="Century Gothic" w:hAnsi="Century Gothic"/>
        </w:rPr>
        <w:t>,</w:t>
      </w:r>
      <w:r w:rsidR="00BA7D7C">
        <w:rPr>
          <w:rFonts w:ascii="Century Gothic" w:hAnsi="Century Gothic"/>
        </w:rPr>
        <w:t xml:space="preserve"> con fundamento en los artículos 1, 14, 16 de la Carta Magna; 72, 73, 74, 75, 109, 775, 776, 777, 778 y demás aplicable de la Ley Adjetiva Civil, </w:t>
      </w:r>
      <w:r w:rsidR="00BA7D7C" w:rsidRPr="008676F2">
        <w:rPr>
          <w:rFonts w:ascii="Century Gothic" w:hAnsi="Century Gothic"/>
        </w:rPr>
        <w:t>interpuso</w:t>
      </w:r>
      <w:r w:rsidR="00BA7D7C">
        <w:rPr>
          <w:rFonts w:ascii="Century Gothic" w:hAnsi="Century Gothic"/>
        </w:rPr>
        <w:t xml:space="preserve"> </w:t>
      </w:r>
      <w:r w:rsidR="004B2A90" w:rsidRPr="008676F2">
        <w:rPr>
          <w:rFonts w:ascii="Century Gothic" w:hAnsi="Century Gothic"/>
          <w:b/>
        </w:rPr>
        <w:t>INCIDENTE DE NULIDAD DE ACTUACIONES</w:t>
      </w:r>
      <w:r w:rsidR="00484FA0" w:rsidRPr="00484FA0">
        <w:rPr>
          <w:rStyle w:val="Refdenotaalpie"/>
          <w:rFonts w:ascii="Century Gothic" w:hAnsi="Century Gothic"/>
        </w:rPr>
        <w:footnoteReference w:id="16"/>
      </w:r>
      <w:r w:rsidR="004B2A90" w:rsidRPr="008676F2">
        <w:rPr>
          <w:rFonts w:ascii="Century Gothic" w:hAnsi="Century Gothic"/>
          <w:b/>
        </w:rPr>
        <w:t>,</w:t>
      </w:r>
      <w:r w:rsidR="003059D0" w:rsidRPr="008676F2">
        <w:rPr>
          <w:rFonts w:ascii="Century Gothic" w:hAnsi="Century Gothic"/>
        </w:rPr>
        <w:t xml:space="preserve"> </w:t>
      </w:r>
      <w:r w:rsidR="00621F95" w:rsidRPr="008676F2">
        <w:rPr>
          <w:rFonts w:ascii="Century Gothic" w:hAnsi="Century Gothic"/>
        </w:rPr>
        <w:t xml:space="preserve">a partir del auto de </w:t>
      </w:r>
      <w:r w:rsidR="00621F95" w:rsidRPr="008676F2">
        <w:rPr>
          <w:rFonts w:ascii="Century Gothic" w:hAnsi="Century Gothic"/>
          <w:b/>
        </w:rPr>
        <w:t>2 dos de junio de 2019 dos mil diecinueve</w:t>
      </w:r>
      <w:r w:rsidR="00621F95">
        <w:rPr>
          <w:rFonts w:ascii="Century Gothic" w:hAnsi="Century Gothic"/>
          <w:b/>
        </w:rPr>
        <w:t xml:space="preserve"> d</w:t>
      </w:r>
      <w:r w:rsidR="004B2A90" w:rsidRPr="008676F2">
        <w:rPr>
          <w:rFonts w:ascii="Century Gothic" w:hAnsi="Century Gothic"/>
          <w:b/>
        </w:rPr>
        <w:t>el incidente de COSTAS Y GASTOS</w:t>
      </w:r>
      <w:r w:rsidR="004B2A90" w:rsidRPr="008676F2">
        <w:rPr>
          <w:rFonts w:ascii="Century Gothic" w:hAnsi="Century Gothic"/>
        </w:rPr>
        <w:t xml:space="preserve"> </w:t>
      </w:r>
      <w:r w:rsidR="00BA7D7C">
        <w:rPr>
          <w:rFonts w:ascii="Century Gothic" w:hAnsi="Century Gothic"/>
        </w:rPr>
        <w:t xml:space="preserve">al considerar que debió ser notificada, </w:t>
      </w:r>
      <w:r w:rsidR="00BA7D7C" w:rsidRPr="00F44889">
        <w:rPr>
          <w:rFonts w:ascii="Century Gothic" w:hAnsi="Century Gothic"/>
          <w:b/>
        </w:rPr>
        <w:t>emplazada</w:t>
      </w:r>
      <w:r w:rsidR="00BA7D7C">
        <w:rPr>
          <w:rFonts w:ascii="Century Gothic" w:hAnsi="Century Gothic"/>
        </w:rPr>
        <w:t xml:space="preserve"> y requerida a dicho incidente de manera personal en su domicilio particular</w:t>
      </w:r>
      <w:r w:rsidR="00F44889">
        <w:rPr>
          <w:rFonts w:ascii="Century Gothic" w:hAnsi="Century Gothic"/>
        </w:rPr>
        <w:t xml:space="preserve">, </w:t>
      </w:r>
      <w:r w:rsidR="00BA7D7C">
        <w:rPr>
          <w:rFonts w:ascii="Century Gothic" w:hAnsi="Century Gothic"/>
        </w:rPr>
        <w:t xml:space="preserve">ubicado en </w:t>
      </w:r>
      <w:r w:rsidR="00F44889" w:rsidRPr="00F44889">
        <w:rPr>
          <w:rFonts w:ascii="Century Gothic" w:hAnsi="Century Gothic"/>
        </w:rPr>
        <w:t xml:space="preserve">el </w:t>
      </w:r>
      <w:r w:rsidR="007557B6">
        <w:rPr>
          <w:rFonts w:ascii="Century Gothic" w:hAnsi="Century Gothic"/>
        </w:rPr>
        <w:t>ELIMINADO</w:t>
      </w:r>
      <w:r w:rsidR="00F44889" w:rsidRPr="00F44889">
        <w:rPr>
          <w:rFonts w:ascii="Century Gothic" w:hAnsi="Century Gothic"/>
        </w:rPr>
        <w:t xml:space="preserve"> de la carretera </w:t>
      </w:r>
      <w:r w:rsidR="007557B6">
        <w:rPr>
          <w:rFonts w:ascii="Century Gothic" w:hAnsi="Century Gothic"/>
        </w:rPr>
        <w:t>ELIMINADO</w:t>
      </w:r>
      <w:r w:rsidR="00F44889" w:rsidRPr="00F44889">
        <w:rPr>
          <w:rFonts w:ascii="Century Gothic" w:hAnsi="Century Gothic"/>
        </w:rPr>
        <w:t xml:space="preserve">, Rancho </w:t>
      </w:r>
      <w:r w:rsidR="007557B6">
        <w:rPr>
          <w:rFonts w:ascii="Century Gothic" w:hAnsi="Century Gothic"/>
        </w:rPr>
        <w:t>ELIMINADO</w:t>
      </w:r>
      <w:r w:rsidR="00F44889" w:rsidRPr="00F44889">
        <w:rPr>
          <w:rFonts w:ascii="Century Gothic" w:hAnsi="Century Gothic"/>
        </w:rPr>
        <w:t xml:space="preserve"> en Ciudad Valles, S.L.P.,</w:t>
      </w:r>
      <w:r w:rsidR="00F44889">
        <w:rPr>
          <w:rFonts w:ascii="Century Gothic" w:hAnsi="Century Gothic"/>
        </w:rPr>
        <w:t xml:space="preserve"> </w:t>
      </w:r>
      <w:r w:rsidR="000B0A9E">
        <w:rPr>
          <w:rFonts w:ascii="Century Gothic" w:hAnsi="Century Gothic"/>
        </w:rPr>
        <w:t xml:space="preserve">y no en el </w:t>
      </w:r>
      <w:r w:rsidR="00DC3315">
        <w:rPr>
          <w:rFonts w:ascii="Century Gothic" w:hAnsi="Century Gothic"/>
        </w:rPr>
        <w:t xml:space="preserve">domicilio </w:t>
      </w:r>
      <w:r w:rsidR="00DC3315">
        <w:rPr>
          <w:rFonts w:ascii="Century Gothic" w:hAnsi="Century Gothic"/>
        </w:rPr>
        <w:lastRenderedPageBreak/>
        <w:t xml:space="preserve">ubicado en Avenida </w:t>
      </w:r>
      <w:r w:rsidR="007557B6">
        <w:rPr>
          <w:rFonts w:ascii="Century Gothic" w:hAnsi="Century Gothic"/>
        </w:rPr>
        <w:t>ELIMINADO</w:t>
      </w:r>
      <w:r w:rsidR="000B0A9E">
        <w:rPr>
          <w:rFonts w:ascii="Century Gothic" w:hAnsi="Century Gothic"/>
        </w:rPr>
        <w:t xml:space="preserve"> número (sic) que es el autorizado para oír notificaciones, </w:t>
      </w:r>
      <w:r w:rsidR="00F44889">
        <w:rPr>
          <w:rFonts w:ascii="Century Gothic" w:hAnsi="Century Gothic"/>
        </w:rPr>
        <w:t xml:space="preserve">de conformidad con lo dispuesto por los artículos </w:t>
      </w:r>
      <w:r w:rsidR="000B0A9E">
        <w:rPr>
          <w:rFonts w:ascii="Century Gothic" w:hAnsi="Century Gothic"/>
        </w:rPr>
        <w:t>253,</w:t>
      </w:r>
      <w:r w:rsidR="0027694F">
        <w:rPr>
          <w:rFonts w:ascii="Century Gothic" w:hAnsi="Century Gothic"/>
        </w:rPr>
        <w:t xml:space="preserve"> </w:t>
      </w:r>
      <w:r w:rsidR="000B0A9E">
        <w:rPr>
          <w:rFonts w:ascii="Century Gothic" w:hAnsi="Century Gothic"/>
        </w:rPr>
        <w:t xml:space="preserve">254, </w:t>
      </w:r>
      <w:r w:rsidR="00F44889">
        <w:rPr>
          <w:rFonts w:ascii="Century Gothic" w:hAnsi="Century Gothic"/>
        </w:rPr>
        <w:t>778</w:t>
      </w:r>
      <w:r w:rsidR="00F44889" w:rsidRPr="00F44889">
        <w:rPr>
          <w:rFonts w:ascii="Century Gothic" w:hAnsi="Century Gothic"/>
        </w:rPr>
        <w:t xml:space="preserve"> </w:t>
      </w:r>
      <w:r w:rsidR="00F44889">
        <w:rPr>
          <w:rFonts w:ascii="Century Gothic" w:hAnsi="Century Gothic"/>
        </w:rPr>
        <w:t xml:space="preserve">y </w:t>
      </w:r>
      <w:r w:rsidR="00F44889" w:rsidRPr="00F44889">
        <w:rPr>
          <w:rFonts w:ascii="Century Gothic" w:hAnsi="Century Gothic"/>
        </w:rPr>
        <w:t>109 fracciones</w:t>
      </w:r>
      <w:bookmarkStart w:id="0" w:name="_GoBack"/>
      <w:bookmarkEnd w:id="0"/>
      <w:r w:rsidR="00F44889" w:rsidRPr="00F44889">
        <w:rPr>
          <w:rFonts w:ascii="Century Gothic" w:hAnsi="Century Gothic"/>
        </w:rPr>
        <w:t xml:space="preserve"> III y IV, del Código de Procedimientos Civiles para el Estado</w:t>
      </w:r>
      <w:r w:rsidR="00F44889">
        <w:rPr>
          <w:rFonts w:ascii="Century Gothic" w:hAnsi="Century Gothic"/>
        </w:rPr>
        <w:t>.</w:t>
      </w:r>
    </w:p>
    <w:p w:rsidR="004B2A90" w:rsidRPr="008676F2" w:rsidRDefault="00F44889" w:rsidP="00CE5938">
      <w:pPr>
        <w:pStyle w:val="Prrafodelista"/>
        <w:spacing w:after="360" w:line="360" w:lineRule="auto"/>
        <w:ind w:left="0" w:firstLine="851"/>
        <w:jc w:val="both"/>
        <w:rPr>
          <w:rFonts w:ascii="Century Gothic" w:hAnsi="Century Gothic" w:cs="Arial"/>
        </w:rPr>
      </w:pPr>
      <w:r w:rsidRPr="00F44889">
        <w:rPr>
          <w:rFonts w:ascii="Century Gothic" w:hAnsi="Century Gothic" w:cs="Arial"/>
          <w:b/>
        </w:rPr>
        <w:t>6.-</w:t>
      </w:r>
      <w:r>
        <w:rPr>
          <w:rFonts w:ascii="Century Gothic" w:hAnsi="Century Gothic" w:cs="Arial"/>
        </w:rPr>
        <w:t xml:space="preserve"> Dicho incidente </w:t>
      </w:r>
      <w:r w:rsidR="004B2A90" w:rsidRPr="008676F2">
        <w:rPr>
          <w:rFonts w:ascii="Century Gothic" w:hAnsi="Century Gothic" w:cs="Arial"/>
          <w:b/>
        </w:rPr>
        <w:t>fue admitido</w:t>
      </w:r>
      <w:r w:rsidR="004B2A90" w:rsidRPr="008676F2">
        <w:rPr>
          <w:rFonts w:ascii="Century Gothic" w:hAnsi="Century Gothic" w:cs="Arial"/>
        </w:rPr>
        <w:t xml:space="preserve"> el 19 diecinueve de junio de 2020 dos mil veinte, ordenándose dar vista y correr traslado a la parte actora por el término de 3 tres días, </w:t>
      </w:r>
      <w:r w:rsidR="00890DE7" w:rsidRPr="008676F2">
        <w:rPr>
          <w:rFonts w:ascii="Century Gothic" w:hAnsi="Century Gothic" w:cs="Arial"/>
        </w:rPr>
        <w:t xml:space="preserve">con fundamento en el artículo 75 de la Ley Adjetiva Civil, </w:t>
      </w:r>
      <w:r w:rsidR="004B2A90" w:rsidRPr="008676F2">
        <w:rPr>
          <w:rFonts w:ascii="Century Gothic" w:hAnsi="Century Gothic" w:cs="Arial"/>
        </w:rPr>
        <w:t>a quien por auto de 26 veintiséis de junio de 2020 dos mil veinte, se le tuvo por contestando la vista en cuestión.</w:t>
      </w:r>
    </w:p>
    <w:p w:rsidR="004B2A90" w:rsidRPr="004107DD" w:rsidRDefault="004B2A90" w:rsidP="00CE5938">
      <w:pPr>
        <w:pStyle w:val="Prrafodelista"/>
        <w:spacing w:after="360" w:line="360" w:lineRule="auto"/>
        <w:ind w:left="0" w:firstLine="851"/>
        <w:jc w:val="both"/>
        <w:rPr>
          <w:rFonts w:ascii="Century Gothic" w:hAnsi="Century Gothic" w:cs="Arial"/>
        </w:rPr>
      </w:pPr>
      <w:r w:rsidRPr="008676F2">
        <w:rPr>
          <w:rFonts w:ascii="Century Gothic" w:hAnsi="Century Gothic" w:cs="Arial"/>
        </w:rPr>
        <w:t>El 05 cinco de agosto de 2020 dos mil veinte, el juez del conocimiento</w:t>
      </w:r>
      <w:r w:rsidR="00484FA0">
        <w:rPr>
          <w:rStyle w:val="Refdenotaalpie"/>
          <w:rFonts w:ascii="Century Gothic" w:hAnsi="Century Gothic" w:cs="Arial"/>
        </w:rPr>
        <w:footnoteReference w:id="17"/>
      </w:r>
      <w:r w:rsidRPr="008676F2">
        <w:rPr>
          <w:rFonts w:ascii="Century Gothic" w:hAnsi="Century Gothic" w:cs="Arial"/>
        </w:rPr>
        <w:t xml:space="preserve">, </w:t>
      </w:r>
      <w:r w:rsidR="00EE527D" w:rsidRPr="008676F2">
        <w:rPr>
          <w:rFonts w:ascii="Century Gothic" w:hAnsi="Century Gothic" w:cs="Arial"/>
        </w:rPr>
        <w:t>resolvió dicho incidente, decretándolo</w:t>
      </w:r>
      <w:r w:rsidRPr="008676F2">
        <w:rPr>
          <w:rFonts w:ascii="Century Gothic" w:hAnsi="Century Gothic" w:cs="Arial"/>
        </w:rPr>
        <w:t xml:space="preserve"> </w:t>
      </w:r>
      <w:r w:rsidRPr="008676F2">
        <w:rPr>
          <w:rFonts w:ascii="Century Gothic" w:hAnsi="Century Gothic" w:cs="Arial"/>
          <w:b/>
        </w:rPr>
        <w:t>improcedente</w:t>
      </w:r>
      <w:r w:rsidRPr="008676F2">
        <w:rPr>
          <w:rFonts w:ascii="Century Gothic" w:hAnsi="Century Gothic" w:cs="Arial"/>
        </w:rPr>
        <w:t xml:space="preserve"> </w:t>
      </w:r>
      <w:r w:rsidRPr="008676F2">
        <w:rPr>
          <w:rFonts w:ascii="Century Gothic" w:hAnsi="Century Gothic" w:cs="Arial"/>
          <w:b/>
        </w:rPr>
        <w:t xml:space="preserve">por haber </w:t>
      </w:r>
      <w:proofErr w:type="spellStart"/>
      <w:r w:rsidRPr="008676F2">
        <w:rPr>
          <w:rFonts w:ascii="Century Gothic" w:hAnsi="Century Gothic" w:cs="Arial"/>
          <w:b/>
        </w:rPr>
        <w:t>precluído</w:t>
      </w:r>
      <w:proofErr w:type="spellEnd"/>
      <w:r w:rsidRPr="008676F2">
        <w:rPr>
          <w:rFonts w:ascii="Century Gothic" w:hAnsi="Century Gothic" w:cs="Arial"/>
          <w:b/>
        </w:rPr>
        <w:t xml:space="preserve"> su derecho</w:t>
      </w:r>
      <w:r w:rsidR="00A24E16">
        <w:rPr>
          <w:rFonts w:ascii="Century Gothic" w:hAnsi="Century Gothic" w:cs="Arial"/>
          <w:b/>
        </w:rPr>
        <w:t>,</w:t>
      </w:r>
      <w:r w:rsidRPr="008676F2">
        <w:rPr>
          <w:rFonts w:ascii="Century Gothic" w:hAnsi="Century Gothic" w:cs="Arial"/>
        </w:rPr>
        <w:t xml:space="preserve"> en la fecha en que </w:t>
      </w:r>
      <w:r w:rsidR="00A24E16">
        <w:rPr>
          <w:rFonts w:ascii="Century Gothic" w:hAnsi="Century Gothic" w:cs="Arial"/>
        </w:rPr>
        <w:t xml:space="preserve">lo </w:t>
      </w:r>
      <w:r w:rsidRPr="008676F2">
        <w:rPr>
          <w:rFonts w:ascii="Century Gothic" w:hAnsi="Century Gothic" w:cs="Arial"/>
        </w:rPr>
        <w:t>hizo valer.</w:t>
      </w:r>
      <w:r w:rsidRPr="004107DD">
        <w:rPr>
          <w:rFonts w:ascii="Century Gothic" w:hAnsi="Century Gothic" w:cs="Arial"/>
        </w:rPr>
        <w:t xml:space="preserve"> </w:t>
      </w:r>
    </w:p>
    <w:p w:rsidR="004B2A90" w:rsidRPr="000374FB" w:rsidRDefault="00890DE7" w:rsidP="00CE5938">
      <w:pPr>
        <w:pStyle w:val="Prrafodelista"/>
        <w:spacing w:after="360" w:line="360" w:lineRule="auto"/>
        <w:ind w:left="0" w:firstLine="851"/>
        <w:jc w:val="both"/>
        <w:rPr>
          <w:rFonts w:ascii="Century Gothic" w:hAnsi="Century Gothic" w:cs="Arial"/>
        </w:rPr>
      </w:pPr>
      <w:r>
        <w:rPr>
          <w:rFonts w:ascii="Century Gothic" w:hAnsi="Century Gothic" w:cs="Arial"/>
          <w:b/>
        </w:rPr>
        <w:t>7</w:t>
      </w:r>
      <w:r w:rsidR="004B2A90" w:rsidRPr="000374FB">
        <w:rPr>
          <w:rFonts w:ascii="Century Gothic" w:hAnsi="Century Gothic" w:cs="Arial"/>
          <w:b/>
        </w:rPr>
        <w:t>.</w:t>
      </w:r>
      <w:r w:rsidR="004B2A90">
        <w:rPr>
          <w:rFonts w:ascii="Century Gothic" w:hAnsi="Century Gothic" w:cs="Arial"/>
        </w:rPr>
        <w:t xml:space="preserve">- El </w:t>
      </w:r>
      <w:r w:rsidR="004B2A90" w:rsidRPr="00C500DF">
        <w:rPr>
          <w:rFonts w:ascii="Century Gothic" w:hAnsi="Century Gothic" w:cs="Arial"/>
        </w:rPr>
        <w:t xml:space="preserve">18 dieciocho de agosto de 2020 dos mil veinte, </w:t>
      </w:r>
      <w:r w:rsidR="007557B6">
        <w:rPr>
          <w:rFonts w:ascii="Century Gothic" w:hAnsi="Century Gothic" w:cs="Arial"/>
        </w:rPr>
        <w:t>ELIMINADO</w:t>
      </w:r>
      <w:r w:rsidR="004B2A90" w:rsidRPr="00C500DF">
        <w:rPr>
          <w:rFonts w:ascii="Century Gothic" w:hAnsi="Century Gothic" w:cs="Arial"/>
        </w:rPr>
        <w:t>, interpuso ante el Juzgado de Instrucción, recurso de apelación</w:t>
      </w:r>
      <w:r w:rsidR="00484FA0">
        <w:rPr>
          <w:rStyle w:val="Refdenotaalpie"/>
          <w:rFonts w:ascii="Century Gothic" w:hAnsi="Century Gothic" w:cs="Arial"/>
        </w:rPr>
        <w:footnoteReference w:id="18"/>
      </w:r>
      <w:r w:rsidR="004B2A90" w:rsidRPr="00C500DF">
        <w:rPr>
          <w:rFonts w:ascii="Century Gothic" w:hAnsi="Century Gothic" w:cs="Arial"/>
        </w:rPr>
        <w:t xml:space="preserve"> contra la anotada resolución</w:t>
      </w:r>
      <w:r w:rsidR="004B2A90">
        <w:rPr>
          <w:rFonts w:ascii="Century Gothic" w:hAnsi="Century Gothic" w:cs="Arial"/>
        </w:rPr>
        <w:t xml:space="preserve"> y </w:t>
      </w:r>
      <w:r w:rsidR="004B2A90" w:rsidRPr="00C500DF">
        <w:rPr>
          <w:rFonts w:ascii="Century Gothic" w:hAnsi="Century Gothic" w:cs="Arial"/>
          <w:lang w:val="es-ES"/>
        </w:rPr>
        <w:t xml:space="preserve">por </w:t>
      </w:r>
      <w:r w:rsidR="004B2A90">
        <w:rPr>
          <w:rFonts w:ascii="Century Gothic" w:hAnsi="Century Gothic" w:cs="Arial"/>
          <w:lang w:val="es-ES"/>
        </w:rPr>
        <w:t xml:space="preserve">auto </w:t>
      </w:r>
      <w:r w:rsidR="004B2A90" w:rsidRPr="00C500DF">
        <w:rPr>
          <w:rFonts w:ascii="Century Gothic" w:hAnsi="Century Gothic" w:cs="Arial"/>
          <w:lang w:val="es-ES"/>
        </w:rPr>
        <w:t>de 19 diecinueve de ago</w:t>
      </w:r>
      <w:r w:rsidR="004B2A90">
        <w:rPr>
          <w:rFonts w:ascii="Century Gothic" w:hAnsi="Century Gothic" w:cs="Arial"/>
          <w:lang w:val="es-ES"/>
        </w:rPr>
        <w:t>sto de 2020 dos mil veinte, la secretaria de acuerdos encargada del despacho por ministerio de l</w:t>
      </w:r>
      <w:r w:rsidR="004B2A90" w:rsidRPr="00C500DF">
        <w:rPr>
          <w:rFonts w:ascii="Century Gothic" w:hAnsi="Century Gothic" w:cs="Arial"/>
          <w:lang w:val="es-ES"/>
        </w:rPr>
        <w:t xml:space="preserve">ey, conforme a lo previsto por el artículo 70 de la Ley Adjetiva Civil, </w:t>
      </w:r>
      <w:r w:rsidR="004B2A90" w:rsidRPr="00C500DF">
        <w:rPr>
          <w:rFonts w:ascii="Century Gothic" w:hAnsi="Century Gothic" w:cs="Arial"/>
          <w:b/>
          <w:lang w:val="es-ES"/>
        </w:rPr>
        <w:t>desechó</w:t>
      </w:r>
      <w:r w:rsidR="004B2A90" w:rsidRPr="00C500DF">
        <w:rPr>
          <w:rFonts w:ascii="Century Gothic" w:hAnsi="Century Gothic" w:cs="Arial"/>
          <w:lang w:val="es-ES"/>
        </w:rPr>
        <w:t xml:space="preserve"> </w:t>
      </w:r>
      <w:r w:rsidR="004B2A90" w:rsidRPr="00C500DF">
        <w:rPr>
          <w:rFonts w:ascii="Century Gothic" w:hAnsi="Century Gothic" w:cs="Arial"/>
          <w:b/>
          <w:lang w:val="es-ES"/>
        </w:rPr>
        <w:t>de plano</w:t>
      </w:r>
      <w:r w:rsidR="004B2A90" w:rsidRPr="00C500DF">
        <w:rPr>
          <w:rFonts w:ascii="Century Gothic" w:hAnsi="Century Gothic" w:cs="Arial"/>
          <w:lang w:val="es-ES"/>
        </w:rPr>
        <w:t xml:space="preserve"> el recurso de apelación</w:t>
      </w:r>
      <w:r w:rsidR="00484FA0">
        <w:rPr>
          <w:rStyle w:val="Refdenotaalpie"/>
          <w:rFonts w:ascii="Century Gothic" w:hAnsi="Century Gothic" w:cs="Arial"/>
          <w:lang w:val="es-ES"/>
        </w:rPr>
        <w:footnoteReference w:id="19"/>
      </w:r>
      <w:r w:rsidR="004B2A90" w:rsidRPr="00C500DF">
        <w:rPr>
          <w:rFonts w:ascii="Century Gothic" w:hAnsi="Century Gothic" w:cs="Arial"/>
          <w:lang w:val="es-ES"/>
        </w:rPr>
        <w:t xml:space="preserve">, en razón de que dicho fallo no admite recurso alguno de acuerdo con el ordinal 75 de la Ley Procesal en comento. </w:t>
      </w:r>
    </w:p>
    <w:p w:rsidR="004B2A90" w:rsidRPr="005C70C3" w:rsidRDefault="005C70C3" w:rsidP="00CE5938">
      <w:pPr>
        <w:pStyle w:val="Normal0"/>
        <w:spacing w:after="360" w:line="360" w:lineRule="auto"/>
        <w:ind w:firstLine="851"/>
        <w:jc w:val="both"/>
        <w:rPr>
          <w:rFonts w:ascii="Century Gothic" w:hAnsi="Century Gothic"/>
          <w:b/>
          <w:lang w:val="es-MX"/>
        </w:rPr>
      </w:pPr>
      <w:r w:rsidRPr="005C70C3">
        <w:rPr>
          <w:rFonts w:ascii="Century Gothic" w:hAnsi="Century Gothic"/>
          <w:b/>
        </w:rPr>
        <w:t>La anterior resolución, constituye la ma</w:t>
      </w:r>
      <w:r w:rsidR="00047AE5">
        <w:rPr>
          <w:rFonts w:ascii="Century Gothic" w:hAnsi="Century Gothic"/>
          <w:b/>
        </w:rPr>
        <w:t>teria del recurso que nos ocupa.</w:t>
      </w:r>
    </w:p>
    <w:p w:rsidR="00586C48" w:rsidRDefault="00586C48" w:rsidP="00CE5938">
      <w:pPr>
        <w:pStyle w:val="Normal0"/>
        <w:spacing w:after="360" w:line="360" w:lineRule="auto"/>
        <w:ind w:firstLine="851"/>
        <w:jc w:val="both"/>
        <w:rPr>
          <w:rFonts w:ascii="Century Gothic" w:hAnsi="Century Gothic"/>
          <w:b/>
        </w:rPr>
      </w:pPr>
      <w:r w:rsidRPr="001456F1">
        <w:rPr>
          <w:rFonts w:ascii="Century Gothic" w:hAnsi="Century Gothic"/>
          <w:b/>
        </w:rPr>
        <w:t>II. Análisis de agravios.</w:t>
      </w:r>
    </w:p>
    <w:p w:rsidR="00E71174" w:rsidRPr="00E71174" w:rsidRDefault="00E71174" w:rsidP="00047AE5">
      <w:pPr>
        <w:pStyle w:val="Normal0"/>
        <w:spacing w:after="360" w:line="360" w:lineRule="auto"/>
        <w:ind w:firstLine="851"/>
        <w:jc w:val="both"/>
        <w:rPr>
          <w:rFonts w:ascii="Century Gothic" w:hAnsi="Century Gothic"/>
        </w:rPr>
      </w:pPr>
      <w:r w:rsidRPr="00E71174">
        <w:rPr>
          <w:rFonts w:ascii="Century Gothic" w:hAnsi="Century Gothic"/>
        </w:rPr>
        <w:t xml:space="preserve">Los agravios expresados resultan esencialmente </w:t>
      </w:r>
      <w:r w:rsidRPr="00E71174">
        <w:rPr>
          <w:rFonts w:ascii="Century Gothic" w:hAnsi="Century Gothic"/>
          <w:b/>
        </w:rPr>
        <w:t>fundados.</w:t>
      </w:r>
      <w:r w:rsidRPr="00E71174">
        <w:rPr>
          <w:rFonts w:ascii="Century Gothic" w:hAnsi="Century Gothic"/>
        </w:rPr>
        <w:t xml:space="preserve"> </w:t>
      </w:r>
    </w:p>
    <w:p w:rsidR="006F1FAE" w:rsidRDefault="006F1FAE" w:rsidP="006F1FAE">
      <w:pPr>
        <w:pStyle w:val="Normal0"/>
        <w:spacing w:after="360" w:line="360" w:lineRule="auto"/>
        <w:ind w:firstLine="851"/>
        <w:jc w:val="both"/>
        <w:rPr>
          <w:rFonts w:ascii="Century Gothic" w:hAnsi="Century Gothic"/>
        </w:rPr>
      </w:pPr>
      <w:r>
        <w:rPr>
          <w:rFonts w:ascii="Century Gothic" w:hAnsi="Century Gothic"/>
          <w:bCs/>
        </w:rPr>
        <w:t>E</w:t>
      </w:r>
      <w:r>
        <w:rPr>
          <w:rFonts w:ascii="Century Gothic" w:hAnsi="Century Gothic"/>
          <w:bCs/>
          <w:lang w:val="es-MX"/>
        </w:rPr>
        <w:t xml:space="preserve">n el caso que nos ocupa, se observa que se actualiza el supuesto previsto en la fracción III, del artículo 971 del Código de Procedimientos Civiles del Estado, en el sentido de que procede el recurso de queja contra la resolución que niega admitir una apelación, </w:t>
      </w:r>
      <w:r>
        <w:rPr>
          <w:rFonts w:ascii="Century Gothic" w:hAnsi="Century Gothic"/>
          <w:bCs/>
          <w:lang w:val="es-MX"/>
        </w:rPr>
        <w:lastRenderedPageBreak/>
        <w:t>lo que conlleva a que este Órgano Colegiado se avoque al estudio del medio de impugnación de que se trata, quedando de manifiesto que la materia del mismo, sólo se constriñe en analizar, si el auto recurrido en queja, desechó debidamente o no el recurso de apelación pretendido por la ahora parte inconforme, de acuerdo al único concepto de agravio que sobre el particular esgrime, sin que pueda ser suplido ante su deficiencia, solo en los casos de excepción que la propia ley establece, debido al principio de equidad procesal que caracteriza los asuntos de índole civil, que son de estricto derecho, ni que tampoco sea dable realizar el análisis ni pronunciamiento alguno sobre el fondo del recurso de apelación interpuesto.</w:t>
      </w:r>
    </w:p>
    <w:p w:rsidR="00DC266E" w:rsidRPr="008676F2" w:rsidRDefault="00537754" w:rsidP="00D03144">
      <w:pPr>
        <w:spacing w:before="360" w:after="360" w:line="360" w:lineRule="auto"/>
        <w:ind w:firstLine="851"/>
        <w:jc w:val="both"/>
        <w:rPr>
          <w:rFonts w:ascii="Century Gothic" w:hAnsi="Century Gothic" w:cs="Arial"/>
          <w:sz w:val="24"/>
          <w:szCs w:val="24"/>
        </w:rPr>
      </w:pPr>
      <w:r w:rsidRPr="00537754">
        <w:rPr>
          <w:rFonts w:ascii="Century Gothic" w:hAnsi="Century Gothic"/>
          <w:bCs/>
          <w:sz w:val="24"/>
          <w:szCs w:val="24"/>
        </w:rPr>
        <w:t>Por</w:t>
      </w:r>
      <w:r>
        <w:rPr>
          <w:rFonts w:ascii="Century Gothic" w:hAnsi="Century Gothic"/>
          <w:bCs/>
          <w:sz w:val="24"/>
          <w:szCs w:val="24"/>
        </w:rPr>
        <w:t xml:space="preserve"> lo que en este orden de ideas,</w:t>
      </w:r>
      <w:r w:rsidR="00E71174" w:rsidRPr="008676F2">
        <w:rPr>
          <w:rFonts w:ascii="Century Gothic" w:hAnsi="Century Gothic" w:cs="Arial"/>
          <w:sz w:val="24"/>
          <w:szCs w:val="24"/>
        </w:rPr>
        <w:t xml:space="preserve"> mediante auto del </w:t>
      </w:r>
      <w:r w:rsidR="009C5019" w:rsidRPr="008676F2">
        <w:rPr>
          <w:rFonts w:ascii="Century Gothic" w:hAnsi="Century Gothic"/>
          <w:bCs/>
          <w:sz w:val="24"/>
          <w:szCs w:val="24"/>
        </w:rPr>
        <w:t>19</w:t>
      </w:r>
      <w:r w:rsidR="009C5019" w:rsidRPr="008676F2">
        <w:rPr>
          <w:rFonts w:ascii="Century Gothic" w:hAnsi="Century Gothic" w:cs="Arial"/>
          <w:sz w:val="24"/>
          <w:szCs w:val="24"/>
          <w:lang w:val="es-ES"/>
        </w:rPr>
        <w:t xml:space="preserve"> diecinueve de agosto de 2020 dos mil veinte,</w:t>
      </w:r>
      <w:r w:rsidR="00E71174" w:rsidRPr="008676F2">
        <w:rPr>
          <w:rFonts w:ascii="Century Gothic" w:hAnsi="Century Gothic" w:cs="Arial"/>
          <w:sz w:val="24"/>
          <w:szCs w:val="24"/>
        </w:rPr>
        <w:t xml:space="preserve"> </w:t>
      </w:r>
      <w:r w:rsidR="009C5019" w:rsidRPr="008676F2">
        <w:rPr>
          <w:rFonts w:ascii="Century Gothic" w:hAnsi="Century Gothic" w:cs="Arial"/>
          <w:b/>
          <w:sz w:val="24"/>
          <w:szCs w:val="24"/>
        </w:rPr>
        <w:t xml:space="preserve">el juez natural desechó de plano </w:t>
      </w:r>
      <w:r w:rsidR="00E71174" w:rsidRPr="008676F2">
        <w:rPr>
          <w:rFonts w:ascii="Century Gothic" w:hAnsi="Century Gothic" w:cs="Arial"/>
          <w:b/>
          <w:sz w:val="24"/>
          <w:szCs w:val="24"/>
        </w:rPr>
        <w:t xml:space="preserve">el recurso de apelación </w:t>
      </w:r>
      <w:r w:rsidR="00DC266E" w:rsidRPr="008676F2">
        <w:rPr>
          <w:rFonts w:ascii="Century Gothic" w:hAnsi="Century Gothic"/>
          <w:sz w:val="24"/>
          <w:szCs w:val="24"/>
        </w:rPr>
        <w:t xml:space="preserve">que la hoy quejosa interpuso en contra de la interlocutoria de </w:t>
      </w:r>
      <w:r w:rsidR="00DC266E" w:rsidRPr="008676F2">
        <w:rPr>
          <w:rFonts w:ascii="Century Gothic" w:hAnsi="Century Gothic" w:cs="Arial"/>
          <w:sz w:val="24"/>
          <w:szCs w:val="24"/>
        </w:rPr>
        <w:t>18 dieciocho de agosto de 2020 dos mil veinte</w:t>
      </w:r>
      <w:r w:rsidR="00DC266E" w:rsidRPr="008676F2">
        <w:rPr>
          <w:rFonts w:ascii="Century Gothic" w:hAnsi="Century Gothic"/>
          <w:sz w:val="24"/>
          <w:szCs w:val="24"/>
        </w:rPr>
        <w:t xml:space="preserve">, en donde se declaró infundado, y por ende improcedente, el </w:t>
      </w:r>
      <w:r w:rsidR="00DC266E" w:rsidRPr="008676F2">
        <w:rPr>
          <w:rFonts w:ascii="Century Gothic" w:hAnsi="Century Gothic" w:cs="Arial"/>
          <w:sz w:val="24"/>
          <w:szCs w:val="24"/>
        </w:rPr>
        <w:t xml:space="preserve">incidente de nulidad de actuaciones, por defectos en el emplazamiento, pues sostuvo que </w:t>
      </w:r>
      <w:r w:rsidR="00DC266E" w:rsidRPr="008676F2">
        <w:rPr>
          <w:rFonts w:ascii="Century Gothic" w:hAnsi="Century Gothic" w:cs="Arial"/>
          <w:b/>
          <w:sz w:val="24"/>
          <w:szCs w:val="24"/>
        </w:rPr>
        <w:t>en contra de tal interlocutoria, no procede ningún recurso,</w:t>
      </w:r>
      <w:r w:rsidR="00DC266E" w:rsidRPr="008676F2">
        <w:rPr>
          <w:rFonts w:ascii="Century Gothic" w:hAnsi="Century Gothic" w:cs="Arial"/>
          <w:sz w:val="24"/>
          <w:szCs w:val="24"/>
        </w:rPr>
        <w:t xml:space="preserve"> con fundamento en lo dispuesto en los </w:t>
      </w:r>
      <w:r w:rsidR="00DC266E" w:rsidRPr="008676F2">
        <w:rPr>
          <w:rFonts w:ascii="Century Gothic" w:hAnsi="Century Gothic" w:cs="Arial"/>
          <w:b/>
          <w:sz w:val="24"/>
          <w:szCs w:val="24"/>
        </w:rPr>
        <w:t xml:space="preserve">artículos 70 y 75 </w:t>
      </w:r>
      <w:r w:rsidR="00DC266E" w:rsidRPr="008676F2">
        <w:rPr>
          <w:rFonts w:ascii="Century Gothic" w:hAnsi="Century Gothic" w:cs="Arial"/>
          <w:sz w:val="24"/>
          <w:szCs w:val="24"/>
        </w:rPr>
        <w:t>del Código de Procedimientos Civiles.</w:t>
      </w:r>
    </w:p>
    <w:p w:rsidR="00630979" w:rsidRDefault="00E71174" w:rsidP="008C0F5F">
      <w:pPr>
        <w:pStyle w:val="Normal0"/>
        <w:spacing w:after="360" w:line="360" w:lineRule="auto"/>
        <w:ind w:firstLine="851"/>
        <w:jc w:val="both"/>
        <w:rPr>
          <w:rFonts w:ascii="Century Gothic" w:hAnsi="Century Gothic"/>
        </w:rPr>
      </w:pPr>
      <w:r w:rsidRPr="00682A66">
        <w:rPr>
          <w:rFonts w:ascii="Century Gothic" w:hAnsi="Century Gothic"/>
        </w:rPr>
        <w:t xml:space="preserve">Por su parte, el quejoso impugnó la inadmisión del recurso de apelación y, al respecto, invocó los preceptos </w:t>
      </w:r>
      <w:r w:rsidR="00605BF1" w:rsidRPr="00605BF1">
        <w:rPr>
          <w:rFonts w:ascii="Century Gothic" w:hAnsi="Century Gothic"/>
          <w:b/>
        </w:rPr>
        <w:t>72</w:t>
      </w:r>
      <w:r w:rsidR="00605BF1" w:rsidRPr="00605BF1">
        <w:rPr>
          <w:rStyle w:val="Refdenotaalpie"/>
          <w:rFonts w:ascii="Century Gothic" w:hAnsi="Century Gothic"/>
        </w:rPr>
        <w:footnoteReference w:id="20"/>
      </w:r>
      <w:r w:rsidR="00E67565" w:rsidRPr="00682A66">
        <w:rPr>
          <w:rFonts w:ascii="Century Gothic" w:hAnsi="Century Gothic"/>
          <w:b/>
        </w:rPr>
        <w:t>, 74 y 75</w:t>
      </w:r>
      <w:r w:rsidRPr="00682A66">
        <w:rPr>
          <w:rFonts w:ascii="Century Gothic" w:hAnsi="Century Gothic"/>
          <w:b/>
        </w:rPr>
        <w:t xml:space="preserve">, </w:t>
      </w:r>
      <w:r w:rsidRPr="00682A66">
        <w:rPr>
          <w:rFonts w:ascii="Century Gothic" w:hAnsi="Century Gothic"/>
        </w:rPr>
        <w:t>de la ley procesal,</w:t>
      </w:r>
      <w:r w:rsidR="00605BF1">
        <w:rPr>
          <w:rFonts w:ascii="Century Gothic" w:hAnsi="Century Gothic"/>
        </w:rPr>
        <w:t xml:space="preserve"> </w:t>
      </w:r>
      <w:r w:rsidRPr="00682A66">
        <w:rPr>
          <w:rFonts w:ascii="Century Gothic" w:hAnsi="Century Gothic"/>
        </w:rPr>
        <w:t xml:space="preserve">de </w:t>
      </w:r>
      <w:r w:rsidRPr="00682A66">
        <w:rPr>
          <w:rFonts w:ascii="Century Gothic" w:hAnsi="Century Gothic"/>
          <w:b/>
        </w:rPr>
        <w:t>cuya interpretación estableció</w:t>
      </w:r>
      <w:r w:rsidRPr="00682A66">
        <w:rPr>
          <w:rFonts w:ascii="Century Gothic" w:hAnsi="Century Gothic"/>
        </w:rPr>
        <w:t xml:space="preserve"> que la interlocutoria que resolvió </w:t>
      </w:r>
      <w:r w:rsidRPr="00682A66">
        <w:rPr>
          <w:rFonts w:ascii="Century Gothic" w:hAnsi="Century Gothic"/>
          <w:b/>
        </w:rPr>
        <w:t xml:space="preserve">el incidente de </w:t>
      </w:r>
      <w:r w:rsidR="00E67565" w:rsidRPr="00682A66">
        <w:rPr>
          <w:rFonts w:ascii="Century Gothic" w:hAnsi="Century Gothic"/>
          <w:b/>
        </w:rPr>
        <w:t xml:space="preserve">nulidad por falta de emplazamiento era apelable, ya que </w:t>
      </w:r>
      <w:r w:rsidR="00DC3315">
        <w:rPr>
          <w:rFonts w:ascii="Century Gothic" w:hAnsi="Century Gothic"/>
          <w:b/>
        </w:rPr>
        <w:t xml:space="preserve">precisamente de lo que </w:t>
      </w:r>
      <w:r w:rsidR="00E67565" w:rsidRPr="00630979">
        <w:rPr>
          <w:rFonts w:ascii="Century Gothic" w:hAnsi="Century Gothic"/>
          <w:b/>
        </w:rPr>
        <w:t>se</w:t>
      </w:r>
      <w:r w:rsidR="00E67565" w:rsidRPr="00682A66">
        <w:rPr>
          <w:rFonts w:ascii="Century Gothic" w:hAnsi="Century Gothic"/>
          <w:b/>
        </w:rPr>
        <w:t xml:space="preserve"> dolía </w:t>
      </w:r>
      <w:r w:rsidR="00DC3315">
        <w:rPr>
          <w:rFonts w:ascii="Century Gothic" w:hAnsi="Century Gothic"/>
          <w:b/>
        </w:rPr>
        <w:t xml:space="preserve">era de </w:t>
      </w:r>
      <w:r w:rsidR="00E67565" w:rsidRPr="00682A66">
        <w:rPr>
          <w:rFonts w:ascii="Century Gothic" w:hAnsi="Century Gothic"/>
          <w:b/>
        </w:rPr>
        <w:t xml:space="preserve">la falta de emplazamiento </w:t>
      </w:r>
      <w:r w:rsidR="00DC3315">
        <w:rPr>
          <w:rFonts w:ascii="Century Gothic" w:hAnsi="Century Gothic"/>
          <w:b/>
        </w:rPr>
        <w:t xml:space="preserve">de forma personal en su domicilio particular </w:t>
      </w:r>
      <w:r w:rsidR="00E67565" w:rsidRPr="00682A66">
        <w:rPr>
          <w:rFonts w:ascii="Century Gothic" w:hAnsi="Century Gothic"/>
          <w:b/>
        </w:rPr>
        <w:t>al incidente de costas y gastos</w:t>
      </w:r>
      <w:r w:rsidR="00682A66" w:rsidRPr="00682A66">
        <w:rPr>
          <w:rFonts w:ascii="Century Gothic" w:hAnsi="Century Gothic"/>
          <w:b/>
        </w:rPr>
        <w:t xml:space="preserve"> </w:t>
      </w:r>
      <w:r w:rsidR="00682A66" w:rsidRPr="00682A66">
        <w:rPr>
          <w:rFonts w:ascii="Century Gothic" w:hAnsi="Century Gothic" w:cs="Century Gothic"/>
        </w:rPr>
        <w:t xml:space="preserve">que promovió </w:t>
      </w:r>
      <w:r w:rsidR="00682A66">
        <w:rPr>
          <w:rFonts w:ascii="Century Gothic" w:hAnsi="Century Gothic" w:cs="Century Gothic"/>
        </w:rPr>
        <w:t>el actor del j</w:t>
      </w:r>
      <w:r w:rsidR="00682A66" w:rsidRPr="00682A66">
        <w:rPr>
          <w:rFonts w:ascii="Century Gothic" w:hAnsi="Century Gothic" w:cs="Century Gothic"/>
        </w:rPr>
        <w:t xml:space="preserve">uicio principal, </w:t>
      </w:r>
      <w:r w:rsidR="00630979">
        <w:rPr>
          <w:rFonts w:ascii="Century Gothic" w:hAnsi="Century Gothic" w:cs="Century Gothic"/>
        </w:rPr>
        <w:lastRenderedPageBreak/>
        <w:t>y</w:t>
      </w:r>
      <w:r w:rsidR="00682A66">
        <w:rPr>
          <w:rFonts w:ascii="Century Gothic" w:hAnsi="Century Gothic" w:cs="Century Gothic"/>
        </w:rPr>
        <w:t xml:space="preserve"> </w:t>
      </w:r>
      <w:r w:rsidR="00682A66" w:rsidRPr="00682A66">
        <w:rPr>
          <w:rFonts w:ascii="Century Gothic" w:hAnsi="Century Gothic" w:cs="Century Gothic"/>
        </w:rPr>
        <w:t xml:space="preserve">que </w:t>
      </w:r>
      <w:r w:rsidR="00682A66" w:rsidRPr="00682A66">
        <w:rPr>
          <w:rFonts w:ascii="Century Gothic" w:hAnsi="Century Gothic" w:cs="Century Gothic"/>
          <w:b/>
        </w:rPr>
        <w:t>en ningún momento, fue notificada</w:t>
      </w:r>
      <w:r w:rsidR="002D0BB3">
        <w:rPr>
          <w:rFonts w:ascii="Century Gothic" w:hAnsi="Century Gothic" w:cs="Century Gothic"/>
          <w:b/>
        </w:rPr>
        <w:t>,</w:t>
      </w:r>
      <w:r w:rsidR="00682A66" w:rsidRPr="00682A66">
        <w:rPr>
          <w:rFonts w:ascii="Century Gothic" w:hAnsi="Century Gothic" w:cs="Century Gothic"/>
          <w:b/>
        </w:rPr>
        <w:t xml:space="preserve"> emplazada</w:t>
      </w:r>
      <w:r w:rsidR="002D0BB3">
        <w:rPr>
          <w:rFonts w:ascii="Century Gothic" w:hAnsi="Century Gothic" w:cs="Century Gothic"/>
          <w:b/>
        </w:rPr>
        <w:t xml:space="preserve"> y requerida</w:t>
      </w:r>
      <w:r w:rsidR="00682A66" w:rsidRPr="00682A66">
        <w:rPr>
          <w:rFonts w:ascii="Century Gothic" w:hAnsi="Century Gothic" w:cs="Century Gothic"/>
          <w:b/>
        </w:rPr>
        <w:t xml:space="preserve"> personalmente a dicho incidente</w:t>
      </w:r>
      <w:r w:rsidR="008676F2">
        <w:rPr>
          <w:rFonts w:ascii="Century Gothic" w:hAnsi="Century Gothic" w:cs="Century Gothic"/>
          <w:b/>
        </w:rPr>
        <w:t xml:space="preserve"> en su domicilio</w:t>
      </w:r>
      <w:r w:rsidR="008676F2" w:rsidRPr="008676F2">
        <w:rPr>
          <w:rFonts w:ascii="Century Gothic" w:hAnsi="Century Gothic"/>
          <w:b/>
        </w:rPr>
        <w:t xml:space="preserve"> particular</w:t>
      </w:r>
      <w:r w:rsidR="00630979">
        <w:rPr>
          <w:rFonts w:ascii="Century Gothic" w:hAnsi="Century Gothic"/>
          <w:b/>
        </w:rPr>
        <w:t xml:space="preserve"> </w:t>
      </w:r>
      <w:r w:rsidR="008676F2" w:rsidRPr="002D0BB3">
        <w:rPr>
          <w:rFonts w:ascii="Century Gothic" w:hAnsi="Century Gothic"/>
        </w:rPr>
        <w:t xml:space="preserve">ubicado en el </w:t>
      </w:r>
      <w:r w:rsidR="007557B6">
        <w:rPr>
          <w:rFonts w:ascii="Century Gothic" w:hAnsi="Century Gothic"/>
        </w:rPr>
        <w:t>ELIMINADO</w:t>
      </w:r>
      <w:r w:rsidR="008676F2" w:rsidRPr="002D0BB3">
        <w:rPr>
          <w:rFonts w:ascii="Century Gothic" w:hAnsi="Century Gothic"/>
        </w:rPr>
        <w:t xml:space="preserve"> de la carretera </w:t>
      </w:r>
      <w:r w:rsidR="007557B6">
        <w:rPr>
          <w:rFonts w:ascii="Century Gothic" w:hAnsi="Century Gothic"/>
        </w:rPr>
        <w:t>ELIMINADO</w:t>
      </w:r>
      <w:r w:rsidR="008676F2" w:rsidRPr="002D0BB3">
        <w:rPr>
          <w:rFonts w:ascii="Century Gothic" w:hAnsi="Century Gothic"/>
        </w:rPr>
        <w:t xml:space="preserve">, Rancho </w:t>
      </w:r>
      <w:r w:rsidR="007557B6">
        <w:rPr>
          <w:rFonts w:ascii="Century Gothic" w:hAnsi="Century Gothic"/>
        </w:rPr>
        <w:t>ELIMINADO</w:t>
      </w:r>
      <w:r w:rsidR="008676F2" w:rsidRPr="002D0BB3">
        <w:rPr>
          <w:rFonts w:ascii="Century Gothic" w:hAnsi="Century Gothic"/>
        </w:rPr>
        <w:t xml:space="preserve"> en Ciudad Valles, S.L.P., conforme </w:t>
      </w:r>
      <w:r w:rsidR="002D0BB3">
        <w:rPr>
          <w:rFonts w:ascii="Century Gothic" w:hAnsi="Century Gothic"/>
        </w:rPr>
        <w:t xml:space="preserve">lo </w:t>
      </w:r>
      <w:r w:rsidR="008C0F5F">
        <w:rPr>
          <w:rFonts w:ascii="Century Gothic" w:hAnsi="Century Gothic"/>
        </w:rPr>
        <w:t xml:space="preserve">disponen </w:t>
      </w:r>
      <w:r w:rsidR="002D0BB3">
        <w:rPr>
          <w:rFonts w:ascii="Century Gothic" w:hAnsi="Century Gothic"/>
        </w:rPr>
        <w:t xml:space="preserve">los </w:t>
      </w:r>
      <w:r w:rsidR="008C0F5F">
        <w:rPr>
          <w:rFonts w:ascii="Century Gothic" w:hAnsi="Century Gothic"/>
        </w:rPr>
        <w:t xml:space="preserve">numerales </w:t>
      </w:r>
      <w:r w:rsidR="00DC3315">
        <w:rPr>
          <w:rFonts w:ascii="Century Gothic" w:hAnsi="Century Gothic"/>
        </w:rPr>
        <w:t xml:space="preserve">253, 254 </w:t>
      </w:r>
      <w:r w:rsidR="00630979">
        <w:rPr>
          <w:rFonts w:ascii="Century Gothic" w:hAnsi="Century Gothic"/>
        </w:rPr>
        <w:t xml:space="preserve">778 y </w:t>
      </w:r>
      <w:r w:rsidR="00630979" w:rsidRPr="00F44889">
        <w:rPr>
          <w:rFonts w:ascii="Century Gothic" w:hAnsi="Century Gothic"/>
        </w:rPr>
        <w:t>109 fracciones III y IV</w:t>
      </w:r>
      <w:r w:rsidR="00630979">
        <w:rPr>
          <w:rStyle w:val="Refdenotaalpie"/>
          <w:rFonts w:ascii="Century Gothic" w:hAnsi="Century Gothic"/>
        </w:rPr>
        <w:footnoteReference w:id="21"/>
      </w:r>
      <w:r w:rsidR="00630979" w:rsidRPr="00F44889">
        <w:rPr>
          <w:rFonts w:ascii="Century Gothic" w:hAnsi="Century Gothic"/>
        </w:rPr>
        <w:t>,</w:t>
      </w:r>
      <w:r w:rsidR="00630979">
        <w:rPr>
          <w:rFonts w:ascii="Century Gothic" w:hAnsi="Century Gothic"/>
        </w:rPr>
        <w:t xml:space="preserve"> </w:t>
      </w:r>
      <w:r w:rsidR="00630979" w:rsidRPr="00F44889">
        <w:rPr>
          <w:rFonts w:ascii="Century Gothic" w:hAnsi="Century Gothic"/>
        </w:rPr>
        <w:t>del Código de Procedimientos Civiles para el Estado</w:t>
      </w:r>
      <w:r w:rsidR="00630979">
        <w:rPr>
          <w:rFonts w:ascii="Century Gothic" w:hAnsi="Century Gothic"/>
        </w:rPr>
        <w:t>.</w:t>
      </w:r>
    </w:p>
    <w:p w:rsidR="00E71174" w:rsidRDefault="00E71174" w:rsidP="00630979">
      <w:pPr>
        <w:pStyle w:val="Normal0"/>
        <w:spacing w:after="360" w:line="360" w:lineRule="auto"/>
        <w:ind w:firstLine="851"/>
        <w:jc w:val="both"/>
        <w:rPr>
          <w:rFonts w:ascii="Century Gothic" w:hAnsi="Century Gothic"/>
        </w:rPr>
      </w:pPr>
      <w:r w:rsidRPr="00E71174">
        <w:rPr>
          <w:rFonts w:ascii="Century Gothic" w:hAnsi="Century Gothic"/>
        </w:rPr>
        <w:t xml:space="preserve">En efecto, el artículo </w:t>
      </w:r>
      <w:r w:rsidR="00682A66">
        <w:rPr>
          <w:rFonts w:ascii="Century Gothic" w:hAnsi="Century Gothic"/>
        </w:rPr>
        <w:t xml:space="preserve">75 </w:t>
      </w:r>
      <w:r w:rsidRPr="00E71174">
        <w:rPr>
          <w:rFonts w:ascii="Century Gothic" w:hAnsi="Century Gothic"/>
        </w:rPr>
        <w:t xml:space="preserve">del ordenamiento en consulta dicta: </w:t>
      </w:r>
    </w:p>
    <w:p w:rsidR="00682A66" w:rsidRDefault="00682A66" w:rsidP="00790819">
      <w:pPr>
        <w:pStyle w:val="Normal0"/>
        <w:spacing w:after="360"/>
        <w:ind w:left="1416" w:right="544"/>
        <w:jc w:val="both"/>
        <w:rPr>
          <w:rFonts w:ascii="Century Gothic" w:hAnsi="Century Gothic"/>
          <w:bCs/>
          <w:lang w:eastAsia="es-MX"/>
        </w:rPr>
      </w:pPr>
      <w:r w:rsidRPr="001155A7">
        <w:rPr>
          <w:rFonts w:ascii="Century Gothic" w:hAnsi="Century Gothic"/>
        </w:rPr>
        <w:t xml:space="preserve">“Artículo </w:t>
      </w:r>
      <w:r w:rsidRPr="001155A7">
        <w:rPr>
          <w:rFonts w:ascii="Century Gothic" w:hAnsi="Century Gothic"/>
          <w:b/>
        </w:rPr>
        <w:t>75.-</w:t>
      </w:r>
      <w:r w:rsidRPr="001155A7">
        <w:rPr>
          <w:rFonts w:ascii="Century Gothic" w:hAnsi="Century Gothic"/>
        </w:rPr>
        <w:t xml:space="preserve"> </w:t>
      </w:r>
      <w:r w:rsidRPr="001155A7">
        <w:rPr>
          <w:rFonts w:ascii="Century Gothic" w:hAnsi="Century Gothic"/>
          <w:bCs/>
          <w:lang w:eastAsia="es-MX"/>
        </w:rPr>
        <w:t>Las nulidades a que se refiere el artículo anterior se promoverán ante el mismo juez o tribunal que conozca del negocio. Si la parte contraria estuviere conforme, se declarará desde luego la nulidad de lo actuado desde la notificación hecha indebidamente. Si no estuviere conforme, se convocará a una audiencia que tendrá verificativo a más tardar dentro de cinco días, en la que los interesados podrán presentar las pruebas que tuvieren. En la misma audiencia se resolverá lo que procediere en justicia, sin recurso alguno,</w:t>
      </w:r>
      <w:r w:rsidRPr="001155A7">
        <w:rPr>
          <w:rFonts w:ascii="Century Gothic" w:hAnsi="Century Gothic"/>
          <w:b/>
          <w:bCs/>
          <w:lang w:eastAsia="es-MX"/>
        </w:rPr>
        <w:t xml:space="preserve"> </w:t>
      </w:r>
      <w:r w:rsidRPr="001155A7">
        <w:rPr>
          <w:rFonts w:ascii="Century Gothic" w:hAnsi="Century Gothic"/>
          <w:b/>
          <w:bCs/>
          <w:u w:val="single"/>
          <w:lang w:eastAsia="es-MX"/>
        </w:rPr>
        <w:t>salvo que se trate de nulidades por falta de emplazamiento,</w:t>
      </w:r>
      <w:r w:rsidRPr="001155A7">
        <w:rPr>
          <w:rFonts w:ascii="Century Gothic" w:hAnsi="Century Gothic"/>
          <w:bCs/>
          <w:lang w:eastAsia="es-MX"/>
        </w:rPr>
        <w:t xml:space="preserve"> de citación para absolver posiciones o para reconocimiento de documentos, que </w:t>
      </w:r>
      <w:r w:rsidRPr="001155A7">
        <w:rPr>
          <w:rFonts w:ascii="Century Gothic" w:hAnsi="Century Gothic"/>
          <w:b/>
          <w:bCs/>
          <w:u w:val="single"/>
          <w:lang w:eastAsia="es-MX"/>
        </w:rPr>
        <w:t>serán apelables</w:t>
      </w:r>
      <w:r w:rsidRPr="001155A7">
        <w:rPr>
          <w:rFonts w:ascii="Century Gothic" w:hAnsi="Century Gothic"/>
          <w:bCs/>
          <w:lang w:eastAsia="es-MX"/>
        </w:rPr>
        <w:t>…”.</w:t>
      </w:r>
    </w:p>
    <w:p w:rsidR="00E71174" w:rsidRPr="00E71174" w:rsidRDefault="00E71174" w:rsidP="00D03144">
      <w:pPr>
        <w:spacing w:after="360" w:line="360" w:lineRule="auto"/>
        <w:ind w:firstLine="851"/>
        <w:jc w:val="both"/>
        <w:rPr>
          <w:rFonts w:ascii="Century Gothic" w:hAnsi="Century Gothic" w:cs="Arial"/>
          <w:sz w:val="24"/>
          <w:szCs w:val="24"/>
        </w:rPr>
      </w:pPr>
      <w:r w:rsidRPr="00E71174">
        <w:rPr>
          <w:rFonts w:ascii="Century Gothic" w:hAnsi="Century Gothic" w:cs="Arial"/>
          <w:sz w:val="24"/>
          <w:szCs w:val="24"/>
        </w:rPr>
        <w:t xml:space="preserve">Artículo que forma parte del </w:t>
      </w:r>
      <w:r w:rsidR="00DC4AEF">
        <w:rPr>
          <w:rFonts w:ascii="Century Gothic" w:hAnsi="Century Gothic" w:cs="Arial"/>
          <w:sz w:val="24"/>
          <w:szCs w:val="24"/>
        </w:rPr>
        <w:t xml:space="preserve">capítulo </w:t>
      </w:r>
      <w:r w:rsidRPr="00E71174">
        <w:rPr>
          <w:rFonts w:ascii="Century Gothic" w:hAnsi="Century Gothic" w:cs="Arial"/>
          <w:sz w:val="24"/>
          <w:szCs w:val="24"/>
        </w:rPr>
        <w:t xml:space="preserve">II, denominado “De las </w:t>
      </w:r>
      <w:r w:rsidR="00DC4AEF">
        <w:rPr>
          <w:rFonts w:ascii="Century Gothic" w:hAnsi="Century Gothic" w:cs="Arial"/>
          <w:sz w:val="24"/>
          <w:szCs w:val="24"/>
        </w:rPr>
        <w:t>actuaciones y resoluciones judiciales</w:t>
      </w:r>
      <w:r w:rsidRPr="00E71174">
        <w:rPr>
          <w:rFonts w:ascii="Century Gothic" w:hAnsi="Century Gothic" w:cs="Arial"/>
          <w:sz w:val="24"/>
          <w:szCs w:val="24"/>
        </w:rPr>
        <w:t xml:space="preserve">”, de la ley adjetiva y que vinculado con el diverso precepto 782, perteneciente al capítulo I, titulado “De los Incidentes en General”, que establece: </w:t>
      </w:r>
    </w:p>
    <w:p w:rsidR="00E71174" w:rsidRPr="00DC4AEF" w:rsidRDefault="00E71174" w:rsidP="00790819">
      <w:pPr>
        <w:spacing w:after="360" w:line="240" w:lineRule="auto"/>
        <w:ind w:left="1418" w:right="544"/>
        <w:jc w:val="both"/>
        <w:rPr>
          <w:rFonts w:ascii="Century Gothic" w:hAnsi="Century Gothic" w:cs="Arial"/>
          <w:sz w:val="24"/>
          <w:szCs w:val="24"/>
        </w:rPr>
      </w:pPr>
      <w:r w:rsidRPr="001155A7">
        <w:rPr>
          <w:rFonts w:ascii="Century Gothic" w:hAnsi="Century Gothic" w:cs="Arial"/>
          <w:sz w:val="24"/>
          <w:szCs w:val="24"/>
        </w:rPr>
        <w:t xml:space="preserve">“Artículo 782. </w:t>
      </w:r>
      <w:r w:rsidRPr="001155A7">
        <w:rPr>
          <w:rFonts w:ascii="Century Gothic" w:hAnsi="Century Gothic" w:cs="Arial"/>
          <w:b/>
          <w:sz w:val="24"/>
          <w:szCs w:val="24"/>
          <w:u w:val="single"/>
        </w:rPr>
        <w:t>La sentencia en los incidentes será</w:t>
      </w:r>
      <w:r w:rsidR="004D09D1" w:rsidRPr="001155A7">
        <w:rPr>
          <w:rFonts w:ascii="Century Gothic" w:hAnsi="Century Gothic" w:cs="Arial"/>
          <w:b/>
          <w:sz w:val="24"/>
          <w:szCs w:val="24"/>
          <w:u w:val="single"/>
        </w:rPr>
        <w:t xml:space="preserve"> </w:t>
      </w:r>
      <w:r w:rsidRPr="001155A7">
        <w:rPr>
          <w:rFonts w:ascii="Century Gothic" w:hAnsi="Century Gothic" w:cs="Arial"/>
          <w:b/>
          <w:sz w:val="24"/>
          <w:szCs w:val="24"/>
          <w:u w:val="single"/>
        </w:rPr>
        <w:t>apelable en los casos en que lo fuere la principal</w:t>
      </w:r>
      <w:r w:rsidRPr="001155A7">
        <w:rPr>
          <w:rFonts w:ascii="Century Gothic" w:hAnsi="Century Gothic" w:cs="Arial"/>
          <w:b/>
          <w:sz w:val="24"/>
          <w:szCs w:val="24"/>
        </w:rPr>
        <w:t>;</w:t>
      </w:r>
      <w:r w:rsidRPr="001155A7">
        <w:rPr>
          <w:rFonts w:ascii="Century Gothic" w:hAnsi="Century Gothic" w:cs="Arial"/>
          <w:sz w:val="24"/>
          <w:szCs w:val="24"/>
        </w:rPr>
        <w:t xml:space="preserve"> pero el recurso sólo será admitido en el efecto devolutivo, salvo que la Ley disponga expresamente otra cosa.”.</w:t>
      </w:r>
    </w:p>
    <w:p w:rsidR="00E71174" w:rsidRPr="001155A7" w:rsidRDefault="005B4A8F" w:rsidP="00D03144">
      <w:pPr>
        <w:spacing w:before="360" w:after="360" w:line="360" w:lineRule="auto"/>
        <w:ind w:firstLine="851"/>
        <w:jc w:val="both"/>
        <w:rPr>
          <w:rFonts w:ascii="Century Gothic" w:hAnsi="Century Gothic" w:cs="Arial"/>
          <w:sz w:val="24"/>
          <w:szCs w:val="24"/>
        </w:rPr>
      </w:pPr>
      <w:r>
        <w:rPr>
          <w:rFonts w:ascii="Century Gothic" w:hAnsi="Century Gothic" w:cs="Arial"/>
          <w:sz w:val="24"/>
          <w:szCs w:val="24"/>
        </w:rPr>
        <w:t xml:space="preserve">Y, </w:t>
      </w:r>
      <w:r w:rsidRPr="001155A7">
        <w:rPr>
          <w:rFonts w:ascii="Century Gothic" w:hAnsi="Century Gothic" w:cs="Arial"/>
          <w:sz w:val="24"/>
          <w:szCs w:val="24"/>
        </w:rPr>
        <w:t xml:space="preserve">con </w:t>
      </w:r>
      <w:r w:rsidR="00E71174" w:rsidRPr="001155A7">
        <w:rPr>
          <w:rFonts w:ascii="Century Gothic" w:hAnsi="Century Gothic" w:cs="Arial"/>
          <w:sz w:val="24"/>
          <w:szCs w:val="24"/>
        </w:rPr>
        <w:t>l</w:t>
      </w:r>
      <w:r w:rsidRPr="001155A7">
        <w:rPr>
          <w:rFonts w:ascii="Century Gothic" w:hAnsi="Century Gothic" w:cs="Arial"/>
          <w:sz w:val="24"/>
          <w:szCs w:val="24"/>
        </w:rPr>
        <w:t>os</w:t>
      </w:r>
      <w:r w:rsidR="00E71174" w:rsidRPr="001155A7">
        <w:rPr>
          <w:rFonts w:ascii="Century Gothic" w:hAnsi="Century Gothic" w:cs="Arial"/>
          <w:sz w:val="24"/>
          <w:szCs w:val="24"/>
        </w:rPr>
        <w:t xml:space="preserve"> numeral</w:t>
      </w:r>
      <w:r w:rsidRPr="001155A7">
        <w:rPr>
          <w:rFonts w:ascii="Century Gothic" w:hAnsi="Century Gothic" w:cs="Arial"/>
          <w:sz w:val="24"/>
          <w:szCs w:val="24"/>
        </w:rPr>
        <w:t>es 945 y</w:t>
      </w:r>
      <w:r w:rsidR="00E71174" w:rsidRPr="001155A7">
        <w:rPr>
          <w:rFonts w:ascii="Century Gothic" w:hAnsi="Century Gothic" w:cs="Arial"/>
          <w:sz w:val="24"/>
          <w:szCs w:val="24"/>
        </w:rPr>
        <w:t xml:space="preserve"> 946, que a su vez prevé</w:t>
      </w:r>
      <w:r w:rsidRPr="001155A7">
        <w:rPr>
          <w:rFonts w:ascii="Century Gothic" w:hAnsi="Century Gothic" w:cs="Arial"/>
          <w:sz w:val="24"/>
          <w:szCs w:val="24"/>
        </w:rPr>
        <w:t>n</w:t>
      </w:r>
      <w:r w:rsidR="00E71174" w:rsidRPr="001155A7">
        <w:rPr>
          <w:rFonts w:ascii="Century Gothic" w:hAnsi="Century Gothic" w:cs="Arial"/>
          <w:sz w:val="24"/>
          <w:szCs w:val="24"/>
        </w:rPr>
        <w:t>:</w:t>
      </w:r>
    </w:p>
    <w:p w:rsidR="005B4A8F" w:rsidRPr="001155A7" w:rsidRDefault="005B4A8F" w:rsidP="00790819">
      <w:pPr>
        <w:spacing w:before="240" w:after="360" w:line="240" w:lineRule="auto"/>
        <w:ind w:left="1410" w:right="544"/>
        <w:jc w:val="both"/>
        <w:rPr>
          <w:rFonts w:ascii="Century Gothic" w:hAnsi="Century Gothic" w:cs="Arial"/>
          <w:sz w:val="24"/>
          <w:szCs w:val="24"/>
        </w:rPr>
      </w:pPr>
      <w:r w:rsidRPr="001155A7">
        <w:rPr>
          <w:rFonts w:ascii="Century Gothic" w:hAnsi="Century Gothic" w:cs="Arial"/>
          <w:sz w:val="24"/>
          <w:szCs w:val="24"/>
        </w:rPr>
        <w:t xml:space="preserve">“ART 945.- Las sentencias definitivas pronunciadas en negocios </w:t>
      </w:r>
      <w:r w:rsidRPr="001155A7">
        <w:rPr>
          <w:rFonts w:ascii="Century Gothic" w:hAnsi="Century Gothic" w:cs="Arial"/>
          <w:b/>
          <w:sz w:val="24"/>
          <w:szCs w:val="24"/>
          <w:u w:val="single"/>
        </w:rPr>
        <w:t>cuya suerte principal exceda de diez mil pesos,</w:t>
      </w:r>
      <w:r w:rsidRPr="001155A7">
        <w:rPr>
          <w:rFonts w:ascii="Century Gothic" w:hAnsi="Century Gothic" w:cs="Arial"/>
          <w:sz w:val="24"/>
          <w:szCs w:val="24"/>
        </w:rPr>
        <w:t xml:space="preserve"> y en aquellos en que el interés no sea </w:t>
      </w:r>
      <w:r w:rsidRPr="001155A7">
        <w:rPr>
          <w:rFonts w:ascii="Century Gothic" w:hAnsi="Century Gothic" w:cs="Arial"/>
          <w:sz w:val="24"/>
          <w:szCs w:val="24"/>
        </w:rPr>
        <w:lastRenderedPageBreak/>
        <w:t>susceptible de valorarse en dinero, serán apelables en ambos efectos, salvo los casos expresamente exceptuados.</w:t>
      </w:r>
    </w:p>
    <w:p w:rsidR="005B4A8F" w:rsidRPr="001155A7" w:rsidRDefault="004D09D1" w:rsidP="00790819">
      <w:pPr>
        <w:spacing w:before="240" w:after="360" w:line="240" w:lineRule="auto"/>
        <w:ind w:left="1410" w:right="544" w:firstLine="6"/>
        <w:jc w:val="both"/>
        <w:rPr>
          <w:rFonts w:ascii="Century Gothic" w:hAnsi="Century Gothic" w:cs="Arial"/>
          <w:sz w:val="24"/>
          <w:szCs w:val="24"/>
        </w:rPr>
      </w:pPr>
      <w:r w:rsidRPr="001155A7">
        <w:rPr>
          <w:rFonts w:ascii="Century Gothic" w:hAnsi="Century Gothic" w:cs="Arial"/>
          <w:sz w:val="24"/>
          <w:szCs w:val="24"/>
        </w:rPr>
        <w:t>L</w:t>
      </w:r>
      <w:r w:rsidR="005B4A8F" w:rsidRPr="001155A7">
        <w:rPr>
          <w:rFonts w:ascii="Century Gothic" w:hAnsi="Century Gothic" w:cs="Arial"/>
          <w:sz w:val="24"/>
          <w:szCs w:val="24"/>
        </w:rPr>
        <w:t>as sentencias definitivas dictadas en juicios cuya suerte principal sea inferior a diez mil pesos, no admitirán recurso alguno.”.</w:t>
      </w:r>
    </w:p>
    <w:p w:rsidR="00E71174" w:rsidRPr="00DC4AEF" w:rsidRDefault="00E71174" w:rsidP="00790819">
      <w:pPr>
        <w:pStyle w:val="Textonotapie"/>
        <w:spacing w:after="360"/>
        <w:ind w:left="1418" w:right="618"/>
        <w:jc w:val="both"/>
        <w:rPr>
          <w:sz w:val="24"/>
          <w:szCs w:val="24"/>
        </w:rPr>
      </w:pPr>
      <w:r w:rsidRPr="001155A7">
        <w:rPr>
          <w:rFonts w:ascii="Century Gothic" w:hAnsi="Century Gothic" w:cs="Arial"/>
          <w:iCs/>
          <w:sz w:val="24"/>
          <w:szCs w:val="24"/>
        </w:rPr>
        <w:t xml:space="preserve">“Artículo 946. </w:t>
      </w:r>
      <w:r w:rsidRPr="001155A7">
        <w:rPr>
          <w:rFonts w:ascii="Century Gothic" w:hAnsi="Century Gothic" w:cs="Arial"/>
          <w:b/>
          <w:iCs/>
          <w:sz w:val="24"/>
          <w:szCs w:val="24"/>
          <w:u w:val="single"/>
        </w:rPr>
        <w:t>Las demás resoluciones sólo son apelables cuando decidan un incidente y cuando esta Ley lo disponga, si además lo fuere la sentencia definitiva del juicio en que se dicten</w:t>
      </w:r>
      <w:r w:rsidRPr="001155A7">
        <w:rPr>
          <w:rFonts w:ascii="Century Gothic" w:hAnsi="Century Gothic" w:cs="Arial"/>
          <w:b/>
          <w:iCs/>
          <w:sz w:val="24"/>
          <w:szCs w:val="24"/>
        </w:rPr>
        <w:t>.</w:t>
      </w:r>
      <w:r w:rsidRPr="001155A7">
        <w:rPr>
          <w:rFonts w:ascii="Century Gothic" w:hAnsi="Century Gothic" w:cs="Arial"/>
          <w:iCs/>
          <w:sz w:val="24"/>
          <w:szCs w:val="24"/>
        </w:rPr>
        <w:t xml:space="preserve"> La apelación será admisible sólo en el efecto devolutivo, salvo los casos que este Código exceptué.”</w:t>
      </w:r>
    </w:p>
    <w:p w:rsidR="00EE7ABD" w:rsidRPr="00EE7ABD" w:rsidRDefault="00EE7ABD" w:rsidP="00D03144">
      <w:pPr>
        <w:spacing w:before="360" w:after="360" w:line="360" w:lineRule="auto"/>
        <w:ind w:firstLine="851"/>
        <w:jc w:val="both"/>
        <w:rPr>
          <w:rFonts w:ascii="Century Gothic" w:hAnsi="Century Gothic" w:cs="Arial"/>
          <w:sz w:val="24"/>
          <w:szCs w:val="24"/>
        </w:rPr>
      </w:pPr>
      <w:r w:rsidRPr="00EE7ABD">
        <w:rPr>
          <w:rFonts w:ascii="Century Gothic" w:hAnsi="Century Gothic" w:cs="Arial"/>
          <w:sz w:val="24"/>
          <w:szCs w:val="24"/>
        </w:rPr>
        <w:t>Así</w:t>
      </w:r>
      <w:r>
        <w:rPr>
          <w:rFonts w:ascii="Century Gothic" w:hAnsi="Century Gothic" w:cs="Arial"/>
          <w:sz w:val="24"/>
          <w:szCs w:val="24"/>
        </w:rPr>
        <w:t xml:space="preserve">, </w:t>
      </w:r>
      <w:r w:rsidRPr="00EE7ABD">
        <w:rPr>
          <w:rFonts w:ascii="Century Gothic" w:hAnsi="Century Gothic" w:cs="Arial"/>
          <w:sz w:val="24"/>
          <w:szCs w:val="24"/>
        </w:rPr>
        <w:t xml:space="preserve">la pauta que rige el recurso de apelación, en la legislación procesal local, </w:t>
      </w:r>
      <w:r>
        <w:rPr>
          <w:rFonts w:ascii="Century Gothic" w:hAnsi="Century Gothic" w:cs="Arial"/>
          <w:sz w:val="24"/>
          <w:szCs w:val="24"/>
        </w:rPr>
        <w:t xml:space="preserve">es la </w:t>
      </w:r>
      <w:r w:rsidRPr="00EE7ABD">
        <w:rPr>
          <w:rFonts w:ascii="Century Gothic" w:hAnsi="Century Gothic" w:cs="Arial"/>
          <w:sz w:val="24"/>
          <w:szCs w:val="24"/>
        </w:rPr>
        <w:t xml:space="preserve">relativa a un sistema casuístico en materia civil que específicamente determina los supuestos de procedencia del recurso de apelación, por lo que resulta dable concluir que </w:t>
      </w:r>
      <w:r w:rsidRPr="00EE7ABD">
        <w:rPr>
          <w:rFonts w:ascii="Century Gothic" w:hAnsi="Century Gothic" w:cs="Arial"/>
          <w:b/>
          <w:sz w:val="24"/>
          <w:szCs w:val="24"/>
        </w:rPr>
        <w:t>la interlocutoria que resuelve un incidente de nulidad por defectos en el emplazamiento sí es impugnable mediante el recurso de apelación</w:t>
      </w:r>
      <w:r w:rsidRPr="00EE7ABD">
        <w:rPr>
          <w:rFonts w:ascii="Century Gothic" w:hAnsi="Century Gothic" w:cs="Arial"/>
          <w:sz w:val="24"/>
          <w:szCs w:val="24"/>
        </w:rPr>
        <w:t>, en el efecto devolutivo, con fundamento en los citados preceptos 75, 782, 945 y 946 de la ley procesal y, además, con sustento en la natural</w:t>
      </w:r>
      <w:r>
        <w:rPr>
          <w:rFonts w:ascii="Century Gothic" w:hAnsi="Century Gothic" w:cs="Arial"/>
          <w:sz w:val="24"/>
          <w:szCs w:val="24"/>
        </w:rPr>
        <w:t>eza casuística de dicho recurso</w:t>
      </w:r>
      <w:r w:rsidR="00A21C07">
        <w:rPr>
          <w:rFonts w:ascii="Century Gothic" w:hAnsi="Century Gothic" w:cs="Arial"/>
          <w:sz w:val="24"/>
          <w:szCs w:val="24"/>
        </w:rPr>
        <w:t xml:space="preserve">. </w:t>
      </w:r>
    </w:p>
    <w:p w:rsidR="00EE7ABD" w:rsidRPr="00EE7ABD" w:rsidRDefault="00EE7ABD" w:rsidP="00D03144">
      <w:pPr>
        <w:spacing w:before="360" w:after="360" w:line="360" w:lineRule="auto"/>
        <w:ind w:firstLine="851"/>
        <w:jc w:val="both"/>
        <w:rPr>
          <w:rFonts w:ascii="Century Gothic" w:hAnsi="Century Gothic" w:cs="Arial"/>
          <w:sz w:val="24"/>
          <w:szCs w:val="24"/>
        </w:rPr>
      </w:pPr>
      <w:r>
        <w:rPr>
          <w:rFonts w:ascii="Century Gothic" w:hAnsi="Century Gothic" w:cs="Arial"/>
          <w:sz w:val="24"/>
          <w:szCs w:val="24"/>
        </w:rPr>
        <w:t>De igual manera</w:t>
      </w:r>
      <w:r w:rsidRPr="00EE7ABD">
        <w:rPr>
          <w:rFonts w:ascii="Century Gothic" w:hAnsi="Century Gothic" w:cs="Arial"/>
          <w:sz w:val="24"/>
          <w:szCs w:val="24"/>
        </w:rPr>
        <w:t xml:space="preserve">, resulta aplicable el principio procesal relativo a la prevalencia, en observancia y vigencia, de la regla especial sobre la general, en donde el numeral 1004 constituye la norma general, pues establece que el medio de impugnación procedente contra las interlocutorias dictadas en ejecución de sentencia es el recurso de queja, mientras que el precepto 75, integra la norma particular, cuando prevé la procedencia del recurso de apelación, respecto de las interlocutorias que resuelvan un incidente de nulidad por falta de emplazamiento si también lo fuere la sentencia principal, como –a su vez— establecen los supradichos artículos 782, 945 y 946 de la codificación en consulta. </w:t>
      </w:r>
    </w:p>
    <w:p w:rsidR="00FE0838" w:rsidRPr="001520C4" w:rsidRDefault="00EE7ABD" w:rsidP="001520C4">
      <w:pPr>
        <w:pStyle w:val="Normal0"/>
        <w:spacing w:after="360" w:line="360" w:lineRule="auto"/>
        <w:ind w:firstLine="851"/>
        <w:jc w:val="both"/>
        <w:rPr>
          <w:rFonts w:ascii="Century Gothic" w:hAnsi="Century Gothic"/>
          <w:bCs/>
          <w:lang w:eastAsia="es-MX"/>
        </w:rPr>
      </w:pPr>
      <w:r w:rsidRPr="00EE7ABD">
        <w:rPr>
          <w:rFonts w:ascii="Century Gothic" w:hAnsi="Century Gothic"/>
        </w:rPr>
        <w:t>De manera que</w:t>
      </w:r>
      <w:r w:rsidR="00F72B1B">
        <w:rPr>
          <w:rFonts w:ascii="Century Gothic" w:hAnsi="Century Gothic"/>
        </w:rPr>
        <w:t>,</w:t>
      </w:r>
      <w:r w:rsidRPr="00EE7ABD">
        <w:rPr>
          <w:rFonts w:ascii="Century Gothic" w:hAnsi="Century Gothic"/>
        </w:rPr>
        <w:t xml:space="preserve"> si en el caso particular, la </w:t>
      </w:r>
      <w:r w:rsidR="00FE0838">
        <w:rPr>
          <w:rFonts w:ascii="Century Gothic" w:hAnsi="Century Gothic"/>
        </w:rPr>
        <w:t xml:space="preserve">aquí quejosa interpuso en la causa de origen </w:t>
      </w:r>
      <w:r w:rsidR="007A05E5">
        <w:rPr>
          <w:rFonts w:ascii="Century Gothic" w:hAnsi="Century Gothic"/>
        </w:rPr>
        <w:t xml:space="preserve">un incidente </w:t>
      </w:r>
      <w:r w:rsidR="007A05E5" w:rsidRPr="00EE7ABD">
        <w:rPr>
          <w:rFonts w:ascii="Century Gothic" w:hAnsi="Century Gothic"/>
        </w:rPr>
        <w:t>de nulidad de notificaciones</w:t>
      </w:r>
      <w:r w:rsidR="007A05E5">
        <w:rPr>
          <w:rFonts w:ascii="Century Gothic" w:hAnsi="Century Gothic"/>
        </w:rPr>
        <w:t xml:space="preserve"> dentro del incidente de costas y gastos, en el que planteó como argumentos que debió ser </w:t>
      </w:r>
      <w:r w:rsidR="007A05E5" w:rsidRPr="00EE7ABD">
        <w:rPr>
          <w:rFonts w:ascii="Century Gothic" w:hAnsi="Century Gothic" w:cs="Century Gothic"/>
        </w:rPr>
        <w:t xml:space="preserve">notificada, </w:t>
      </w:r>
      <w:r w:rsidR="007A05E5">
        <w:rPr>
          <w:rFonts w:ascii="Century Gothic" w:hAnsi="Century Gothic" w:cs="Century Gothic"/>
          <w:b/>
        </w:rPr>
        <w:t xml:space="preserve">emplazada </w:t>
      </w:r>
      <w:r w:rsidR="007A05E5" w:rsidRPr="007A05E5">
        <w:rPr>
          <w:rFonts w:ascii="Century Gothic" w:hAnsi="Century Gothic" w:cs="Century Gothic"/>
        </w:rPr>
        <w:t>y</w:t>
      </w:r>
      <w:r w:rsidR="007A05E5">
        <w:rPr>
          <w:rFonts w:ascii="Century Gothic" w:hAnsi="Century Gothic" w:cs="Century Gothic"/>
          <w:b/>
        </w:rPr>
        <w:t xml:space="preserve"> </w:t>
      </w:r>
      <w:r w:rsidR="007A05E5">
        <w:rPr>
          <w:rFonts w:ascii="Century Gothic" w:hAnsi="Century Gothic" w:cs="Century Gothic"/>
        </w:rPr>
        <w:lastRenderedPageBreak/>
        <w:t xml:space="preserve">requerida </w:t>
      </w:r>
      <w:r w:rsidR="007A05E5" w:rsidRPr="00EE7ABD">
        <w:rPr>
          <w:rFonts w:ascii="Century Gothic" w:hAnsi="Century Gothic" w:cs="Century Gothic"/>
        </w:rPr>
        <w:t>personalmente</w:t>
      </w:r>
      <w:r w:rsidR="007A05E5">
        <w:rPr>
          <w:rFonts w:ascii="Century Gothic" w:hAnsi="Century Gothic" w:cs="Century Gothic"/>
        </w:rPr>
        <w:t xml:space="preserve"> </w:t>
      </w:r>
      <w:r w:rsidR="007A05E5" w:rsidRPr="00EE7ABD">
        <w:rPr>
          <w:rFonts w:ascii="Century Gothic" w:hAnsi="Century Gothic" w:cs="Century Gothic"/>
        </w:rPr>
        <w:t>en su domicilio</w:t>
      </w:r>
      <w:r w:rsidR="007A05E5" w:rsidRPr="00EE7ABD">
        <w:rPr>
          <w:rFonts w:ascii="Century Gothic" w:hAnsi="Century Gothic"/>
        </w:rPr>
        <w:t xml:space="preserve"> particular</w:t>
      </w:r>
      <w:r w:rsidR="007A05E5" w:rsidRPr="00EE7ABD">
        <w:rPr>
          <w:rFonts w:ascii="Century Gothic" w:hAnsi="Century Gothic"/>
          <w:b/>
        </w:rPr>
        <w:t xml:space="preserve"> </w:t>
      </w:r>
      <w:r w:rsidR="007A05E5" w:rsidRPr="00EE7ABD">
        <w:rPr>
          <w:rFonts w:ascii="Century Gothic" w:hAnsi="Century Gothic"/>
        </w:rPr>
        <w:t xml:space="preserve">ubicado en el </w:t>
      </w:r>
      <w:r w:rsidR="007557B6">
        <w:rPr>
          <w:rFonts w:ascii="Century Gothic" w:hAnsi="Century Gothic"/>
        </w:rPr>
        <w:t>ELIMINADO</w:t>
      </w:r>
      <w:r w:rsidR="007A05E5" w:rsidRPr="00EE7ABD">
        <w:rPr>
          <w:rFonts w:ascii="Century Gothic" w:hAnsi="Century Gothic"/>
        </w:rPr>
        <w:t xml:space="preserve"> de la carretera </w:t>
      </w:r>
      <w:r w:rsidR="007557B6">
        <w:rPr>
          <w:rFonts w:ascii="Century Gothic" w:hAnsi="Century Gothic"/>
        </w:rPr>
        <w:t>ELIMINADO</w:t>
      </w:r>
      <w:r w:rsidR="007A05E5" w:rsidRPr="00EE7ABD">
        <w:rPr>
          <w:rFonts w:ascii="Century Gothic" w:hAnsi="Century Gothic"/>
        </w:rPr>
        <w:t xml:space="preserve">, Rancho </w:t>
      </w:r>
      <w:r w:rsidR="007557B6">
        <w:rPr>
          <w:rFonts w:ascii="Century Gothic" w:hAnsi="Century Gothic"/>
        </w:rPr>
        <w:t>ELIMINADO</w:t>
      </w:r>
      <w:r w:rsidR="007A05E5" w:rsidRPr="00EE7ABD">
        <w:rPr>
          <w:rFonts w:ascii="Century Gothic" w:hAnsi="Century Gothic"/>
        </w:rPr>
        <w:t xml:space="preserve"> en ciudad Valles, S.L.P.,</w:t>
      </w:r>
      <w:r w:rsidR="007A05E5">
        <w:rPr>
          <w:rFonts w:ascii="Century Gothic" w:hAnsi="Century Gothic"/>
        </w:rPr>
        <w:t xml:space="preserve"> y no en el ubicado en Avenida </w:t>
      </w:r>
      <w:r w:rsidR="007557B6">
        <w:rPr>
          <w:rFonts w:ascii="Century Gothic" w:hAnsi="Century Gothic"/>
        </w:rPr>
        <w:t>ELIMINADO</w:t>
      </w:r>
      <w:r w:rsidR="007A05E5">
        <w:rPr>
          <w:rFonts w:ascii="Century Gothic" w:hAnsi="Century Gothic"/>
        </w:rPr>
        <w:t xml:space="preserve"> número (sic) que es el domicilio autorizado para o</w:t>
      </w:r>
      <w:r w:rsidR="00FE0838">
        <w:rPr>
          <w:rFonts w:ascii="Century Gothic" w:hAnsi="Century Gothic"/>
        </w:rPr>
        <w:t>ír notificaciones;</w:t>
      </w:r>
      <w:r w:rsidR="007A05E5">
        <w:rPr>
          <w:rFonts w:ascii="Century Gothic" w:hAnsi="Century Gothic"/>
        </w:rPr>
        <w:t xml:space="preserve"> </w:t>
      </w:r>
      <w:r w:rsidR="00FE0838">
        <w:rPr>
          <w:rFonts w:ascii="Century Gothic" w:hAnsi="Century Gothic"/>
        </w:rPr>
        <w:t>que el auto que admitió a trámite el incidente, ordenó darle vista</w:t>
      </w:r>
      <w:r w:rsidR="001520C4">
        <w:rPr>
          <w:rFonts w:ascii="Century Gothic" w:hAnsi="Century Gothic"/>
        </w:rPr>
        <w:t xml:space="preserve"> </w:t>
      </w:r>
      <w:r w:rsidR="001520C4" w:rsidRPr="00EE7ABD">
        <w:rPr>
          <w:rFonts w:ascii="Century Gothic" w:hAnsi="Century Gothic"/>
          <w:bCs/>
          <w:lang w:eastAsia="es-MX"/>
        </w:rPr>
        <w:t>con las copias simples de la p</w:t>
      </w:r>
      <w:r w:rsidR="001520C4">
        <w:rPr>
          <w:rFonts w:ascii="Century Gothic" w:hAnsi="Century Gothic"/>
          <w:bCs/>
          <w:lang w:eastAsia="es-MX"/>
        </w:rPr>
        <w:t>l</w:t>
      </w:r>
      <w:r w:rsidR="001520C4" w:rsidRPr="00EE7ABD">
        <w:rPr>
          <w:rFonts w:ascii="Century Gothic" w:hAnsi="Century Gothic"/>
          <w:bCs/>
          <w:lang w:eastAsia="es-MX"/>
        </w:rPr>
        <w:t>anilla,</w:t>
      </w:r>
      <w:r w:rsidR="001520C4">
        <w:rPr>
          <w:rFonts w:ascii="Century Gothic" w:hAnsi="Century Gothic"/>
        </w:rPr>
        <w:t xml:space="preserve"> l</w:t>
      </w:r>
      <w:r w:rsidR="001520C4">
        <w:rPr>
          <w:rFonts w:ascii="Century Gothic" w:hAnsi="Century Gothic"/>
          <w:bCs/>
          <w:lang w:eastAsia="es-MX"/>
        </w:rPr>
        <w:t>o que en su opinión</w:t>
      </w:r>
      <w:r w:rsidR="001520C4" w:rsidRPr="00EE7ABD">
        <w:rPr>
          <w:rFonts w:ascii="Century Gothic" w:hAnsi="Century Gothic"/>
          <w:bCs/>
          <w:lang w:eastAsia="es-MX"/>
        </w:rPr>
        <w:t xml:space="preserve"> significa</w:t>
      </w:r>
      <w:r w:rsidR="001520C4">
        <w:rPr>
          <w:rFonts w:ascii="Century Gothic" w:hAnsi="Century Gothic"/>
          <w:bCs/>
          <w:lang w:eastAsia="es-MX"/>
        </w:rPr>
        <w:t>ba</w:t>
      </w:r>
      <w:r w:rsidR="001520C4" w:rsidRPr="00EE7ABD">
        <w:rPr>
          <w:rFonts w:ascii="Century Gothic" w:hAnsi="Century Gothic"/>
          <w:bCs/>
          <w:lang w:eastAsia="es-MX"/>
        </w:rPr>
        <w:t xml:space="preserve"> correr traslado para que estuviera en condiciones de impugnarlo</w:t>
      </w:r>
      <w:r w:rsidR="001520C4">
        <w:rPr>
          <w:rFonts w:ascii="Century Gothic" w:hAnsi="Century Gothic"/>
          <w:bCs/>
          <w:lang w:eastAsia="es-MX"/>
        </w:rPr>
        <w:t xml:space="preserve"> y/o </w:t>
      </w:r>
      <w:r w:rsidR="00FE0838" w:rsidRPr="00EE7ABD">
        <w:rPr>
          <w:rFonts w:ascii="Century Gothic" w:hAnsi="Century Gothic"/>
          <w:bCs/>
          <w:lang w:eastAsia="es-MX"/>
        </w:rPr>
        <w:t>expresar cualquier i</w:t>
      </w:r>
      <w:r w:rsidR="00FE0838">
        <w:rPr>
          <w:rFonts w:ascii="Century Gothic" w:hAnsi="Century Gothic"/>
          <w:bCs/>
          <w:lang w:eastAsia="es-MX"/>
        </w:rPr>
        <w:t xml:space="preserve">nconformidad sobre su contenido; </w:t>
      </w:r>
      <w:r w:rsidR="001520C4">
        <w:rPr>
          <w:rFonts w:ascii="Century Gothic" w:hAnsi="Century Gothic"/>
          <w:bCs/>
          <w:lang w:eastAsia="es-MX"/>
        </w:rPr>
        <w:t xml:space="preserve">que debió ser notificada </w:t>
      </w:r>
      <w:r w:rsidR="007A05E5">
        <w:rPr>
          <w:rFonts w:ascii="Century Gothic" w:hAnsi="Century Gothic"/>
        </w:rPr>
        <w:t xml:space="preserve">conforme lo establecido por los artículos 253, 254, 778 y </w:t>
      </w:r>
      <w:r w:rsidR="007A05E5" w:rsidRPr="00F44889">
        <w:rPr>
          <w:rFonts w:ascii="Century Gothic" w:hAnsi="Century Gothic"/>
        </w:rPr>
        <w:t>109 fracciones III y IV</w:t>
      </w:r>
      <w:r w:rsidR="007A05E5">
        <w:rPr>
          <w:rStyle w:val="Refdenotaalpie"/>
          <w:rFonts w:ascii="Century Gothic" w:hAnsi="Century Gothic"/>
        </w:rPr>
        <w:footnoteReference w:id="22"/>
      </w:r>
      <w:r w:rsidR="007A05E5" w:rsidRPr="00F44889">
        <w:rPr>
          <w:rFonts w:ascii="Century Gothic" w:hAnsi="Century Gothic"/>
        </w:rPr>
        <w:t>,</w:t>
      </w:r>
      <w:r w:rsidR="007A05E5">
        <w:rPr>
          <w:rFonts w:ascii="Century Gothic" w:hAnsi="Century Gothic"/>
        </w:rPr>
        <w:t xml:space="preserve"> </w:t>
      </w:r>
      <w:r w:rsidR="007A05E5" w:rsidRPr="00F44889">
        <w:rPr>
          <w:rFonts w:ascii="Century Gothic" w:hAnsi="Century Gothic"/>
        </w:rPr>
        <w:t>de</w:t>
      </w:r>
      <w:r w:rsidR="007A05E5">
        <w:rPr>
          <w:rFonts w:ascii="Century Gothic" w:hAnsi="Century Gothic"/>
        </w:rPr>
        <w:t xml:space="preserve"> </w:t>
      </w:r>
      <w:r w:rsidR="007A05E5" w:rsidRPr="00F44889">
        <w:rPr>
          <w:rFonts w:ascii="Century Gothic" w:hAnsi="Century Gothic"/>
        </w:rPr>
        <w:t>l</w:t>
      </w:r>
      <w:r w:rsidR="001520C4">
        <w:rPr>
          <w:rFonts w:ascii="Century Gothic" w:hAnsi="Century Gothic"/>
        </w:rPr>
        <w:t xml:space="preserve">a Ley Adjetiva Civil; que el </w:t>
      </w:r>
      <w:r w:rsidR="00FE0838">
        <w:rPr>
          <w:rFonts w:ascii="Century Gothic" w:hAnsi="Century Gothic"/>
          <w:bCs/>
          <w:lang w:eastAsia="es-MX"/>
        </w:rPr>
        <w:t xml:space="preserve">incidente fue admitido y tramitado </w:t>
      </w:r>
      <w:r w:rsidR="00FE0838" w:rsidRPr="00EE7ABD">
        <w:rPr>
          <w:rFonts w:ascii="Century Gothic" w:hAnsi="Century Gothic"/>
        </w:rPr>
        <w:t>por el juez de la causa conforme al artíc</w:t>
      </w:r>
      <w:r w:rsidR="001520C4">
        <w:rPr>
          <w:rFonts w:ascii="Century Gothic" w:hAnsi="Century Gothic"/>
        </w:rPr>
        <w:t>ulo 75 de la Ley Procesal Civil;</w:t>
      </w:r>
      <w:r w:rsidR="00FE0838" w:rsidRPr="00EE7ABD">
        <w:rPr>
          <w:rFonts w:ascii="Century Gothic" w:hAnsi="Century Gothic"/>
        </w:rPr>
        <w:t xml:space="preserve"> de ahí que, atendiendo a la naturaleza de la multicit</w:t>
      </w:r>
      <w:r w:rsidR="00FE0838">
        <w:rPr>
          <w:rFonts w:ascii="Century Gothic" w:hAnsi="Century Gothic"/>
        </w:rPr>
        <w:t xml:space="preserve">ada interlocutoria, </w:t>
      </w:r>
      <w:r w:rsidR="001520C4">
        <w:rPr>
          <w:rFonts w:ascii="Century Gothic" w:hAnsi="Century Gothic"/>
        </w:rPr>
        <w:t xml:space="preserve">este Tribunal en Pleno </w:t>
      </w:r>
      <w:r w:rsidR="00FE0838">
        <w:rPr>
          <w:rFonts w:ascii="Century Gothic" w:hAnsi="Century Gothic"/>
        </w:rPr>
        <w:t>concluye que resolvió</w:t>
      </w:r>
      <w:r w:rsidR="00FE0838" w:rsidRPr="00EE7ABD">
        <w:rPr>
          <w:rFonts w:ascii="Century Gothic" w:hAnsi="Century Gothic"/>
        </w:rPr>
        <w:t xml:space="preserve"> un incidente de nulidad de notificaciones por defectos en el emplazamiento</w:t>
      </w:r>
      <w:r w:rsidR="00FE0838">
        <w:rPr>
          <w:rFonts w:ascii="Century Gothic" w:hAnsi="Century Gothic"/>
        </w:rPr>
        <w:t xml:space="preserve"> hecho valer en contra de la forma en que fue notificada o llamada la quejosa al incidente de costas y gastos</w:t>
      </w:r>
      <w:r w:rsidR="00FE0838" w:rsidRPr="00EE7ABD">
        <w:rPr>
          <w:rFonts w:ascii="Century Gothic" w:hAnsi="Century Gothic"/>
        </w:rPr>
        <w:t xml:space="preserve">, </w:t>
      </w:r>
      <w:r w:rsidR="00FE0838">
        <w:rPr>
          <w:rFonts w:ascii="Century Gothic" w:hAnsi="Century Gothic"/>
        </w:rPr>
        <w:t>por tanto</w:t>
      </w:r>
      <w:r w:rsidR="00FE0838" w:rsidRPr="00EE7ABD">
        <w:rPr>
          <w:rFonts w:ascii="Century Gothic" w:hAnsi="Century Gothic"/>
        </w:rPr>
        <w:t>, sí es combatible, a través del recurso de apelación, mismo que al ser casuístico, se encuentra previsto en las disposiciones legales antes trascritas y debidamente analizadas, en especial la regla establecida por el artículo 75 del citado ordenamiento.</w:t>
      </w:r>
    </w:p>
    <w:p w:rsidR="004D09D1" w:rsidRPr="00981D80" w:rsidRDefault="004D09D1" w:rsidP="00D03144">
      <w:pPr>
        <w:pStyle w:val="Normal0"/>
        <w:spacing w:after="360" w:line="360" w:lineRule="auto"/>
        <w:ind w:firstLine="851"/>
        <w:jc w:val="both"/>
        <w:rPr>
          <w:rFonts w:ascii="Century Gothic" w:hAnsi="Century Gothic"/>
        </w:rPr>
      </w:pPr>
      <w:r>
        <w:rPr>
          <w:rFonts w:ascii="Century Gothic" w:hAnsi="Century Gothic"/>
        </w:rPr>
        <w:t xml:space="preserve">Sobre el particular, tiene aplicación, como criterio orientador </w:t>
      </w:r>
      <w:r w:rsidRPr="00981D80">
        <w:rPr>
          <w:rFonts w:ascii="Century Gothic" w:hAnsi="Century Gothic"/>
        </w:rPr>
        <w:t xml:space="preserve">la Tesis Aislada de la Novena Época, emanada de los Tribunales </w:t>
      </w:r>
      <w:r w:rsidRPr="00981D80">
        <w:rPr>
          <w:rFonts w:ascii="Century Gothic" w:hAnsi="Century Gothic"/>
        </w:rPr>
        <w:lastRenderedPageBreak/>
        <w:t xml:space="preserve">Colegiados de Circuito, Tomo XXII, </w:t>
      </w:r>
      <w:proofErr w:type="gramStart"/>
      <w:r w:rsidRPr="00981D80">
        <w:rPr>
          <w:rFonts w:ascii="Century Gothic" w:hAnsi="Century Gothic"/>
        </w:rPr>
        <w:t>Agosto</w:t>
      </w:r>
      <w:proofErr w:type="gramEnd"/>
      <w:r w:rsidRPr="00981D80">
        <w:rPr>
          <w:rFonts w:ascii="Century Gothic" w:hAnsi="Century Gothic"/>
        </w:rPr>
        <w:t xml:space="preserve"> de 2005, Tesis: IX 2º., 33 C., Página: 1993., con Registro: 177490., bajo el rubro: </w:t>
      </w:r>
    </w:p>
    <w:p w:rsidR="004D09D1" w:rsidRDefault="004D09D1" w:rsidP="00D03144">
      <w:pPr>
        <w:spacing w:after="360" w:line="360" w:lineRule="auto"/>
        <w:ind w:firstLine="851"/>
        <w:jc w:val="both"/>
        <w:rPr>
          <w:rFonts w:ascii="Century Gothic" w:eastAsia="Times New Roman" w:hAnsi="Century Gothic"/>
          <w:color w:val="000000"/>
          <w:lang w:eastAsia="es-MX"/>
        </w:rPr>
      </w:pPr>
      <w:r w:rsidRPr="00ED3742">
        <w:rPr>
          <w:rFonts w:ascii="Century Gothic" w:eastAsia="Times New Roman" w:hAnsi="Century Gothic"/>
          <w:bCs/>
          <w:color w:val="000000"/>
          <w:sz w:val="24"/>
          <w:szCs w:val="24"/>
          <w:lang w:eastAsia="es-MX"/>
        </w:rPr>
        <w:t>“</w:t>
      </w:r>
      <w:r w:rsidRPr="00ED3742">
        <w:rPr>
          <w:rFonts w:ascii="Century Gothic" w:eastAsia="Times New Roman" w:hAnsi="Century Gothic"/>
          <w:b/>
          <w:bCs/>
          <w:color w:val="000000"/>
          <w:sz w:val="24"/>
          <w:szCs w:val="24"/>
          <w:lang w:eastAsia="es-MX"/>
        </w:rPr>
        <w:t xml:space="preserve">QUEJA. ES IMPROCEDENTE ESTE RECURSO CONTRA LA INTERLOCUTORIA QUE DECIDE UN INCIDENTE DE NULIDAD DE ACTUACIONES TRAMITADO EN EL PERIODO DE EJECUCIÓN DE SENTENCIA (LEGISLACIÓN DEL </w:t>
      </w:r>
      <w:r w:rsidRPr="0056222D">
        <w:rPr>
          <w:rFonts w:ascii="Century Gothic" w:eastAsia="Times New Roman" w:hAnsi="Century Gothic"/>
          <w:b/>
          <w:bCs/>
          <w:sz w:val="24"/>
          <w:szCs w:val="24"/>
          <w:lang w:eastAsia="es-MX"/>
        </w:rPr>
        <w:t xml:space="preserve">ESTADO DE SAN LUIS POTOSÍ). </w:t>
      </w:r>
      <w:r w:rsidRPr="00D03144">
        <w:rPr>
          <w:rFonts w:ascii="Century Gothic" w:eastAsia="Times New Roman" w:hAnsi="Century Gothic"/>
          <w:lang w:eastAsia="es-MX"/>
        </w:rPr>
        <w:t xml:space="preserve">El artículo </w:t>
      </w:r>
      <w:r w:rsidRPr="00D03144">
        <w:rPr>
          <w:rFonts w:ascii="Century Gothic" w:eastAsia="Times New Roman" w:hAnsi="Century Gothic"/>
          <w:u w:val="single"/>
          <w:lang w:eastAsia="es-MX"/>
        </w:rPr>
        <w:t>971, fracción II, del Código de Procedimientos Civiles</w:t>
      </w:r>
      <w:r w:rsidRPr="00D03144">
        <w:rPr>
          <w:rFonts w:ascii="Century Gothic" w:eastAsia="Times New Roman" w:hAnsi="Century Gothic"/>
          <w:lang w:eastAsia="es-MX"/>
        </w:rPr>
        <w:t xml:space="preserve"> de esta entidad federativa dispone: "El recurso de queja procederá: ... II. Respecto de las interlocutorias dictadas en la ejecución de sentencias.". Por su parte, el diverso numeral </w:t>
      </w:r>
      <w:r w:rsidRPr="00D03144">
        <w:rPr>
          <w:rFonts w:ascii="Century Gothic" w:eastAsia="Times New Roman" w:hAnsi="Century Gothic"/>
          <w:u w:val="single"/>
          <w:lang w:eastAsia="es-MX"/>
        </w:rPr>
        <w:t>75</w:t>
      </w:r>
      <w:r w:rsidRPr="00D03144">
        <w:rPr>
          <w:rFonts w:ascii="Century Gothic" w:eastAsia="Times New Roman" w:hAnsi="Century Gothic"/>
          <w:lang w:eastAsia="es-MX"/>
        </w:rPr>
        <w:t xml:space="preserve"> de dicho ordenamiento legal establece en su primer párrafo, lo siguiente: </w:t>
      </w:r>
      <w:r w:rsidRPr="00D03144">
        <w:rPr>
          <w:rFonts w:ascii="Century Gothic" w:eastAsia="Times New Roman" w:hAnsi="Century Gothic"/>
          <w:color w:val="000000"/>
          <w:lang w:eastAsia="es-MX"/>
        </w:rPr>
        <w:t xml:space="preserve">"Las nulidades a que se refiere el artículo anterior se promoverán ante el mismo Juez o tribunal que conozca del negocio. Si la parte contraria estuviere conforme, se declarará desde luego la nulidad de lo actuado desde la notificación hecha indebidamente. Si no estuviere conforme, se convocará a una audiencia que tendrá verificativo a más tardar dentro de cinco días, en la que los interesados podrán presentar las pruebas que tuvieren. En la misma audiencia se resolverá lo que procediere en justicia, sin recurso alguno, salvo que se trate de nulidades por falta de emplazamiento, de citación para absolver posiciones o para reconocimiento de documentos, que serán apelables.". Del examen sistemático y lógico-jurídico de los preceptos legales transcritos se advierte que, contra la interlocutoria que decide un incidente de nulidad de actuaciones tramitado en el periodo de ejecución de sentencia, no procede el recurso de queja previsto por el indicado numeral 971, fracción II. Ello, porque tratándose de interpretación de normas existe el principio de que una regla general debe ceder ante la especial y, por tanto, en casos como el que aquí nos ocupa, el precepto legal aplicable lo es el citado </w:t>
      </w:r>
      <w:r w:rsidRPr="00D03144">
        <w:rPr>
          <w:rFonts w:ascii="Century Gothic" w:eastAsia="Times New Roman" w:hAnsi="Century Gothic"/>
          <w:lang w:eastAsia="es-MX"/>
        </w:rPr>
        <w:t xml:space="preserve">artículo </w:t>
      </w:r>
      <w:r w:rsidRPr="00D03144">
        <w:rPr>
          <w:rFonts w:ascii="Century Gothic" w:eastAsia="Times New Roman" w:hAnsi="Century Gothic"/>
          <w:u w:val="single"/>
          <w:lang w:eastAsia="es-MX"/>
        </w:rPr>
        <w:t>75</w:t>
      </w:r>
      <w:r w:rsidRPr="00D03144">
        <w:rPr>
          <w:rFonts w:ascii="Century Gothic" w:eastAsia="Times New Roman" w:hAnsi="Century Gothic"/>
          <w:lang w:eastAsia="es-MX"/>
        </w:rPr>
        <w:t xml:space="preserve">. En </w:t>
      </w:r>
      <w:r w:rsidRPr="00D03144">
        <w:rPr>
          <w:rFonts w:ascii="Century Gothic" w:eastAsia="Times New Roman" w:hAnsi="Century Gothic"/>
          <w:color w:val="000000"/>
          <w:lang w:eastAsia="es-MX"/>
        </w:rPr>
        <w:t xml:space="preserve">efecto, el mencionado artículo 971, fracción II, que contiene la regla genérica relativa a que el recurso de queja procede contra las interlocutorias dictadas en la ejecución de sentencias, no puede, válidamente, estar por encima de lo que </w:t>
      </w:r>
      <w:r w:rsidRPr="00D03144">
        <w:rPr>
          <w:rFonts w:ascii="Century Gothic" w:eastAsia="Times New Roman" w:hAnsi="Century Gothic"/>
          <w:lang w:eastAsia="es-MX"/>
        </w:rPr>
        <w:t xml:space="preserve">previene el diverso </w:t>
      </w:r>
      <w:r w:rsidRPr="00D03144">
        <w:rPr>
          <w:rFonts w:ascii="Century Gothic" w:eastAsia="Times New Roman" w:hAnsi="Century Gothic"/>
          <w:u w:val="single"/>
          <w:lang w:eastAsia="es-MX"/>
        </w:rPr>
        <w:t>75</w:t>
      </w:r>
      <w:r w:rsidRPr="00D03144">
        <w:rPr>
          <w:rFonts w:ascii="Century Gothic" w:eastAsia="Times New Roman" w:hAnsi="Century Gothic"/>
          <w:lang w:eastAsia="es-MX"/>
        </w:rPr>
        <w:t xml:space="preserve">, en razón de que, en este último, se contiene una regla específica, por cuanto en él se regulan solamente los problemas de nulidad de actuaciones. En consecuencia, </w:t>
      </w:r>
      <w:r w:rsidRPr="00D03144">
        <w:rPr>
          <w:rFonts w:ascii="Century Gothic" w:eastAsia="Times New Roman" w:hAnsi="Century Gothic"/>
          <w:b/>
          <w:lang w:eastAsia="es-MX"/>
        </w:rPr>
        <w:t xml:space="preserve">se concluye, que una interlocutoria que decide un incidente de nulidad de actuaciones tramitado en el periodo de ejecución de sentencia, de acuerdo con la legislación del Estado de San Luis Potosí, es irrecurrible, con independencia de que "tienda", o no, a la ejecución de la sentencia, porque en términos del propio artículo </w:t>
      </w:r>
      <w:r w:rsidRPr="00D03144">
        <w:rPr>
          <w:rFonts w:ascii="Century Gothic" w:eastAsia="Times New Roman" w:hAnsi="Century Gothic"/>
          <w:b/>
          <w:u w:val="single"/>
          <w:lang w:eastAsia="es-MX"/>
        </w:rPr>
        <w:t>75</w:t>
      </w:r>
      <w:r w:rsidRPr="00D03144">
        <w:rPr>
          <w:rFonts w:ascii="Century Gothic" w:eastAsia="Times New Roman" w:hAnsi="Century Gothic"/>
          <w:b/>
          <w:lang w:eastAsia="es-MX"/>
        </w:rPr>
        <w:t>, en contra de las resoluc</w:t>
      </w:r>
      <w:r w:rsidRPr="00D03144">
        <w:rPr>
          <w:rFonts w:ascii="Century Gothic" w:eastAsia="Times New Roman" w:hAnsi="Century Gothic"/>
          <w:b/>
          <w:color w:val="000000"/>
          <w:lang w:eastAsia="es-MX"/>
        </w:rPr>
        <w:t xml:space="preserve">iones que se dicten en un incidente de nulidad de </w:t>
      </w:r>
      <w:r w:rsidRPr="00D03144">
        <w:rPr>
          <w:rFonts w:ascii="Century Gothic" w:eastAsia="Times New Roman" w:hAnsi="Century Gothic"/>
          <w:b/>
          <w:color w:val="000000"/>
          <w:lang w:eastAsia="es-MX"/>
        </w:rPr>
        <w:lastRenderedPageBreak/>
        <w:t>actuaciones no procede recurso alguno,</w:t>
      </w:r>
      <w:r w:rsidRPr="00D03144">
        <w:rPr>
          <w:rFonts w:ascii="Century Gothic" w:eastAsia="Times New Roman" w:hAnsi="Century Gothic"/>
          <w:color w:val="000000"/>
          <w:lang w:eastAsia="es-MX"/>
        </w:rPr>
        <w:t xml:space="preserve"> salvo que se trate de </w:t>
      </w:r>
      <w:r w:rsidRPr="00D03144">
        <w:rPr>
          <w:rFonts w:ascii="Century Gothic" w:eastAsia="Times New Roman" w:hAnsi="Century Gothic"/>
          <w:b/>
          <w:color w:val="000000"/>
          <w:u w:val="single"/>
          <w:lang w:eastAsia="es-MX"/>
        </w:rPr>
        <w:t>nulidades por falta de emplazamiento, de citación para absolver posiciones o para reconocimiento de documentos</w:t>
      </w:r>
      <w:r w:rsidRPr="00D03144">
        <w:rPr>
          <w:rFonts w:ascii="Century Gothic" w:eastAsia="Times New Roman" w:hAnsi="Century Gothic"/>
          <w:color w:val="000000"/>
          <w:lang w:eastAsia="es-MX"/>
        </w:rPr>
        <w:t>, que serán apelables, hipótesis éstas en las que no encuadra el caso en estudio”.</w:t>
      </w:r>
    </w:p>
    <w:p w:rsidR="004358B2" w:rsidRPr="001456F1" w:rsidRDefault="004358B2" w:rsidP="00790819">
      <w:pPr>
        <w:pStyle w:val="Normal1"/>
        <w:spacing w:after="360" w:line="360" w:lineRule="auto"/>
        <w:ind w:firstLine="851"/>
        <w:jc w:val="both"/>
        <w:rPr>
          <w:rFonts w:ascii="Century Gothic" w:hAnsi="Century Gothic" w:cs="Arial"/>
          <w:b/>
          <w:bCs/>
          <w:color w:val="auto"/>
          <w:lang w:eastAsia="en-US"/>
        </w:rPr>
      </w:pPr>
      <w:r w:rsidRPr="001456F1">
        <w:rPr>
          <w:rFonts w:ascii="Century Gothic" w:hAnsi="Century Gothic" w:cs="Arial"/>
          <w:b/>
          <w:bCs/>
          <w:color w:val="auto"/>
          <w:lang w:eastAsia="en-US"/>
        </w:rPr>
        <w:t xml:space="preserve">SEXTO. </w:t>
      </w:r>
      <w:r w:rsidRPr="001456F1">
        <w:rPr>
          <w:rFonts w:ascii="Century Gothic" w:hAnsi="Century Gothic" w:cs="Arial"/>
          <w:b/>
          <w:bCs/>
          <w:color w:val="auto"/>
        </w:rPr>
        <w:t>Decisión</w:t>
      </w:r>
      <w:r w:rsidR="00221D57" w:rsidRPr="001456F1">
        <w:rPr>
          <w:rFonts w:ascii="Century Gothic" w:hAnsi="Century Gothic" w:cs="Arial"/>
          <w:b/>
          <w:bCs/>
          <w:color w:val="auto"/>
        </w:rPr>
        <w:t>.</w:t>
      </w:r>
    </w:p>
    <w:p w:rsidR="001116FE" w:rsidRPr="009D1962" w:rsidRDefault="009D1962" w:rsidP="00D03144">
      <w:pPr>
        <w:spacing w:after="360" w:line="360" w:lineRule="auto"/>
        <w:ind w:firstLine="851"/>
        <w:jc w:val="both"/>
        <w:rPr>
          <w:rFonts w:ascii="Century Gothic" w:hAnsi="Century Gothic" w:cs="Arial"/>
          <w:sz w:val="24"/>
          <w:szCs w:val="24"/>
        </w:rPr>
      </w:pPr>
      <w:r w:rsidRPr="009D1962">
        <w:rPr>
          <w:rFonts w:ascii="Century Gothic" w:hAnsi="Century Gothic" w:cs="Arial"/>
          <w:sz w:val="24"/>
          <w:szCs w:val="24"/>
        </w:rPr>
        <w:t xml:space="preserve">En consecuencia, siendo fundado el agravio de la quejosa, lo procedente es dejar sin efecto el auto del </w:t>
      </w:r>
      <w:r w:rsidRPr="009D1962">
        <w:rPr>
          <w:rFonts w:ascii="Century Gothic" w:hAnsi="Century Gothic" w:cs="Tahoma"/>
          <w:sz w:val="24"/>
          <w:szCs w:val="24"/>
        </w:rPr>
        <w:t xml:space="preserve">19 diecinueve de agosto del 2020 dos mil veinte, dictado por la Secretaria de Acuerdos del Juzgado Primero Civil del Sexto Distrito Judicial del Estado, como </w:t>
      </w:r>
      <w:r>
        <w:rPr>
          <w:rFonts w:ascii="Century Gothic" w:hAnsi="Century Gothic" w:cs="Arial"/>
          <w:sz w:val="24"/>
          <w:szCs w:val="24"/>
        </w:rPr>
        <w:t>encargada del despacho por ministerio de l</w:t>
      </w:r>
      <w:r w:rsidRPr="009D1962">
        <w:rPr>
          <w:rFonts w:ascii="Century Gothic" w:hAnsi="Century Gothic" w:cs="Arial"/>
          <w:sz w:val="24"/>
          <w:szCs w:val="24"/>
        </w:rPr>
        <w:t xml:space="preserve">ey y, en su lugar, ordenar al titular del juzgado del conocimiento </w:t>
      </w:r>
      <w:r w:rsidRPr="009D1962">
        <w:rPr>
          <w:rFonts w:ascii="Century Gothic" w:hAnsi="Century Gothic" w:cs="Tahoma"/>
          <w:sz w:val="24"/>
          <w:szCs w:val="24"/>
        </w:rPr>
        <w:t>de no advertir la existencia de algún otro motivo notorio e indudable de improcedencia legal para la admisión del recurso de apelación</w:t>
      </w:r>
      <w:r>
        <w:rPr>
          <w:rFonts w:ascii="Century Gothic" w:hAnsi="Century Gothic" w:cs="Arial"/>
          <w:sz w:val="24"/>
          <w:szCs w:val="24"/>
        </w:rPr>
        <w:t>, dicte</w:t>
      </w:r>
      <w:r w:rsidRPr="009D1962">
        <w:rPr>
          <w:rFonts w:ascii="Century Gothic" w:hAnsi="Century Gothic" w:cs="Arial"/>
          <w:sz w:val="24"/>
          <w:szCs w:val="24"/>
        </w:rPr>
        <w:t xml:space="preserve"> otro proveído </w:t>
      </w:r>
      <w:r>
        <w:rPr>
          <w:rFonts w:ascii="Century Gothic" w:hAnsi="Century Gothic" w:cs="Arial"/>
          <w:sz w:val="24"/>
          <w:szCs w:val="24"/>
        </w:rPr>
        <w:t>mediante el cual</w:t>
      </w:r>
      <w:r w:rsidRPr="009D1962">
        <w:rPr>
          <w:rFonts w:ascii="Century Gothic" w:hAnsi="Century Gothic" w:cs="Arial"/>
          <w:sz w:val="24"/>
          <w:szCs w:val="24"/>
        </w:rPr>
        <w:t>, admita a trámite, en el efecto devolutivo, el recurs</w:t>
      </w:r>
      <w:r>
        <w:rPr>
          <w:rFonts w:ascii="Century Gothic" w:hAnsi="Century Gothic" w:cs="Arial"/>
          <w:sz w:val="24"/>
          <w:szCs w:val="24"/>
        </w:rPr>
        <w:t xml:space="preserve">o de apelación interpuesto por </w:t>
      </w:r>
      <w:r w:rsidRPr="009D1962">
        <w:rPr>
          <w:rFonts w:ascii="Century Gothic" w:hAnsi="Century Gothic" w:cs="Arial"/>
          <w:sz w:val="24"/>
          <w:szCs w:val="24"/>
        </w:rPr>
        <w:t>l</w:t>
      </w:r>
      <w:r>
        <w:rPr>
          <w:rFonts w:ascii="Century Gothic" w:hAnsi="Century Gothic" w:cs="Arial"/>
          <w:sz w:val="24"/>
          <w:szCs w:val="24"/>
        </w:rPr>
        <w:t xml:space="preserve">a demandada </w:t>
      </w:r>
      <w:proofErr w:type="spellStart"/>
      <w:r>
        <w:rPr>
          <w:rFonts w:ascii="Century Gothic" w:hAnsi="Century Gothic" w:cs="Arial"/>
          <w:sz w:val="24"/>
          <w:szCs w:val="24"/>
        </w:rPr>
        <w:t>incidentista</w:t>
      </w:r>
      <w:proofErr w:type="spellEnd"/>
      <w:r>
        <w:rPr>
          <w:rFonts w:ascii="Century Gothic" w:hAnsi="Century Gothic" w:cs="Arial"/>
          <w:sz w:val="24"/>
          <w:szCs w:val="24"/>
        </w:rPr>
        <w:t xml:space="preserve">, </w:t>
      </w:r>
      <w:r w:rsidR="007557B6">
        <w:rPr>
          <w:rFonts w:ascii="Century Gothic" w:hAnsi="Century Gothic" w:cs="Tahoma"/>
          <w:sz w:val="24"/>
          <w:szCs w:val="24"/>
        </w:rPr>
        <w:t>ELIMINADO</w:t>
      </w:r>
      <w:r>
        <w:rPr>
          <w:rFonts w:ascii="Century Gothic" w:hAnsi="Century Gothic" w:cs="Tahoma"/>
          <w:sz w:val="24"/>
          <w:szCs w:val="24"/>
        </w:rPr>
        <w:t>.</w:t>
      </w:r>
    </w:p>
    <w:p w:rsidR="004358B2" w:rsidRPr="001456F1" w:rsidRDefault="004358B2" w:rsidP="00790819">
      <w:pPr>
        <w:pStyle w:val="Normal0"/>
        <w:spacing w:after="360" w:line="360" w:lineRule="auto"/>
        <w:ind w:firstLine="851"/>
        <w:jc w:val="both"/>
        <w:rPr>
          <w:rStyle w:val="Caracteresdenotaalpie"/>
          <w:rFonts w:ascii="Century Gothic" w:hAnsi="Century Gothic"/>
          <w:b/>
          <w:bCs/>
          <w:shd w:val="clear" w:color="auto" w:fill="FFFFFF"/>
          <w:lang w:eastAsia="hi-IN" w:bidi="hi-IN"/>
        </w:rPr>
      </w:pPr>
      <w:r w:rsidRPr="001456F1">
        <w:rPr>
          <w:rFonts w:ascii="Century Gothic" w:hAnsi="Century Gothic"/>
          <w:b/>
          <w:bCs/>
        </w:rPr>
        <w:t>O</w:t>
      </w:r>
      <w:r w:rsidR="00231BEC">
        <w:rPr>
          <w:rFonts w:ascii="Century Gothic" w:hAnsi="Century Gothic"/>
          <w:b/>
          <w:bCs/>
        </w:rPr>
        <w:t>CTAVO</w:t>
      </w:r>
      <w:r w:rsidRPr="001456F1">
        <w:rPr>
          <w:rFonts w:ascii="Century Gothic" w:hAnsi="Century Gothic"/>
          <w:b/>
          <w:bCs/>
        </w:rPr>
        <w:t xml:space="preserve">. </w:t>
      </w:r>
      <w:r w:rsidRPr="001456F1">
        <w:rPr>
          <w:rStyle w:val="Caracteresdenotaalpie"/>
          <w:rFonts w:ascii="Century Gothic" w:hAnsi="Century Gothic"/>
          <w:b/>
          <w:bCs/>
          <w:shd w:val="clear" w:color="auto" w:fill="FFFFFF"/>
          <w:lang w:eastAsia="hi-IN" w:bidi="hi-IN"/>
        </w:rPr>
        <w:t>Transparencia</w:t>
      </w:r>
      <w:r w:rsidR="00221D57" w:rsidRPr="001456F1">
        <w:rPr>
          <w:rStyle w:val="Caracteresdenotaalpie"/>
          <w:rFonts w:ascii="Century Gothic" w:hAnsi="Century Gothic"/>
          <w:b/>
          <w:bCs/>
          <w:shd w:val="clear" w:color="auto" w:fill="FFFFFF"/>
          <w:lang w:eastAsia="hi-IN" w:bidi="hi-IN"/>
        </w:rPr>
        <w:t>.</w:t>
      </w:r>
    </w:p>
    <w:p w:rsidR="004358B2" w:rsidRPr="001456F1" w:rsidRDefault="004358B2" w:rsidP="00790819">
      <w:pPr>
        <w:spacing w:after="360" w:line="360" w:lineRule="auto"/>
        <w:ind w:firstLine="851"/>
        <w:jc w:val="both"/>
        <w:rPr>
          <w:rFonts w:ascii="Century Gothic" w:hAnsi="Century Gothic" w:cs="Arial"/>
          <w:sz w:val="24"/>
          <w:szCs w:val="24"/>
        </w:rPr>
      </w:pPr>
      <w:r w:rsidRPr="001456F1">
        <w:rPr>
          <w:rFonts w:ascii="Century Gothic" w:hAnsi="Century Gothic" w:cs="Arial"/>
          <w:sz w:val="24"/>
          <w:szCs w:val="24"/>
        </w:rPr>
        <w:t xml:space="preserve">En otro aspecto, con fundamento en los artículos 73, fracción II, de la Ley General de Transparencia y Acceso a la Información Pública y 87, fracción III, de la Ley de Transparencia y Acceso a la Información Pública del Estado de San Luis Potosí, se hace del conocimiento de las partes que todas las sentencias definitivas, interlocutorias y cumplimentaciones de resoluciones de amparo que causen estado o ejecutoria estarán a disposición del público para su consulta mediante plataforma electrónica, como establece el numeral 49 de la ley general. Sin embargo, para que pueda permitirse el acceso a la información confidencial, sensible y datos personales que identifican o hacen identificable a una persona física, se requiere el consentimiento de quien acredite ser titular de la información, lo anterior sin perjuicio de la protección que por mandato constitucional se realice de oficio. Asimismo, al tenor de los artículos 82 del Código Nacional de Procedimientos Penales, 1068 del Código de Comercio y 121 del Código de Procedimientos Civiles para el estado, se publicarán el nombre y apellidos completos de los interesados en los asuntos jurisdiccionales que se notifiquen por edictos, estrados, listas, así como </w:t>
      </w:r>
      <w:r w:rsidRPr="001456F1">
        <w:rPr>
          <w:rFonts w:ascii="Century Gothic" w:hAnsi="Century Gothic" w:cs="Arial"/>
          <w:sz w:val="24"/>
          <w:szCs w:val="24"/>
        </w:rPr>
        <w:lastRenderedPageBreak/>
        <w:t>en la página de internet del Poder Judicial del Estado de San Luis Potosí.</w:t>
      </w:r>
    </w:p>
    <w:p w:rsidR="004358B2" w:rsidRPr="001456F1" w:rsidRDefault="00231BEC" w:rsidP="00790819">
      <w:pPr>
        <w:tabs>
          <w:tab w:val="left" w:pos="-16160"/>
        </w:tabs>
        <w:spacing w:after="360" w:line="360" w:lineRule="auto"/>
        <w:ind w:firstLine="851"/>
        <w:jc w:val="both"/>
        <w:rPr>
          <w:rStyle w:val="Caracteresdenotaalpie"/>
          <w:rFonts w:ascii="Century Gothic" w:hAnsi="Century Gothic" w:cs="Arial"/>
          <w:b/>
          <w:bCs/>
          <w:sz w:val="24"/>
          <w:szCs w:val="24"/>
          <w:shd w:val="clear" w:color="auto" w:fill="FFFFFF"/>
          <w:lang w:eastAsia="hi-IN" w:bidi="hi-IN"/>
        </w:rPr>
      </w:pPr>
      <w:r>
        <w:rPr>
          <w:rFonts w:ascii="Century Gothic" w:hAnsi="Century Gothic" w:cs="Arial"/>
          <w:b/>
          <w:bCs/>
          <w:sz w:val="24"/>
          <w:szCs w:val="24"/>
        </w:rPr>
        <w:t>NOVENO</w:t>
      </w:r>
      <w:r w:rsidR="00621A6D" w:rsidRPr="001456F1">
        <w:rPr>
          <w:rFonts w:ascii="Century Gothic" w:hAnsi="Century Gothic" w:cs="Arial"/>
          <w:b/>
          <w:bCs/>
          <w:sz w:val="24"/>
          <w:szCs w:val="24"/>
        </w:rPr>
        <w:t xml:space="preserve">. </w:t>
      </w:r>
      <w:r w:rsidR="004358B2" w:rsidRPr="001456F1">
        <w:rPr>
          <w:rStyle w:val="Caracteresdenotaalpie"/>
          <w:rFonts w:ascii="Century Gothic" w:hAnsi="Century Gothic" w:cs="Arial"/>
          <w:b/>
          <w:bCs/>
          <w:sz w:val="24"/>
          <w:szCs w:val="24"/>
          <w:shd w:val="clear" w:color="auto" w:fill="FFFFFF"/>
          <w:lang w:eastAsia="hi-IN" w:bidi="hi-IN"/>
        </w:rPr>
        <w:t>Notificación y archivo</w:t>
      </w:r>
      <w:r w:rsidR="00221D57" w:rsidRPr="001456F1">
        <w:rPr>
          <w:rStyle w:val="Caracteresdenotaalpie"/>
          <w:rFonts w:ascii="Century Gothic" w:hAnsi="Century Gothic" w:cs="Arial"/>
          <w:b/>
          <w:bCs/>
          <w:sz w:val="24"/>
          <w:szCs w:val="24"/>
          <w:shd w:val="clear" w:color="auto" w:fill="FFFFFF"/>
          <w:lang w:eastAsia="hi-IN" w:bidi="hi-IN"/>
        </w:rPr>
        <w:t>.</w:t>
      </w:r>
    </w:p>
    <w:p w:rsidR="004358B2" w:rsidRPr="001456F1" w:rsidRDefault="004358B2" w:rsidP="00790819">
      <w:pPr>
        <w:tabs>
          <w:tab w:val="left" w:pos="-16160"/>
        </w:tabs>
        <w:spacing w:after="360" w:line="360" w:lineRule="auto"/>
        <w:ind w:firstLine="851"/>
        <w:jc w:val="both"/>
        <w:rPr>
          <w:rStyle w:val="Caracteresdenotaalpie"/>
          <w:rFonts w:ascii="Century Gothic" w:hAnsi="Century Gothic" w:cs="Arial"/>
          <w:sz w:val="24"/>
          <w:szCs w:val="24"/>
          <w:shd w:val="clear" w:color="auto" w:fill="FFFFFF"/>
          <w:lang w:eastAsia="hi-IN" w:bidi="hi-IN"/>
        </w:rPr>
      </w:pPr>
      <w:r w:rsidRPr="001456F1">
        <w:rPr>
          <w:rStyle w:val="Caracteresdenotaalpie"/>
          <w:rFonts w:ascii="Century Gothic" w:hAnsi="Century Gothic" w:cs="Arial"/>
          <w:sz w:val="24"/>
          <w:szCs w:val="24"/>
          <w:shd w:val="clear" w:color="auto" w:fill="FFFFFF"/>
          <w:lang w:eastAsia="hi-IN" w:bidi="hi-IN"/>
        </w:rPr>
        <w:t>Finalmente, de conformidad con lo establecido en el numeral 109, fracciones III y IV, del Código de Procedimientos Civiles, se ordena notificar la presente resolución de manera personal a las partes.</w:t>
      </w:r>
    </w:p>
    <w:p w:rsidR="004358B2" w:rsidRPr="001456F1" w:rsidRDefault="004358B2" w:rsidP="00790819">
      <w:pPr>
        <w:tabs>
          <w:tab w:val="left" w:pos="1418"/>
        </w:tabs>
        <w:spacing w:after="360" w:line="360" w:lineRule="auto"/>
        <w:ind w:firstLine="851"/>
        <w:jc w:val="both"/>
        <w:rPr>
          <w:rStyle w:val="Caracteresdenotaalpie"/>
          <w:rFonts w:ascii="Century Gothic" w:hAnsi="Century Gothic" w:cs="Arial"/>
          <w:sz w:val="24"/>
          <w:szCs w:val="24"/>
          <w:shd w:val="clear" w:color="auto" w:fill="FFFFFF"/>
          <w:lang w:eastAsia="hi-IN" w:bidi="hi-IN"/>
        </w:rPr>
      </w:pPr>
      <w:r w:rsidRPr="001456F1">
        <w:rPr>
          <w:rStyle w:val="Caracteresdenotaalpie"/>
          <w:rFonts w:ascii="Century Gothic" w:hAnsi="Century Gothic" w:cs="Arial"/>
          <w:sz w:val="24"/>
          <w:szCs w:val="24"/>
          <w:shd w:val="clear" w:color="auto" w:fill="FFFFFF"/>
          <w:lang w:eastAsia="hi-IN" w:bidi="hi-IN"/>
        </w:rPr>
        <w:t xml:space="preserve">En su oportunidad, archívese </w:t>
      </w:r>
      <w:proofErr w:type="gramStart"/>
      <w:r w:rsidRPr="001456F1">
        <w:rPr>
          <w:rStyle w:val="Caracteresdenotaalpie"/>
          <w:rFonts w:ascii="Century Gothic" w:hAnsi="Century Gothic" w:cs="Arial"/>
          <w:sz w:val="24"/>
          <w:szCs w:val="24"/>
          <w:shd w:val="clear" w:color="auto" w:fill="FFFFFF"/>
          <w:lang w:eastAsia="hi-IN" w:bidi="hi-IN"/>
        </w:rPr>
        <w:t>el presente toca</w:t>
      </w:r>
      <w:proofErr w:type="gramEnd"/>
      <w:r w:rsidRPr="001456F1">
        <w:rPr>
          <w:rStyle w:val="Caracteresdenotaalpie"/>
          <w:rFonts w:ascii="Century Gothic" w:hAnsi="Century Gothic" w:cs="Arial"/>
          <w:sz w:val="24"/>
          <w:szCs w:val="24"/>
          <w:shd w:val="clear" w:color="auto" w:fill="FFFFFF"/>
          <w:lang w:eastAsia="hi-IN" w:bidi="hi-IN"/>
        </w:rPr>
        <w:t xml:space="preserve"> como asunto concluido.</w:t>
      </w:r>
    </w:p>
    <w:p w:rsidR="004358B2" w:rsidRPr="001456F1" w:rsidRDefault="004358B2" w:rsidP="00790819">
      <w:pPr>
        <w:spacing w:after="360" w:line="360" w:lineRule="auto"/>
        <w:ind w:firstLine="851"/>
        <w:jc w:val="both"/>
        <w:rPr>
          <w:rFonts w:ascii="Century Gothic" w:hAnsi="Century Gothic" w:cs="Arial"/>
          <w:sz w:val="24"/>
          <w:szCs w:val="24"/>
        </w:rPr>
      </w:pPr>
      <w:r w:rsidRPr="001456F1">
        <w:rPr>
          <w:rFonts w:ascii="Century Gothic" w:hAnsi="Century Gothic" w:cs="Arial"/>
          <w:sz w:val="24"/>
          <w:szCs w:val="24"/>
        </w:rPr>
        <w:t>Por lo anteriormente expuesto y con fundamento en lo dispuesto por los artículos 78, 81, 83, 87 y 975 del Código de Procedimientos Civiles, se resuelve:</w:t>
      </w:r>
    </w:p>
    <w:p w:rsidR="004358B2" w:rsidRDefault="004358B2" w:rsidP="00D03144">
      <w:pPr>
        <w:pStyle w:val="Textoindependiente"/>
        <w:spacing w:after="360" w:line="360" w:lineRule="auto"/>
        <w:ind w:firstLine="851"/>
        <w:rPr>
          <w:rFonts w:ascii="Century Gothic" w:hAnsi="Century Gothic" w:cs="Arial"/>
          <w:sz w:val="24"/>
          <w:szCs w:val="24"/>
        </w:rPr>
      </w:pPr>
      <w:r w:rsidRPr="001456F1">
        <w:rPr>
          <w:rFonts w:ascii="Century Gothic" w:hAnsi="Century Gothic" w:cs="Arial"/>
          <w:b/>
          <w:bCs/>
          <w:sz w:val="24"/>
          <w:szCs w:val="24"/>
        </w:rPr>
        <w:t xml:space="preserve">PRIMERO. </w:t>
      </w:r>
      <w:r w:rsidRPr="001456F1">
        <w:rPr>
          <w:rFonts w:ascii="Century Gothic" w:hAnsi="Century Gothic" w:cs="Arial"/>
          <w:sz w:val="24"/>
          <w:szCs w:val="24"/>
        </w:rPr>
        <w:t xml:space="preserve">El Pleno de </w:t>
      </w:r>
      <w:r w:rsidR="009D1962">
        <w:rPr>
          <w:rFonts w:ascii="Century Gothic" w:hAnsi="Century Gothic" w:cs="Arial"/>
          <w:sz w:val="24"/>
          <w:szCs w:val="24"/>
        </w:rPr>
        <w:t>este</w:t>
      </w:r>
      <w:r w:rsidRPr="001456F1">
        <w:rPr>
          <w:rFonts w:ascii="Century Gothic" w:hAnsi="Century Gothic" w:cs="Arial"/>
          <w:sz w:val="24"/>
          <w:szCs w:val="24"/>
        </w:rPr>
        <w:t xml:space="preserve"> Supremo Tribunal de Justicia del Estado es competente para conocer del presente recurso de queja.</w:t>
      </w:r>
    </w:p>
    <w:p w:rsidR="004358B2" w:rsidRDefault="004358B2" w:rsidP="00D03144">
      <w:pPr>
        <w:pStyle w:val="Textoindependiente"/>
        <w:spacing w:after="360" w:line="360" w:lineRule="auto"/>
        <w:ind w:firstLine="851"/>
        <w:rPr>
          <w:rFonts w:ascii="Century Gothic" w:hAnsi="Century Gothic" w:cs="Arial"/>
          <w:sz w:val="24"/>
          <w:szCs w:val="24"/>
        </w:rPr>
      </w:pPr>
      <w:r w:rsidRPr="001456F1">
        <w:rPr>
          <w:rFonts w:ascii="Century Gothic" w:hAnsi="Century Gothic" w:cs="Arial"/>
          <w:b/>
          <w:bCs/>
          <w:sz w:val="24"/>
          <w:szCs w:val="24"/>
        </w:rPr>
        <w:t xml:space="preserve">SEGUNDO. </w:t>
      </w:r>
      <w:r w:rsidR="001107B7" w:rsidRPr="001456F1">
        <w:rPr>
          <w:rFonts w:ascii="Century Gothic" w:hAnsi="Century Gothic" w:cs="Arial"/>
          <w:bCs/>
          <w:sz w:val="24"/>
          <w:szCs w:val="24"/>
        </w:rPr>
        <w:t>El</w:t>
      </w:r>
      <w:r w:rsidR="001107B7" w:rsidRPr="001456F1">
        <w:rPr>
          <w:rFonts w:ascii="Century Gothic" w:hAnsi="Century Gothic" w:cs="Arial"/>
          <w:b/>
          <w:bCs/>
          <w:sz w:val="24"/>
          <w:szCs w:val="24"/>
        </w:rPr>
        <w:t xml:space="preserve"> </w:t>
      </w:r>
      <w:r w:rsidR="00480611" w:rsidRPr="001456F1">
        <w:rPr>
          <w:rFonts w:ascii="Century Gothic" w:hAnsi="Century Gothic" w:cs="Arial"/>
          <w:bCs/>
          <w:sz w:val="24"/>
          <w:szCs w:val="24"/>
        </w:rPr>
        <w:t>único</w:t>
      </w:r>
      <w:r w:rsidR="00480611" w:rsidRPr="001456F1">
        <w:rPr>
          <w:rFonts w:ascii="Century Gothic" w:hAnsi="Century Gothic" w:cs="Arial"/>
          <w:b/>
          <w:bCs/>
          <w:sz w:val="24"/>
          <w:szCs w:val="24"/>
        </w:rPr>
        <w:t xml:space="preserve"> </w:t>
      </w:r>
      <w:r w:rsidRPr="001456F1">
        <w:rPr>
          <w:rFonts w:ascii="Century Gothic" w:hAnsi="Century Gothic" w:cs="Arial"/>
          <w:sz w:val="24"/>
          <w:szCs w:val="24"/>
        </w:rPr>
        <w:t>agravio hecho valer por</w:t>
      </w:r>
      <w:r w:rsidRPr="001456F1">
        <w:rPr>
          <w:rFonts w:ascii="Century Gothic" w:hAnsi="Century Gothic" w:cs="Arial"/>
          <w:b/>
          <w:bCs/>
          <w:sz w:val="24"/>
          <w:szCs w:val="24"/>
        </w:rPr>
        <w:t xml:space="preserve"> </w:t>
      </w:r>
      <w:r w:rsidR="007557B6">
        <w:rPr>
          <w:rFonts w:ascii="Century Gothic" w:hAnsi="Century Gothic" w:cs="Arial"/>
          <w:b/>
          <w:bCs/>
          <w:sz w:val="24"/>
          <w:szCs w:val="24"/>
        </w:rPr>
        <w:t>ELIMINADO</w:t>
      </w:r>
      <w:r w:rsidR="00D66BDC" w:rsidRPr="001456F1">
        <w:rPr>
          <w:rFonts w:ascii="Century Gothic" w:hAnsi="Century Gothic" w:cs="Arial"/>
          <w:b/>
          <w:bCs/>
          <w:sz w:val="24"/>
          <w:szCs w:val="24"/>
        </w:rPr>
        <w:t>,</w:t>
      </w:r>
      <w:r w:rsidRPr="001456F1">
        <w:rPr>
          <w:rFonts w:ascii="Century Gothic" w:hAnsi="Century Gothic" w:cs="Arial"/>
          <w:b/>
          <w:bCs/>
          <w:sz w:val="24"/>
          <w:szCs w:val="24"/>
        </w:rPr>
        <w:t xml:space="preserve"> </w:t>
      </w:r>
      <w:r w:rsidRPr="001456F1">
        <w:rPr>
          <w:rFonts w:ascii="Century Gothic" w:hAnsi="Century Gothic" w:cs="Arial"/>
          <w:sz w:val="24"/>
          <w:szCs w:val="24"/>
        </w:rPr>
        <w:t>result</w:t>
      </w:r>
      <w:r w:rsidR="001107B7" w:rsidRPr="001456F1">
        <w:rPr>
          <w:rFonts w:ascii="Century Gothic" w:hAnsi="Century Gothic" w:cs="Arial"/>
          <w:sz w:val="24"/>
          <w:szCs w:val="24"/>
        </w:rPr>
        <w:t>ó fundado</w:t>
      </w:r>
      <w:r w:rsidRPr="001456F1">
        <w:rPr>
          <w:rFonts w:ascii="Century Gothic" w:hAnsi="Century Gothic" w:cs="Arial"/>
          <w:sz w:val="24"/>
          <w:szCs w:val="24"/>
        </w:rPr>
        <w:t>.</w:t>
      </w:r>
    </w:p>
    <w:p w:rsidR="009D1962" w:rsidRPr="009D1962" w:rsidRDefault="009D1962" w:rsidP="00D03144">
      <w:pPr>
        <w:spacing w:after="360" w:line="360" w:lineRule="auto"/>
        <w:ind w:firstLine="851"/>
        <w:jc w:val="both"/>
        <w:rPr>
          <w:rFonts w:ascii="Century Gothic" w:hAnsi="Century Gothic" w:cs="Arial"/>
          <w:sz w:val="24"/>
          <w:szCs w:val="24"/>
        </w:rPr>
      </w:pPr>
      <w:r w:rsidRPr="009D1962">
        <w:rPr>
          <w:rFonts w:ascii="Century Gothic" w:hAnsi="Century Gothic" w:cs="Arial"/>
          <w:b/>
          <w:bCs/>
          <w:sz w:val="24"/>
          <w:szCs w:val="24"/>
        </w:rPr>
        <w:t xml:space="preserve">TERCERO. </w:t>
      </w:r>
      <w:r w:rsidRPr="009D1962">
        <w:rPr>
          <w:rFonts w:ascii="Century Gothic" w:hAnsi="Century Gothic" w:cs="Arial"/>
          <w:bCs/>
          <w:sz w:val="24"/>
          <w:szCs w:val="24"/>
        </w:rPr>
        <w:t xml:space="preserve">En consecuencia, se </w:t>
      </w:r>
      <w:r w:rsidRPr="009D1962">
        <w:rPr>
          <w:rFonts w:ascii="Century Gothic" w:hAnsi="Century Gothic" w:cs="Arial"/>
          <w:sz w:val="24"/>
          <w:szCs w:val="24"/>
        </w:rPr>
        <w:t xml:space="preserve">deja sin efecto el auto del </w:t>
      </w:r>
      <w:r w:rsidR="000760E5" w:rsidRPr="001456F1">
        <w:rPr>
          <w:rFonts w:ascii="Century Gothic" w:hAnsi="Century Gothic"/>
          <w:sz w:val="24"/>
          <w:szCs w:val="24"/>
        </w:rPr>
        <w:t>19 diecinueve de agosto del 2020 dos mil veinte</w:t>
      </w:r>
      <w:r w:rsidRPr="009D1962">
        <w:rPr>
          <w:rFonts w:ascii="Century Gothic" w:hAnsi="Century Gothic" w:cs="Arial"/>
          <w:sz w:val="24"/>
          <w:szCs w:val="24"/>
        </w:rPr>
        <w:t xml:space="preserve">, </w:t>
      </w:r>
      <w:r w:rsidR="000760E5">
        <w:rPr>
          <w:rFonts w:ascii="Century Gothic" w:hAnsi="Century Gothic"/>
          <w:sz w:val="24"/>
          <w:szCs w:val="24"/>
        </w:rPr>
        <w:t>dictado por la secretaria de a</w:t>
      </w:r>
      <w:r w:rsidR="000760E5" w:rsidRPr="001456F1">
        <w:rPr>
          <w:rFonts w:ascii="Century Gothic" w:hAnsi="Century Gothic"/>
          <w:sz w:val="24"/>
          <w:szCs w:val="24"/>
        </w:rPr>
        <w:t xml:space="preserve">cuerdos del Juzgado Primero Civil del Sexto Distrito Judicial del Estado, como </w:t>
      </w:r>
      <w:r w:rsidR="000760E5">
        <w:rPr>
          <w:rFonts w:ascii="Century Gothic" w:hAnsi="Century Gothic" w:cs="Arial"/>
          <w:sz w:val="24"/>
          <w:szCs w:val="24"/>
        </w:rPr>
        <w:t>e</w:t>
      </w:r>
      <w:r w:rsidR="000760E5" w:rsidRPr="001456F1">
        <w:rPr>
          <w:rFonts w:ascii="Century Gothic" w:hAnsi="Century Gothic" w:cs="Arial"/>
          <w:sz w:val="24"/>
          <w:szCs w:val="24"/>
        </w:rPr>
        <w:t>n</w:t>
      </w:r>
      <w:r w:rsidR="000760E5">
        <w:rPr>
          <w:rFonts w:ascii="Century Gothic" w:hAnsi="Century Gothic" w:cs="Arial"/>
          <w:sz w:val="24"/>
          <w:szCs w:val="24"/>
        </w:rPr>
        <w:t>cargada del despacho por m</w:t>
      </w:r>
      <w:r w:rsidR="000760E5" w:rsidRPr="001456F1">
        <w:rPr>
          <w:rFonts w:ascii="Century Gothic" w:hAnsi="Century Gothic" w:cs="Arial"/>
          <w:sz w:val="24"/>
          <w:szCs w:val="24"/>
        </w:rPr>
        <w:t>iniste</w:t>
      </w:r>
      <w:r w:rsidR="000760E5">
        <w:rPr>
          <w:rFonts w:ascii="Century Gothic" w:hAnsi="Century Gothic" w:cs="Arial"/>
          <w:sz w:val="24"/>
          <w:szCs w:val="24"/>
        </w:rPr>
        <w:t>rio de l</w:t>
      </w:r>
      <w:r w:rsidR="000760E5" w:rsidRPr="001456F1">
        <w:rPr>
          <w:rFonts w:ascii="Century Gothic" w:hAnsi="Century Gothic" w:cs="Arial"/>
          <w:sz w:val="24"/>
          <w:szCs w:val="24"/>
        </w:rPr>
        <w:t>ey,</w:t>
      </w:r>
      <w:r w:rsidRPr="009D1962">
        <w:rPr>
          <w:rFonts w:ascii="Century Gothic" w:hAnsi="Century Gothic" w:cs="Arial"/>
          <w:sz w:val="24"/>
          <w:szCs w:val="24"/>
        </w:rPr>
        <w:t xml:space="preserve"> en el juic</w:t>
      </w:r>
      <w:r w:rsidR="000760E5">
        <w:rPr>
          <w:rFonts w:ascii="Century Gothic" w:hAnsi="Century Gothic" w:cs="Arial"/>
          <w:sz w:val="24"/>
          <w:szCs w:val="24"/>
        </w:rPr>
        <w:t>io ordinario civil 739/2016</w:t>
      </w:r>
      <w:r w:rsidRPr="009D1962">
        <w:rPr>
          <w:rFonts w:ascii="Century Gothic" w:hAnsi="Century Gothic" w:cs="Arial"/>
          <w:sz w:val="24"/>
          <w:szCs w:val="24"/>
        </w:rPr>
        <w:t xml:space="preserve">. </w:t>
      </w:r>
    </w:p>
    <w:p w:rsidR="000760E5" w:rsidRPr="000760E5" w:rsidRDefault="000760E5" w:rsidP="00D03144">
      <w:pPr>
        <w:spacing w:after="360" w:line="360" w:lineRule="auto"/>
        <w:ind w:firstLine="851"/>
        <w:jc w:val="both"/>
        <w:rPr>
          <w:rFonts w:ascii="Century Gothic" w:hAnsi="Century Gothic"/>
        </w:rPr>
      </w:pPr>
      <w:r w:rsidRPr="000760E5">
        <w:rPr>
          <w:rFonts w:ascii="Century Gothic" w:hAnsi="Century Gothic" w:cs="Arial"/>
          <w:b/>
          <w:sz w:val="24"/>
          <w:szCs w:val="24"/>
        </w:rPr>
        <w:t>CUARTO.</w:t>
      </w:r>
      <w:r w:rsidRPr="000760E5">
        <w:rPr>
          <w:rFonts w:ascii="Century Gothic" w:hAnsi="Century Gothic" w:cs="Arial"/>
          <w:sz w:val="24"/>
          <w:szCs w:val="24"/>
        </w:rPr>
        <w:t xml:space="preserve"> Asimismo, se instruye al titular del Juzgado Primero </w:t>
      </w:r>
      <w:r>
        <w:rPr>
          <w:rFonts w:ascii="Century Gothic" w:hAnsi="Century Gothic" w:cs="Arial"/>
          <w:sz w:val="24"/>
          <w:szCs w:val="24"/>
        </w:rPr>
        <w:t xml:space="preserve">Civil </w:t>
      </w:r>
      <w:r w:rsidRPr="000760E5">
        <w:rPr>
          <w:rFonts w:ascii="Century Gothic" w:hAnsi="Century Gothic" w:cs="Arial"/>
          <w:sz w:val="24"/>
          <w:szCs w:val="24"/>
        </w:rPr>
        <w:t xml:space="preserve">del </w:t>
      </w:r>
      <w:r>
        <w:rPr>
          <w:rFonts w:ascii="Century Gothic" w:hAnsi="Century Gothic" w:cs="Arial"/>
          <w:sz w:val="24"/>
          <w:szCs w:val="24"/>
        </w:rPr>
        <w:t>Sexto</w:t>
      </w:r>
      <w:r w:rsidRPr="000760E5">
        <w:rPr>
          <w:rFonts w:ascii="Century Gothic" w:hAnsi="Century Gothic" w:cs="Arial"/>
          <w:sz w:val="24"/>
          <w:szCs w:val="24"/>
        </w:rPr>
        <w:t xml:space="preserve"> Distrito Judicial para dictar otro proveído </w:t>
      </w:r>
      <w:r>
        <w:rPr>
          <w:rFonts w:ascii="Century Gothic" w:hAnsi="Century Gothic" w:cs="Arial"/>
          <w:sz w:val="24"/>
          <w:szCs w:val="24"/>
        </w:rPr>
        <w:t xml:space="preserve">en el que de </w:t>
      </w:r>
      <w:r w:rsidRPr="000760E5">
        <w:rPr>
          <w:rFonts w:ascii="Century Gothic" w:hAnsi="Century Gothic"/>
          <w:sz w:val="24"/>
          <w:szCs w:val="24"/>
        </w:rPr>
        <w:t xml:space="preserve">no advertir la existencia de algún otro motivo notorio e indudable de improcedencia legal para la admisión del recurso de apelación interpuesto por la quejosa </w:t>
      </w:r>
      <w:r w:rsidR="007557B6">
        <w:rPr>
          <w:rFonts w:ascii="Century Gothic" w:hAnsi="Century Gothic"/>
          <w:sz w:val="24"/>
          <w:szCs w:val="24"/>
        </w:rPr>
        <w:t>ELIMINADO</w:t>
      </w:r>
      <w:r w:rsidRPr="000760E5">
        <w:rPr>
          <w:rFonts w:ascii="Century Gothic" w:hAnsi="Century Gothic"/>
          <w:sz w:val="24"/>
          <w:szCs w:val="24"/>
        </w:rPr>
        <w:t xml:space="preserve">, en contra de la </w:t>
      </w:r>
      <w:r w:rsidRPr="000760E5">
        <w:rPr>
          <w:rFonts w:ascii="Century Gothic" w:hAnsi="Century Gothic" w:cs="Arial"/>
          <w:sz w:val="24"/>
          <w:szCs w:val="24"/>
        </w:rPr>
        <w:t>resolución dictada el 05 cinco de agosto del 2</w:t>
      </w:r>
      <w:r>
        <w:rPr>
          <w:rFonts w:ascii="Century Gothic" w:hAnsi="Century Gothic" w:cs="Arial"/>
          <w:sz w:val="24"/>
          <w:szCs w:val="24"/>
        </w:rPr>
        <w:t>020 dos mil veinte, relativa al incidente de nulidad de a</w:t>
      </w:r>
      <w:r w:rsidRPr="000760E5">
        <w:rPr>
          <w:rFonts w:ascii="Century Gothic" w:hAnsi="Century Gothic" w:cs="Arial"/>
          <w:sz w:val="24"/>
          <w:szCs w:val="24"/>
        </w:rPr>
        <w:t>ctuaciones por defectos en la notificación; admi</w:t>
      </w:r>
      <w:r>
        <w:rPr>
          <w:rFonts w:ascii="Century Gothic" w:hAnsi="Century Gothic" w:cs="Arial"/>
          <w:sz w:val="24"/>
          <w:szCs w:val="24"/>
        </w:rPr>
        <w:t>ta a trámite</w:t>
      </w:r>
      <w:r w:rsidRPr="000760E5">
        <w:rPr>
          <w:rFonts w:ascii="Century Gothic" w:hAnsi="Century Gothic" w:cs="Arial"/>
          <w:sz w:val="24"/>
          <w:szCs w:val="24"/>
        </w:rPr>
        <w:t xml:space="preserve">, </w:t>
      </w:r>
      <w:r>
        <w:rPr>
          <w:rFonts w:ascii="Century Gothic" w:hAnsi="Century Gothic" w:cs="Arial"/>
          <w:sz w:val="24"/>
          <w:szCs w:val="24"/>
        </w:rPr>
        <w:t xml:space="preserve">en el efecto devolutivo, </w:t>
      </w:r>
      <w:r w:rsidRPr="000760E5">
        <w:rPr>
          <w:rFonts w:ascii="Century Gothic" w:hAnsi="Century Gothic" w:cs="Arial"/>
          <w:sz w:val="24"/>
          <w:szCs w:val="24"/>
        </w:rPr>
        <w:t>y proceda a su tramitación legal para su envío a la Alzada.</w:t>
      </w:r>
    </w:p>
    <w:p w:rsidR="004358B2" w:rsidRPr="001456F1" w:rsidRDefault="000760E5" w:rsidP="00790819">
      <w:pPr>
        <w:pStyle w:val="Textoindependiente"/>
        <w:spacing w:after="360" w:line="360" w:lineRule="auto"/>
        <w:ind w:firstLine="851"/>
        <w:rPr>
          <w:rFonts w:ascii="Century Gothic" w:hAnsi="Century Gothic" w:cs="Arial"/>
          <w:sz w:val="24"/>
          <w:szCs w:val="24"/>
        </w:rPr>
      </w:pPr>
      <w:r>
        <w:rPr>
          <w:rFonts w:ascii="Century Gothic" w:hAnsi="Century Gothic" w:cs="Arial"/>
          <w:b/>
          <w:bCs/>
          <w:sz w:val="24"/>
          <w:szCs w:val="24"/>
        </w:rPr>
        <w:lastRenderedPageBreak/>
        <w:t>QUINTO</w:t>
      </w:r>
      <w:r w:rsidR="004358B2" w:rsidRPr="001456F1">
        <w:rPr>
          <w:rFonts w:ascii="Century Gothic" w:hAnsi="Century Gothic" w:cs="Arial"/>
          <w:b/>
          <w:bCs/>
          <w:sz w:val="24"/>
          <w:szCs w:val="24"/>
        </w:rPr>
        <w:t xml:space="preserve">. </w:t>
      </w:r>
      <w:r w:rsidR="004358B2" w:rsidRPr="001456F1">
        <w:rPr>
          <w:rFonts w:ascii="Century Gothic" w:hAnsi="Century Gothic" w:cs="Arial"/>
          <w:sz w:val="24"/>
          <w:szCs w:val="24"/>
        </w:rPr>
        <w:t>Al no existir inconformidad de las partes respecto a que sus datos personales se incluyan en la publicación de la sentencia, al efectuarse la misma inclúyanse tales datos, con la protección oficiosa que corresponda.</w:t>
      </w:r>
    </w:p>
    <w:p w:rsidR="004358B2" w:rsidRPr="001456F1" w:rsidRDefault="000760E5" w:rsidP="00790819">
      <w:pPr>
        <w:spacing w:after="360" w:line="360" w:lineRule="auto"/>
        <w:ind w:firstLine="851"/>
        <w:jc w:val="both"/>
        <w:rPr>
          <w:rFonts w:ascii="Century Gothic" w:hAnsi="Century Gothic" w:cs="Arial"/>
          <w:sz w:val="24"/>
          <w:szCs w:val="24"/>
        </w:rPr>
      </w:pPr>
      <w:r>
        <w:rPr>
          <w:rFonts w:ascii="Century Gothic" w:hAnsi="Century Gothic" w:cs="Arial"/>
          <w:b/>
          <w:bCs/>
          <w:sz w:val="24"/>
          <w:szCs w:val="24"/>
        </w:rPr>
        <w:t>SEXTO</w:t>
      </w:r>
      <w:r w:rsidR="00621A6D" w:rsidRPr="001456F1">
        <w:rPr>
          <w:rFonts w:ascii="Century Gothic" w:hAnsi="Century Gothic" w:cs="Arial"/>
          <w:b/>
          <w:bCs/>
          <w:sz w:val="24"/>
          <w:szCs w:val="24"/>
        </w:rPr>
        <w:t xml:space="preserve">. </w:t>
      </w:r>
      <w:r w:rsidR="004358B2" w:rsidRPr="001456F1">
        <w:rPr>
          <w:rFonts w:ascii="Century Gothic" w:hAnsi="Century Gothic" w:cs="Arial"/>
          <w:sz w:val="24"/>
          <w:szCs w:val="24"/>
        </w:rPr>
        <w:t xml:space="preserve">Envíese copia certificada de la presente resolución al Juez Primero Civil del Sexto Distrito Judicial de Ciudad Valles, S.L.P., para los efectos legales a que haya lugar, y en su oportunidad archívese </w:t>
      </w:r>
      <w:proofErr w:type="gramStart"/>
      <w:r w:rsidR="004358B2" w:rsidRPr="001456F1">
        <w:rPr>
          <w:rFonts w:ascii="Century Gothic" w:hAnsi="Century Gothic" w:cs="Arial"/>
          <w:sz w:val="24"/>
          <w:szCs w:val="24"/>
        </w:rPr>
        <w:t>el toca</w:t>
      </w:r>
      <w:proofErr w:type="gramEnd"/>
      <w:r w:rsidR="004358B2" w:rsidRPr="001456F1">
        <w:rPr>
          <w:rFonts w:ascii="Century Gothic" w:hAnsi="Century Gothic" w:cs="Arial"/>
          <w:sz w:val="24"/>
          <w:szCs w:val="24"/>
        </w:rPr>
        <w:t xml:space="preserve"> donde corresponda.</w:t>
      </w:r>
    </w:p>
    <w:p w:rsidR="004358B2" w:rsidRPr="001456F1" w:rsidRDefault="00605BF1" w:rsidP="00790819">
      <w:pPr>
        <w:pStyle w:val="Textoindependiente"/>
        <w:spacing w:after="360" w:line="360" w:lineRule="auto"/>
        <w:ind w:firstLine="851"/>
        <w:rPr>
          <w:rFonts w:ascii="Century Gothic" w:hAnsi="Century Gothic" w:cs="Arial"/>
          <w:sz w:val="24"/>
          <w:szCs w:val="24"/>
        </w:rPr>
      </w:pPr>
      <w:r>
        <w:rPr>
          <w:rFonts w:ascii="Century Gothic" w:hAnsi="Century Gothic" w:cs="Arial"/>
          <w:b/>
          <w:bCs/>
          <w:sz w:val="24"/>
          <w:szCs w:val="24"/>
        </w:rPr>
        <w:t>SÉPTIMO</w:t>
      </w:r>
      <w:r w:rsidR="00621A6D" w:rsidRPr="001456F1">
        <w:rPr>
          <w:rFonts w:ascii="Century Gothic" w:hAnsi="Century Gothic" w:cs="Arial"/>
          <w:b/>
          <w:bCs/>
          <w:sz w:val="24"/>
          <w:szCs w:val="24"/>
        </w:rPr>
        <w:t>.</w:t>
      </w:r>
      <w:r w:rsidR="004358B2" w:rsidRPr="001456F1">
        <w:rPr>
          <w:rFonts w:ascii="Century Gothic" w:hAnsi="Century Gothic" w:cs="Arial"/>
          <w:b/>
          <w:bCs/>
          <w:sz w:val="24"/>
          <w:szCs w:val="24"/>
        </w:rPr>
        <w:t xml:space="preserve"> </w:t>
      </w:r>
      <w:r w:rsidR="004358B2" w:rsidRPr="001456F1">
        <w:rPr>
          <w:rFonts w:ascii="Century Gothic" w:hAnsi="Century Gothic" w:cs="Arial"/>
          <w:sz w:val="24"/>
          <w:szCs w:val="24"/>
        </w:rPr>
        <w:t xml:space="preserve">Atendiendo al Considerando </w:t>
      </w:r>
      <w:r w:rsidR="00D37818" w:rsidRPr="001456F1">
        <w:rPr>
          <w:rFonts w:ascii="Century Gothic" w:hAnsi="Century Gothic" w:cs="Arial"/>
          <w:sz w:val="24"/>
          <w:szCs w:val="24"/>
        </w:rPr>
        <w:t xml:space="preserve">Séptimo </w:t>
      </w:r>
      <w:r w:rsidR="004358B2" w:rsidRPr="001456F1">
        <w:rPr>
          <w:rFonts w:ascii="Century Gothic" w:hAnsi="Century Gothic" w:cs="Arial"/>
          <w:sz w:val="24"/>
          <w:szCs w:val="24"/>
        </w:rPr>
        <w:t>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p>
    <w:p w:rsidR="004358B2" w:rsidRDefault="00605BF1" w:rsidP="00CE5938">
      <w:pPr>
        <w:pStyle w:val="Textoindependiente"/>
        <w:spacing w:after="360" w:line="360" w:lineRule="auto"/>
        <w:ind w:firstLine="851"/>
        <w:rPr>
          <w:rFonts w:ascii="Century Gothic" w:hAnsi="Century Gothic" w:cs="Arial"/>
          <w:sz w:val="24"/>
          <w:szCs w:val="24"/>
        </w:rPr>
      </w:pPr>
      <w:r>
        <w:rPr>
          <w:rFonts w:ascii="Century Gothic" w:hAnsi="Century Gothic" w:cs="Arial"/>
          <w:b/>
          <w:bCs/>
          <w:sz w:val="24"/>
          <w:szCs w:val="24"/>
        </w:rPr>
        <w:t>OCTAVO</w:t>
      </w:r>
      <w:r w:rsidR="00621A6D" w:rsidRPr="001456F1">
        <w:rPr>
          <w:rFonts w:ascii="Century Gothic" w:hAnsi="Century Gothic" w:cs="Arial"/>
          <w:b/>
          <w:bCs/>
          <w:sz w:val="24"/>
          <w:szCs w:val="24"/>
        </w:rPr>
        <w:t>.</w:t>
      </w:r>
      <w:r w:rsidR="004358B2" w:rsidRPr="001456F1">
        <w:rPr>
          <w:rFonts w:ascii="Century Gothic" w:hAnsi="Century Gothic" w:cs="Arial"/>
          <w:b/>
          <w:bCs/>
          <w:sz w:val="24"/>
          <w:szCs w:val="24"/>
        </w:rPr>
        <w:t xml:space="preserve"> </w:t>
      </w:r>
      <w:r w:rsidR="004358B2" w:rsidRPr="001456F1">
        <w:rPr>
          <w:rFonts w:ascii="Century Gothic" w:hAnsi="Century Gothic" w:cs="Arial"/>
          <w:sz w:val="24"/>
          <w:szCs w:val="24"/>
        </w:rPr>
        <w:t>Notifíquese personalmente, comuníquese y cúmplase.</w:t>
      </w:r>
    </w:p>
    <w:p w:rsidR="00BE538A" w:rsidRPr="00C46106" w:rsidRDefault="00BE538A" w:rsidP="00D52A1B">
      <w:pPr>
        <w:spacing w:after="0" w:line="360" w:lineRule="auto"/>
        <w:ind w:firstLine="851"/>
        <w:jc w:val="both"/>
        <w:rPr>
          <w:rFonts w:ascii="Century Gothic" w:hAnsi="Century Gothic" w:cs="Arial"/>
          <w:sz w:val="24"/>
          <w:szCs w:val="24"/>
        </w:rPr>
      </w:pPr>
      <w:r w:rsidRPr="001456F1">
        <w:rPr>
          <w:rFonts w:ascii="Century Gothic" w:hAnsi="Century Gothic" w:cs="Arial"/>
          <w:b/>
          <w:sz w:val="24"/>
          <w:szCs w:val="24"/>
        </w:rPr>
        <w:t>ASÍ,</w:t>
      </w:r>
      <w:r w:rsidRPr="001456F1">
        <w:rPr>
          <w:rFonts w:ascii="Century Gothic" w:hAnsi="Century Gothic" w:cs="Arial"/>
          <w:sz w:val="24"/>
          <w:szCs w:val="24"/>
        </w:rPr>
        <w:t xml:space="preserve"> por </w:t>
      </w:r>
      <w:r w:rsidR="00F72007">
        <w:rPr>
          <w:rFonts w:ascii="Century Gothic" w:hAnsi="Century Gothic" w:cs="Arial"/>
          <w:sz w:val="24"/>
          <w:szCs w:val="24"/>
        </w:rPr>
        <w:t>mayoría</w:t>
      </w:r>
      <w:r w:rsidRPr="001456F1">
        <w:rPr>
          <w:rFonts w:ascii="Century Gothic" w:hAnsi="Century Gothic" w:cs="Arial"/>
          <w:sz w:val="24"/>
          <w:szCs w:val="24"/>
        </w:rPr>
        <w:t xml:space="preserve"> del voto de los prese</w:t>
      </w:r>
      <w:r w:rsidR="00605BF1">
        <w:rPr>
          <w:rFonts w:ascii="Century Gothic" w:hAnsi="Century Gothic" w:cs="Arial"/>
          <w:sz w:val="24"/>
          <w:szCs w:val="24"/>
        </w:rPr>
        <w:t>ntes, lo resolvieron y firman la</w:t>
      </w:r>
      <w:r w:rsidRPr="001456F1">
        <w:rPr>
          <w:rFonts w:ascii="Century Gothic" w:hAnsi="Century Gothic" w:cs="Arial"/>
          <w:sz w:val="24"/>
          <w:szCs w:val="24"/>
        </w:rPr>
        <w:t>s</w:t>
      </w:r>
      <w:r w:rsidR="00605BF1">
        <w:rPr>
          <w:rFonts w:ascii="Century Gothic" w:hAnsi="Century Gothic" w:cs="Arial"/>
          <w:sz w:val="24"/>
          <w:szCs w:val="24"/>
        </w:rPr>
        <w:t xml:space="preserve"> y los </w:t>
      </w:r>
      <w:r w:rsidRPr="001456F1">
        <w:rPr>
          <w:rFonts w:ascii="Century Gothic" w:hAnsi="Century Gothic" w:cs="Arial"/>
          <w:sz w:val="24"/>
          <w:szCs w:val="24"/>
        </w:rPr>
        <w:t xml:space="preserve">Magistrados Olga Regina García López, Ma. Guadalupe Orozco Santiago, José Armando Martínez Vázquez, Carlos Alejandro Robledo Zapata, Luz María Enriqueta Cabrero Romero, Rebeca </w:t>
      </w:r>
      <w:proofErr w:type="spellStart"/>
      <w:r w:rsidRPr="001456F1">
        <w:rPr>
          <w:rFonts w:ascii="Century Gothic" w:hAnsi="Century Gothic" w:cs="Arial"/>
          <w:sz w:val="24"/>
          <w:szCs w:val="24"/>
        </w:rPr>
        <w:t>Anastacia</w:t>
      </w:r>
      <w:proofErr w:type="spellEnd"/>
      <w:r w:rsidRPr="001456F1">
        <w:rPr>
          <w:rFonts w:ascii="Century Gothic" w:hAnsi="Century Gothic" w:cs="Arial"/>
          <w:sz w:val="24"/>
          <w:szCs w:val="24"/>
        </w:rPr>
        <w:t xml:space="preserve"> Medina García, Juan Paulo Almazán </w:t>
      </w:r>
      <w:proofErr w:type="spellStart"/>
      <w:r w:rsidRPr="001456F1">
        <w:rPr>
          <w:rFonts w:ascii="Century Gothic" w:hAnsi="Century Gothic" w:cs="Arial"/>
          <w:sz w:val="24"/>
          <w:szCs w:val="24"/>
        </w:rPr>
        <w:t>Cue</w:t>
      </w:r>
      <w:proofErr w:type="spellEnd"/>
      <w:r w:rsidRPr="001456F1">
        <w:rPr>
          <w:rFonts w:ascii="Century Gothic" w:hAnsi="Century Gothic" w:cs="Arial"/>
          <w:sz w:val="24"/>
          <w:szCs w:val="24"/>
        </w:rPr>
        <w:t>, María Manuela García Cázares, María Elena Palomino Reyna, Jesús María Ponce de León Montes, Alejandro Hernández Castillo, Graciela Treviño Rodríguez y José Luis Ortiz Bravo</w:t>
      </w:r>
      <w:r w:rsidR="00F72007">
        <w:rPr>
          <w:rFonts w:ascii="Century Gothic" w:hAnsi="Century Gothic" w:cs="Arial"/>
          <w:sz w:val="24"/>
          <w:szCs w:val="24"/>
        </w:rPr>
        <w:t>;</w:t>
      </w:r>
      <w:r w:rsidRPr="001456F1">
        <w:rPr>
          <w:rFonts w:ascii="Century Gothic" w:hAnsi="Century Gothic" w:cs="Arial"/>
          <w:sz w:val="24"/>
          <w:szCs w:val="24"/>
        </w:rPr>
        <w:t xml:space="preserve"> </w:t>
      </w:r>
      <w:r w:rsidR="00F72007">
        <w:rPr>
          <w:rFonts w:ascii="Century Gothic" w:hAnsi="Century Gothic" w:cs="Arial"/>
          <w:sz w:val="24"/>
          <w:szCs w:val="24"/>
        </w:rPr>
        <w:t xml:space="preserve">y con dos votos en contra de las Magistradas </w:t>
      </w:r>
      <w:r w:rsidR="00F72007" w:rsidRPr="001456F1">
        <w:rPr>
          <w:rFonts w:ascii="Century Gothic" w:hAnsi="Century Gothic" w:cs="Arial"/>
          <w:sz w:val="24"/>
          <w:szCs w:val="24"/>
        </w:rPr>
        <w:t>Alma Delia González Centeno</w:t>
      </w:r>
      <w:r w:rsidR="00F72007">
        <w:rPr>
          <w:rFonts w:ascii="Century Gothic" w:hAnsi="Century Gothic" w:cs="Arial"/>
          <w:sz w:val="24"/>
          <w:szCs w:val="24"/>
        </w:rPr>
        <w:t xml:space="preserve"> y </w:t>
      </w:r>
      <w:r w:rsidR="00F72007" w:rsidRPr="001456F1">
        <w:rPr>
          <w:rFonts w:ascii="Century Gothic" w:hAnsi="Century Gothic" w:cs="Arial"/>
          <w:sz w:val="24"/>
          <w:szCs w:val="24"/>
        </w:rPr>
        <w:t>Aracely Amparan Madrigal</w:t>
      </w:r>
      <w:r w:rsidR="00F72007">
        <w:rPr>
          <w:rFonts w:ascii="Century Gothic" w:hAnsi="Century Gothic" w:cs="Arial"/>
          <w:sz w:val="24"/>
          <w:szCs w:val="24"/>
        </w:rPr>
        <w:t>,</w:t>
      </w:r>
      <w:r w:rsidR="00F72007" w:rsidRPr="001456F1">
        <w:rPr>
          <w:rFonts w:ascii="Century Gothic" w:hAnsi="Century Gothic" w:cs="Arial"/>
          <w:sz w:val="24"/>
          <w:szCs w:val="24"/>
        </w:rPr>
        <w:t xml:space="preserve"> </w:t>
      </w:r>
      <w:r w:rsidRPr="001456F1">
        <w:rPr>
          <w:rFonts w:ascii="Century Gothic" w:hAnsi="Century Gothic" w:cs="Arial"/>
          <w:sz w:val="24"/>
          <w:szCs w:val="24"/>
        </w:rPr>
        <w:t>quienes integran el Pleno del Supremo Tribunal de Justicia del Estado; siendo ponente la Magistrada</w:t>
      </w:r>
      <w:r w:rsidRPr="001456F1">
        <w:rPr>
          <w:rFonts w:ascii="Century Gothic" w:hAnsi="Century Gothic" w:cs="Arial"/>
          <w:b/>
          <w:bCs/>
          <w:sz w:val="24"/>
          <w:szCs w:val="24"/>
        </w:rPr>
        <w:t xml:space="preserve"> </w:t>
      </w:r>
      <w:r w:rsidRPr="001456F1">
        <w:rPr>
          <w:rFonts w:ascii="Century Gothic" w:hAnsi="Century Gothic" w:cs="Arial"/>
          <w:b/>
          <w:sz w:val="24"/>
          <w:szCs w:val="24"/>
        </w:rPr>
        <w:t>Graciela Treviño Rodríguez</w:t>
      </w:r>
      <w:r w:rsidRPr="001456F1">
        <w:rPr>
          <w:rFonts w:ascii="Century Gothic" w:hAnsi="Century Gothic" w:cs="Arial"/>
          <w:sz w:val="24"/>
          <w:szCs w:val="24"/>
        </w:rPr>
        <w:t xml:space="preserve">, quienes actúan con Secretaria General de Acuerdos, Licenciada Ma. del Rosario Torres Mancilla, que </w:t>
      </w:r>
      <w:r w:rsidRPr="00C46106">
        <w:rPr>
          <w:rFonts w:ascii="Century Gothic" w:hAnsi="Century Gothic" w:cs="Arial"/>
          <w:sz w:val="24"/>
          <w:szCs w:val="24"/>
        </w:rPr>
        <w:t xml:space="preserve">autoriza y da fe. </w:t>
      </w:r>
    </w:p>
    <w:p w:rsidR="00F72007" w:rsidRPr="00C46106" w:rsidRDefault="00F72007" w:rsidP="00910C28">
      <w:pPr>
        <w:spacing w:after="0" w:line="360" w:lineRule="auto"/>
        <w:ind w:firstLine="851"/>
        <w:jc w:val="both"/>
        <w:rPr>
          <w:rFonts w:ascii="Century Gothic" w:hAnsi="Century Gothic" w:cs="Arial"/>
          <w:sz w:val="20"/>
          <w:szCs w:val="20"/>
        </w:rPr>
      </w:pPr>
    </w:p>
    <w:p w:rsidR="00F72007" w:rsidRDefault="00F72007" w:rsidP="00910C28">
      <w:pPr>
        <w:spacing w:after="0" w:line="360" w:lineRule="auto"/>
        <w:ind w:firstLine="851"/>
        <w:jc w:val="both"/>
        <w:rPr>
          <w:rFonts w:ascii="Century Gothic" w:hAnsi="Century Gothic" w:cs="Arial"/>
          <w:sz w:val="20"/>
          <w:szCs w:val="20"/>
        </w:rPr>
      </w:pPr>
    </w:p>
    <w:p w:rsidR="00C00A21" w:rsidRDefault="00C00A21" w:rsidP="00910C28">
      <w:pPr>
        <w:spacing w:after="0" w:line="360" w:lineRule="auto"/>
        <w:ind w:firstLine="851"/>
        <w:jc w:val="both"/>
        <w:rPr>
          <w:rFonts w:ascii="Century Gothic" w:hAnsi="Century Gothic" w:cs="Arial"/>
          <w:sz w:val="20"/>
          <w:szCs w:val="20"/>
        </w:rPr>
      </w:pPr>
    </w:p>
    <w:p w:rsidR="00D03144" w:rsidRDefault="00D03144" w:rsidP="00910C28">
      <w:pPr>
        <w:spacing w:after="0" w:line="360" w:lineRule="auto"/>
        <w:ind w:firstLine="851"/>
        <w:jc w:val="both"/>
        <w:rPr>
          <w:rFonts w:ascii="Century Gothic" w:hAnsi="Century Gothic" w:cs="Arial"/>
          <w:sz w:val="20"/>
          <w:szCs w:val="20"/>
        </w:rPr>
      </w:pPr>
    </w:p>
    <w:p w:rsidR="00F72007" w:rsidRPr="00C46106" w:rsidRDefault="00F72007" w:rsidP="00910C28">
      <w:pPr>
        <w:spacing w:after="0" w:line="360" w:lineRule="auto"/>
        <w:ind w:firstLine="851"/>
        <w:jc w:val="both"/>
        <w:rPr>
          <w:rFonts w:ascii="Century Gothic" w:hAnsi="Century Gothic" w:cs="Arial"/>
          <w:sz w:val="20"/>
          <w:szCs w:val="20"/>
        </w:rPr>
      </w:pPr>
    </w:p>
    <w:p w:rsidR="00BE538A" w:rsidRPr="00C46106" w:rsidRDefault="00BE538A" w:rsidP="00910C28">
      <w:pPr>
        <w:pStyle w:val="Textoindependiente"/>
        <w:spacing w:line="360" w:lineRule="auto"/>
        <w:jc w:val="center"/>
        <w:rPr>
          <w:rFonts w:ascii="Century Gothic" w:hAnsi="Century Gothic" w:cs="Arial"/>
          <w:sz w:val="24"/>
          <w:szCs w:val="24"/>
        </w:rPr>
      </w:pPr>
      <w:r w:rsidRPr="00C46106">
        <w:rPr>
          <w:rFonts w:ascii="Century Gothic" w:hAnsi="Century Gothic" w:cs="Arial"/>
          <w:sz w:val="24"/>
          <w:szCs w:val="24"/>
        </w:rPr>
        <w:t>_____________________________</w:t>
      </w:r>
      <w:r w:rsidR="00835573" w:rsidRPr="00C46106">
        <w:rPr>
          <w:rFonts w:ascii="Century Gothic" w:hAnsi="Century Gothic" w:cs="Arial"/>
          <w:sz w:val="24"/>
          <w:szCs w:val="24"/>
        </w:rPr>
        <w:t>_____</w:t>
      </w:r>
    </w:p>
    <w:p w:rsidR="00BE538A" w:rsidRPr="00C46106" w:rsidRDefault="00AE07B1" w:rsidP="00BD114D">
      <w:pPr>
        <w:pStyle w:val="Textoindependiente"/>
        <w:spacing w:line="240" w:lineRule="auto"/>
        <w:jc w:val="center"/>
        <w:rPr>
          <w:rFonts w:ascii="Century Gothic" w:hAnsi="Century Gothic" w:cs="Arial"/>
          <w:sz w:val="24"/>
          <w:szCs w:val="24"/>
        </w:rPr>
      </w:pPr>
      <w:r w:rsidRPr="00C46106">
        <w:rPr>
          <w:rFonts w:ascii="Century Gothic" w:hAnsi="Century Gothic" w:cs="Arial"/>
          <w:sz w:val="24"/>
          <w:szCs w:val="24"/>
        </w:rPr>
        <w:t xml:space="preserve">Magda. </w:t>
      </w:r>
      <w:r w:rsidR="00BE538A" w:rsidRPr="00C46106">
        <w:rPr>
          <w:rFonts w:ascii="Century Gothic" w:hAnsi="Century Gothic" w:cs="Arial"/>
          <w:sz w:val="24"/>
          <w:szCs w:val="24"/>
        </w:rPr>
        <w:t>Olga Regina García López</w:t>
      </w:r>
    </w:p>
    <w:p w:rsidR="001F2F9C" w:rsidRPr="00C46106" w:rsidRDefault="001F2F9C" w:rsidP="00BD114D">
      <w:pPr>
        <w:spacing w:after="0" w:line="240" w:lineRule="auto"/>
        <w:jc w:val="center"/>
        <w:rPr>
          <w:rFonts w:ascii="Century Gothic" w:hAnsi="Century Gothic" w:cs="Arial"/>
          <w:sz w:val="24"/>
          <w:szCs w:val="24"/>
        </w:rPr>
      </w:pPr>
      <w:r w:rsidRPr="00C46106">
        <w:rPr>
          <w:rFonts w:ascii="Century Gothic" w:hAnsi="Century Gothic" w:cs="Arial"/>
          <w:sz w:val="24"/>
          <w:szCs w:val="24"/>
        </w:rPr>
        <w:t>Presidenta del Supremo Tribunal de Justicia del Estado.</w:t>
      </w:r>
    </w:p>
    <w:p w:rsidR="001F2F9C" w:rsidRPr="00C46106" w:rsidRDefault="001F2F9C" w:rsidP="00910C28">
      <w:pPr>
        <w:pStyle w:val="Textoindependiente"/>
        <w:spacing w:line="360" w:lineRule="auto"/>
        <w:ind w:firstLine="851"/>
        <w:jc w:val="center"/>
        <w:rPr>
          <w:rFonts w:ascii="Century Gothic" w:hAnsi="Century Gothic" w:cs="Arial"/>
          <w:sz w:val="24"/>
          <w:szCs w:val="24"/>
        </w:rPr>
      </w:pPr>
    </w:p>
    <w:p w:rsidR="00C46106" w:rsidRPr="002C237A" w:rsidRDefault="00C46106" w:rsidP="00910C28">
      <w:pPr>
        <w:pStyle w:val="Textoindependiente"/>
        <w:spacing w:line="360" w:lineRule="auto"/>
        <w:rPr>
          <w:rFonts w:ascii="Century Gothic" w:hAnsi="Century Gothic" w:cs="Arial"/>
          <w:sz w:val="22"/>
          <w:szCs w:val="22"/>
        </w:rPr>
      </w:pPr>
    </w:p>
    <w:p w:rsidR="00C46106" w:rsidRPr="002C237A" w:rsidRDefault="00C46106" w:rsidP="00910C28">
      <w:pPr>
        <w:pStyle w:val="Textoindependiente"/>
        <w:spacing w:line="360" w:lineRule="auto"/>
        <w:rPr>
          <w:rFonts w:ascii="Century Gothic" w:hAnsi="Century Gothic" w:cs="Arial"/>
          <w:sz w:val="22"/>
          <w:szCs w:val="22"/>
        </w:rPr>
      </w:pPr>
    </w:p>
    <w:p w:rsidR="00C46106" w:rsidRPr="002C237A" w:rsidRDefault="00910C28"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w:t>
      </w:r>
      <w:r w:rsidR="00CE7F6B">
        <w:rPr>
          <w:rFonts w:ascii="Century Gothic" w:hAnsi="Century Gothic" w:cs="Arial"/>
          <w:sz w:val="24"/>
          <w:szCs w:val="24"/>
        </w:rPr>
        <w:t>_________________________</w:t>
      </w:r>
    </w:p>
    <w:p w:rsidR="00C46106" w:rsidRPr="002C237A" w:rsidRDefault="00C46106"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 xml:space="preserve">Magda. Ma. Guadalupe Orozco Santiago </w:t>
      </w:r>
    </w:p>
    <w:p w:rsidR="00C46106" w:rsidRPr="002C237A" w:rsidRDefault="00C46106" w:rsidP="00910C28">
      <w:pPr>
        <w:pStyle w:val="Textoindependiente"/>
        <w:spacing w:line="360" w:lineRule="auto"/>
        <w:rPr>
          <w:rFonts w:ascii="Century Gothic" w:hAnsi="Century Gothic" w:cs="Arial"/>
          <w:sz w:val="22"/>
          <w:szCs w:val="22"/>
        </w:rPr>
      </w:pPr>
    </w:p>
    <w:p w:rsidR="00C46106" w:rsidRPr="002C237A" w:rsidRDefault="00C46106" w:rsidP="00910C28">
      <w:pPr>
        <w:pStyle w:val="Textoindependiente"/>
        <w:spacing w:line="360" w:lineRule="auto"/>
        <w:rPr>
          <w:rFonts w:ascii="Century Gothic" w:hAnsi="Century Gothic" w:cs="Arial"/>
          <w:sz w:val="22"/>
          <w:szCs w:val="22"/>
        </w:rPr>
      </w:pPr>
    </w:p>
    <w:p w:rsidR="00C46106" w:rsidRPr="002C237A" w:rsidRDefault="00910C28"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w:t>
      </w:r>
      <w:r w:rsidR="00CE7F6B">
        <w:rPr>
          <w:rFonts w:ascii="Century Gothic" w:hAnsi="Century Gothic" w:cs="Arial"/>
          <w:sz w:val="24"/>
          <w:szCs w:val="24"/>
        </w:rPr>
        <w:t>________________________</w:t>
      </w:r>
    </w:p>
    <w:p w:rsidR="00C46106" w:rsidRPr="002C237A" w:rsidRDefault="00C46106" w:rsidP="00910C28">
      <w:pPr>
        <w:pStyle w:val="Textoindependiente"/>
        <w:spacing w:line="360" w:lineRule="auto"/>
        <w:rPr>
          <w:rFonts w:ascii="Century Gothic" w:hAnsi="Century Gothic" w:cs="Arial"/>
          <w:sz w:val="24"/>
          <w:szCs w:val="24"/>
        </w:rPr>
      </w:pPr>
      <w:proofErr w:type="spellStart"/>
      <w:r w:rsidRPr="002C237A">
        <w:rPr>
          <w:rFonts w:ascii="Century Gothic" w:hAnsi="Century Gothic" w:cs="Arial"/>
          <w:sz w:val="24"/>
          <w:szCs w:val="24"/>
        </w:rPr>
        <w:t>Magdo</w:t>
      </w:r>
      <w:proofErr w:type="spellEnd"/>
      <w:r w:rsidRPr="002C237A">
        <w:rPr>
          <w:rFonts w:ascii="Century Gothic" w:hAnsi="Century Gothic" w:cs="Arial"/>
          <w:sz w:val="24"/>
          <w:szCs w:val="24"/>
        </w:rPr>
        <w:t xml:space="preserve">. José Armando Martínez Vázquez </w:t>
      </w:r>
    </w:p>
    <w:p w:rsidR="00910C28" w:rsidRPr="002C237A" w:rsidRDefault="00910C28" w:rsidP="00910C28">
      <w:pPr>
        <w:pStyle w:val="Textoindependiente"/>
        <w:spacing w:line="360" w:lineRule="auto"/>
        <w:rPr>
          <w:rFonts w:ascii="Century Gothic" w:hAnsi="Century Gothic" w:cs="Arial"/>
          <w:sz w:val="24"/>
          <w:szCs w:val="24"/>
        </w:rPr>
      </w:pPr>
    </w:p>
    <w:p w:rsidR="00910C28" w:rsidRPr="002C237A" w:rsidRDefault="00910C28" w:rsidP="00910C28">
      <w:pPr>
        <w:pStyle w:val="Textoindependiente"/>
        <w:spacing w:line="360" w:lineRule="auto"/>
        <w:rPr>
          <w:rFonts w:ascii="Century Gothic" w:hAnsi="Century Gothic" w:cs="Arial"/>
          <w:sz w:val="24"/>
          <w:szCs w:val="24"/>
        </w:rPr>
      </w:pPr>
    </w:p>
    <w:p w:rsidR="00910C28" w:rsidRPr="002C237A" w:rsidRDefault="00910C28"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________________________________________</w:t>
      </w:r>
    </w:p>
    <w:p w:rsidR="00C46106" w:rsidRPr="002C237A" w:rsidRDefault="00C46106" w:rsidP="00910C28">
      <w:pPr>
        <w:pStyle w:val="Textoindependiente"/>
        <w:spacing w:line="360" w:lineRule="auto"/>
        <w:rPr>
          <w:rFonts w:ascii="Century Gothic" w:hAnsi="Century Gothic" w:cs="Arial"/>
          <w:sz w:val="24"/>
          <w:szCs w:val="24"/>
        </w:rPr>
      </w:pPr>
      <w:proofErr w:type="spellStart"/>
      <w:r w:rsidRPr="002C237A">
        <w:rPr>
          <w:rFonts w:ascii="Century Gothic" w:hAnsi="Century Gothic" w:cs="Arial"/>
          <w:sz w:val="24"/>
          <w:szCs w:val="24"/>
        </w:rPr>
        <w:t>Magdo</w:t>
      </w:r>
      <w:proofErr w:type="spellEnd"/>
      <w:r w:rsidRPr="002C237A">
        <w:rPr>
          <w:rFonts w:ascii="Century Gothic" w:hAnsi="Century Gothic" w:cs="Arial"/>
          <w:sz w:val="24"/>
          <w:szCs w:val="24"/>
        </w:rPr>
        <w:t xml:space="preserve">. Carlos Alejandro Robledo Zapata </w:t>
      </w:r>
    </w:p>
    <w:p w:rsidR="00910C28" w:rsidRDefault="00910C28" w:rsidP="00910C28">
      <w:pPr>
        <w:pStyle w:val="Textoindependiente"/>
        <w:spacing w:line="360" w:lineRule="auto"/>
        <w:rPr>
          <w:rFonts w:ascii="Century Gothic" w:hAnsi="Century Gothic" w:cs="Arial"/>
          <w:sz w:val="22"/>
          <w:szCs w:val="22"/>
        </w:rPr>
      </w:pPr>
    </w:p>
    <w:p w:rsidR="00D03144" w:rsidRDefault="00D03144" w:rsidP="00910C28">
      <w:pPr>
        <w:pStyle w:val="Textoindependiente"/>
        <w:spacing w:line="360" w:lineRule="auto"/>
        <w:rPr>
          <w:rFonts w:ascii="Century Gothic" w:hAnsi="Century Gothic" w:cs="Arial"/>
          <w:sz w:val="22"/>
          <w:szCs w:val="22"/>
        </w:rPr>
      </w:pPr>
    </w:p>
    <w:p w:rsidR="00D03144" w:rsidRDefault="00D03144" w:rsidP="00910C28">
      <w:pPr>
        <w:pStyle w:val="Textoindependiente"/>
        <w:spacing w:line="360" w:lineRule="auto"/>
        <w:rPr>
          <w:rFonts w:ascii="Century Gothic" w:hAnsi="Century Gothic" w:cs="Arial"/>
          <w:sz w:val="22"/>
          <w:szCs w:val="22"/>
        </w:rPr>
      </w:pPr>
    </w:p>
    <w:p w:rsidR="00D03144" w:rsidRPr="002C237A" w:rsidRDefault="00D03144" w:rsidP="00910C28">
      <w:pPr>
        <w:pStyle w:val="Textoindependiente"/>
        <w:spacing w:line="360" w:lineRule="auto"/>
        <w:rPr>
          <w:rFonts w:ascii="Century Gothic" w:hAnsi="Century Gothic" w:cs="Arial"/>
          <w:sz w:val="22"/>
          <w:szCs w:val="22"/>
        </w:rPr>
      </w:pPr>
    </w:p>
    <w:p w:rsidR="00910C28" w:rsidRPr="002C237A" w:rsidRDefault="00910C28" w:rsidP="00910C28">
      <w:pPr>
        <w:pStyle w:val="Textoindependiente"/>
        <w:spacing w:line="360" w:lineRule="auto"/>
        <w:rPr>
          <w:rFonts w:ascii="Century Gothic" w:hAnsi="Century Gothic" w:cs="Arial"/>
          <w:sz w:val="22"/>
          <w:szCs w:val="22"/>
        </w:rPr>
      </w:pPr>
    </w:p>
    <w:p w:rsidR="00910C28" w:rsidRPr="002C237A" w:rsidRDefault="00910C28"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____________________________________________</w:t>
      </w:r>
    </w:p>
    <w:p w:rsidR="00C46106" w:rsidRPr="002C237A" w:rsidRDefault="00C46106"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 xml:space="preserve">Magda. Luz María Enriqueta Cabrero Romero </w:t>
      </w:r>
    </w:p>
    <w:p w:rsidR="00910C28" w:rsidRPr="002C237A" w:rsidRDefault="00910C28" w:rsidP="00910C28">
      <w:pPr>
        <w:pStyle w:val="Textoindependiente"/>
        <w:spacing w:line="360" w:lineRule="auto"/>
        <w:rPr>
          <w:rFonts w:ascii="Century Gothic" w:hAnsi="Century Gothic" w:cs="Arial"/>
          <w:sz w:val="24"/>
          <w:szCs w:val="24"/>
        </w:rPr>
      </w:pPr>
    </w:p>
    <w:p w:rsidR="00910C28" w:rsidRPr="002C237A" w:rsidRDefault="00910C28" w:rsidP="00910C28">
      <w:pPr>
        <w:pStyle w:val="Textoindependiente"/>
        <w:spacing w:line="360" w:lineRule="auto"/>
        <w:rPr>
          <w:rFonts w:ascii="Century Gothic" w:hAnsi="Century Gothic" w:cs="Arial"/>
          <w:sz w:val="24"/>
          <w:szCs w:val="24"/>
        </w:rPr>
      </w:pPr>
    </w:p>
    <w:p w:rsidR="00910C28" w:rsidRPr="002C237A" w:rsidRDefault="00910C28"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__________________________________________</w:t>
      </w:r>
    </w:p>
    <w:p w:rsidR="00C46106" w:rsidRPr="002C237A" w:rsidRDefault="00C46106"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 xml:space="preserve">Magda. Rebeca </w:t>
      </w:r>
      <w:proofErr w:type="spellStart"/>
      <w:r w:rsidRPr="002C237A">
        <w:rPr>
          <w:rFonts w:ascii="Century Gothic" w:hAnsi="Century Gothic" w:cs="Arial"/>
          <w:sz w:val="24"/>
          <w:szCs w:val="24"/>
        </w:rPr>
        <w:t>Anastacia</w:t>
      </w:r>
      <w:proofErr w:type="spellEnd"/>
      <w:r w:rsidRPr="002C237A">
        <w:rPr>
          <w:rFonts w:ascii="Century Gothic" w:hAnsi="Century Gothic" w:cs="Arial"/>
          <w:sz w:val="24"/>
          <w:szCs w:val="24"/>
        </w:rPr>
        <w:t xml:space="preserve"> Medina García </w:t>
      </w:r>
    </w:p>
    <w:p w:rsidR="00910C28" w:rsidRPr="00BD114D" w:rsidRDefault="00910C28" w:rsidP="00910C28">
      <w:pPr>
        <w:pStyle w:val="Textoindependiente"/>
        <w:spacing w:line="360" w:lineRule="auto"/>
        <w:rPr>
          <w:rFonts w:ascii="Century Gothic" w:hAnsi="Century Gothic" w:cs="Arial"/>
        </w:rPr>
      </w:pPr>
    </w:p>
    <w:p w:rsidR="00910C28" w:rsidRPr="00BD114D" w:rsidRDefault="00910C28" w:rsidP="00910C28">
      <w:pPr>
        <w:pStyle w:val="Textoindependiente"/>
        <w:spacing w:line="360" w:lineRule="auto"/>
        <w:rPr>
          <w:rFonts w:ascii="Century Gothic" w:hAnsi="Century Gothic" w:cs="Arial"/>
        </w:rPr>
      </w:pPr>
    </w:p>
    <w:p w:rsidR="00910C28" w:rsidRPr="002C237A" w:rsidRDefault="00910C28"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w:t>
      </w:r>
    </w:p>
    <w:p w:rsidR="00C46106" w:rsidRPr="002C237A" w:rsidRDefault="00C46106" w:rsidP="00910C28">
      <w:pPr>
        <w:pStyle w:val="Textoindependiente"/>
        <w:spacing w:line="360" w:lineRule="auto"/>
        <w:rPr>
          <w:rFonts w:ascii="Century Gothic" w:hAnsi="Century Gothic" w:cs="Arial"/>
          <w:sz w:val="24"/>
          <w:szCs w:val="24"/>
        </w:rPr>
      </w:pPr>
      <w:proofErr w:type="spellStart"/>
      <w:r w:rsidRPr="002C237A">
        <w:rPr>
          <w:rFonts w:ascii="Century Gothic" w:hAnsi="Century Gothic" w:cs="Arial"/>
          <w:sz w:val="24"/>
          <w:szCs w:val="24"/>
        </w:rPr>
        <w:t>Magdo</w:t>
      </w:r>
      <w:proofErr w:type="spellEnd"/>
      <w:r w:rsidRPr="002C237A">
        <w:rPr>
          <w:rFonts w:ascii="Century Gothic" w:hAnsi="Century Gothic" w:cs="Arial"/>
          <w:sz w:val="24"/>
          <w:szCs w:val="24"/>
        </w:rPr>
        <w:t xml:space="preserve">. Juan Paulo Almazán </w:t>
      </w:r>
      <w:proofErr w:type="spellStart"/>
      <w:r w:rsidRPr="002C237A">
        <w:rPr>
          <w:rFonts w:ascii="Century Gothic" w:hAnsi="Century Gothic" w:cs="Arial"/>
          <w:sz w:val="24"/>
          <w:szCs w:val="24"/>
        </w:rPr>
        <w:t>Cue</w:t>
      </w:r>
      <w:proofErr w:type="spellEnd"/>
      <w:r w:rsidRPr="002C237A">
        <w:rPr>
          <w:rFonts w:ascii="Century Gothic" w:hAnsi="Century Gothic" w:cs="Arial"/>
          <w:sz w:val="24"/>
          <w:szCs w:val="24"/>
        </w:rPr>
        <w:t xml:space="preserve"> </w:t>
      </w:r>
    </w:p>
    <w:p w:rsidR="002C237A" w:rsidRPr="002C237A" w:rsidRDefault="002C237A" w:rsidP="00910C28">
      <w:pPr>
        <w:pStyle w:val="Textoindependiente"/>
        <w:spacing w:line="360" w:lineRule="auto"/>
        <w:rPr>
          <w:rFonts w:ascii="Century Gothic" w:hAnsi="Century Gothic" w:cs="Arial"/>
          <w:sz w:val="22"/>
          <w:szCs w:val="22"/>
        </w:rPr>
      </w:pPr>
    </w:p>
    <w:p w:rsidR="002C237A" w:rsidRPr="002C237A" w:rsidRDefault="002C237A" w:rsidP="00910C28">
      <w:pPr>
        <w:pStyle w:val="Textoindependiente"/>
        <w:spacing w:line="360" w:lineRule="auto"/>
        <w:rPr>
          <w:rFonts w:ascii="Century Gothic" w:hAnsi="Century Gothic" w:cs="Arial"/>
          <w:sz w:val="22"/>
          <w:szCs w:val="22"/>
        </w:rPr>
      </w:pPr>
    </w:p>
    <w:p w:rsidR="002C237A" w:rsidRPr="002C237A" w:rsidRDefault="002C237A"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______________________________________</w:t>
      </w:r>
    </w:p>
    <w:p w:rsidR="00C46106" w:rsidRPr="002C237A" w:rsidRDefault="00C46106"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 xml:space="preserve">Magda. María Manuela García Cázares </w:t>
      </w:r>
    </w:p>
    <w:p w:rsidR="002C237A" w:rsidRPr="002C237A" w:rsidRDefault="002C237A" w:rsidP="00910C28">
      <w:pPr>
        <w:pStyle w:val="Textoindependiente"/>
        <w:spacing w:line="360" w:lineRule="auto"/>
        <w:rPr>
          <w:rFonts w:ascii="Century Gothic" w:hAnsi="Century Gothic" w:cs="Arial"/>
          <w:sz w:val="24"/>
          <w:szCs w:val="24"/>
        </w:rPr>
      </w:pPr>
    </w:p>
    <w:p w:rsidR="002C237A" w:rsidRPr="002C237A" w:rsidRDefault="002C237A" w:rsidP="00910C28">
      <w:pPr>
        <w:pStyle w:val="Textoindependiente"/>
        <w:spacing w:line="360" w:lineRule="auto"/>
        <w:rPr>
          <w:rFonts w:ascii="Century Gothic" w:hAnsi="Century Gothic" w:cs="Arial"/>
          <w:sz w:val="24"/>
          <w:szCs w:val="24"/>
        </w:rPr>
      </w:pPr>
    </w:p>
    <w:p w:rsidR="002C237A" w:rsidRPr="002C237A" w:rsidRDefault="002C237A"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lastRenderedPageBreak/>
        <w:t>____________________________________</w:t>
      </w:r>
    </w:p>
    <w:p w:rsidR="00C46106" w:rsidRPr="002C237A" w:rsidRDefault="00C46106"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 xml:space="preserve">Magda. María Elena Palomino Reyna </w:t>
      </w:r>
    </w:p>
    <w:p w:rsidR="002C237A" w:rsidRPr="002C237A" w:rsidRDefault="002C237A" w:rsidP="00910C28">
      <w:pPr>
        <w:pStyle w:val="Textoindependiente"/>
        <w:spacing w:line="360" w:lineRule="auto"/>
        <w:rPr>
          <w:rFonts w:ascii="Century Gothic" w:hAnsi="Century Gothic" w:cs="Arial"/>
          <w:sz w:val="22"/>
          <w:szCs w:val="22"/>
        </w:rPr>
      </w:pPr>
    </w:p>
    <w:p w:rsidR="002C237A" w:rsidRPr="002C237A" w:rsidRDefault="002C237A" w:rsidP="00910C28">
      <w:pPr>
        <w:pStyle w:val="Textoindependiente"/>
        <w:spacing w:line="360" w:lineRule="auto"/>
        <w:rPr>
          <w:rFonts w:ascii="Century Gothic" w:hAnsi="Century Gothic" w:cs="Arial"/>
          <w:sz w:val="22"/>
          <w:szCs w:val="22"/>
        </w:rPr>
      </w:pPr>
    </w:p>
    <w:p w:rsidR="002C237A" w:rsidRPr="002C237A" w:rsidRDefault="002C237A"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_____________________________________</w:t>
      </w:r>
    </w:p>
    <w:p w:rsidR="00C46106" w:rsidRPr="002C237A" w:rsidRDefault="00C46106"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 xml:space="preserve">Magda. Alma Delia González Centeno </w:t>
      </w:r>
    </w:p>
    <w:p w:rsidR="002C237A" w:rsidRPr="002C237A" w:rsidRDefault="002C237A" w:rsidP="00910C28">
      <w:pPr>
        <w:pStyle w:val="Textoindependiente"/>
        <w:spacing w:line="360" w:lineRule="auto"/>
        <w:rPr>
          <w:rFonts w:ascii="Century Gothic" w:hAnsi="Century Gothic" w:cs="Arial"/>
          <w:sz w:val="22"/>
          <w:szCs w:val="22"/>
        </w:rPr>
      </w:pPr>
    </w:p>
    <w:p w:rsidR="002C237A" w:rsidRPr="002C237A" w:rsidRDefault="002C237A" w:rsidP="00910C28">
      <w:pPr>
        <w:pStyle w:val="Textoindependiente"/>
        <w:spacing w:line="360" w:lineRule="auto"/>
        <w:rPr>
          <w:rFonts w:ascii="Century Gothic" w:hAnsi="Century Gothic" w:cs="Arial"/>
          <w:sz w:val="22"/>
          <w:szCs w:val="22"/>
        </w:rPr>
      </w:pPr>
    </w:p>
    <w:p w:rsidR="002C237A" w:rsidRPr="002C237A" w:rsidRDefault="002C237A"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__________________________________________</w:t>
      </w:r>
    </w:p>
    <w:p w:rsidR="00C46106" w:rsidRPr="002C237A" w:rsidRDefault="00C46106" w:rsidP="00910C28">
      <w:pPr>
        <w:pStyle w:val="Textoindependiente"/>
        <w:spacing w:line="360" w:lineRule="auto"/>
        <w:rPr>
          <w:rFonts w:ascii="Century Gothic" w:hAnsi="Century Gothic" w:cs="Arial"/>
          <w:sz w:val="24"/>
          <w:szCs w:val="24"/>
        </w:rPr>
      </w:pPr>
      <w:proofErr w:type="spellStart"/>
      <w:r w:rsidRPr="002C237A">
        <w:rPr>
          <w:rFonts w:ascii="Century Gothic" w:hAnsi="Century Gothic" w:cs="Arial"/>
          <w:sz w:val="24"/>
          <w:szCs w:val="24"/>
        </w:rPr>
        <w:t>Magdo</w:t>
      </w:r>
      <w:proofErr w:type="spellEnd"/>
      <w:r w:rsidRPr="002C237A">
        <w:rPr>
          <w:rFonts w:ascii="Century Gothic" w:hAnsi="Century Gothic" w:cs="Arial"/>
          <w:sz w:val="24"/>
          <w:szCs w:val="24"/>
        </w:rPr>
        <w:t xml:space="preserve">. Jesús María Ponce de León Montes </w:t>
      </w:r>
    </w:p>
    <w:p w:rsidR="002C237A" w:rsidRPr="002C237A" w:rsidRDefault="002C237A" w:rsidP="00910C28">
      <w:pPr>
        <w:pStyle w:val="Textoindependiente"/>
        <w:spacing w:line="360" w:lineRule="auto"/>
        <w:rPr>
          <w:rFonts w:ascii="Century Gothic" w:hAnsi="Century Gothic" w:cs="Arial"/>
          <w:sz w:val="22"/>
          <w:szCs w:val="22"/>
        </w:rPr>
      </w:pPr>
    </w:p>
    <w:p w:rsidR="002C237A" w:rsidRPr="002C237A" w:rsidRDefault="002C237A" w:rsidP="00910C28">
      <w:pPr>
        <w:pStyle w:val="Textoindependiente"/>
        <w:spacing w:line="360" w:lineRule="auto"/>
        <w:rPr>
          <w:rFonts w:ascii="Century Gothic" w:hAnsi="Century Gothic" w:cs="Arial"/>
          <w:sz w:val="22"/>
          <w:szCs w:val="22"/>
        </w:rPr>
      </w:pPr>
    </w:p>
    <w:p w:rsidR="002C237A" w:rsidRPr="002C237A" w:rsidRDefault="002C237A"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w:t>
      </w:r>
    </w:p>
    <w:p w:rsidR="00C46106" w:rsidRPr="002C237A" w:rsidRDefault="00C46106" w:rsidP="00910C28">
      <w:pPr>
        <w:pStyle w:val="Textoindependiente"/>
        <w:spacing w:line="360" w:lineRule="auto"/>
        <w:rPr>
          <w:rFonts w:ascii="Century Gothic" w:hAnsi="Century Gothic" w:cs="Arial"/>
          <w:sz w:val="24"/>
          <w:szCs w:val="24"/>
        </w:rPr>
      </w:pPr>
      <w:proofErr w:type="spellStart"/>
      <w:r w:rsidRPr="002C237A">
        <w:rPr>
          <w:rFonts w:ascii="Century Gothic" w:hAnsi="Century Gothic" w:cs="Arial"/>
          <w:sz w:val="24"/>
          <w:szCs w:val="24"/>
        </w:rPr>
        <w:t>Magdo</w:t>
      </w:r>
      <w:proofErr w:type="spellEnd"/>
      <w:r w:rsidRPr="002C237A">
        <w:rPr>
          <w:rFonts w:ascii="Century Gothic" w:hAnsi="Century Gothic" w:cs="Arial"/>
          <w:sz w:val="24"/>
          <w:szCs w:val="24"/>
        </w:rPr>
        <w:t xml:space="preserve">. Alejandro Hernández Castillo </w:t>
      </w:r>
    </w:p>
    <w:p w:rsidR="002C237A" w:rsidRPr="002C237A" w:rsidRDefault="002C237A" w:rsidP="00910C28">
      <w:pPr>
        <w:pStyle w:val="Textoindependiente"/>
        <w:spacing w:line="360" w:lineRule="auto"/>
        <w:rPr>
          <w:rFonts w:ascii="Century Gothic" w:hAnsi="Century Gothic" w:cs="Arial"/>
          <w:sz w:val="22"/>
          <w:szCs w:val="22"/>
        </w:rPr>
      </w:pPr>
    </w:p>
    <w:p w:rsidR="002C237A" w:rsidRPr="002C237A" w:rsidRDefault="002C237A" w:rsidP="00910C28">
      <w:pPr>
        <w:pStyle w:val="Textoindependiente"/>
        <w:spacing w:line="360" w:lineRule="auto"/>
        <w:rPr>
          <w:rFonts w:ascii="Century Gothic" w:hAnsi="Century Gothic" w:cs="Arial"/>
          <w:sz w:val="22"/>
          <w:szCs w:val="22"/>
        </w:rPr>
      </w:pPr>
    </w:p>
    <w:p w:rsidR="002C237A" w:rsidRPr="002C237A" w:rsidRDefault="002C237A"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w:t>
      </w:r>
    </w:p>
    <w:p w:rsidR="00C46106" w:rsidRPr="002C237A" w:rsidRDefault="00C46106"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 xml:space="preserve">Magda. Graciela Treviño Rodríguez </w:t>
      </w:r>
    </w:p>
    <w:p w:rsidR="002C237A" w:rsidRDefault="002C237A" w:rsidP="00910C28">
      <w:pPr>
        <w:pStyle w:val="Textoindependiente"/>
        <w:spacing w:line="360" w:lineRule="auto"/>
        <w:rPr>
          <w:rFonts w:ascii="Century Gothic" w:hAnsi="Century Gothic" w:cs="Arial"/>
          <w:sz w:val="24"/>
          <w:szCs w:val="24"/>
        </w:rPr>
      </w:pPr>
    </w:p>
    <w:p w:rsidR="00D03144" w:rsidRPr="002C237A" w:rsidRDefault="00D03144" w:rsidP="00910C28">
      <w:pPr>
        <w:pStyle w:val="Textoindependiente"/>
        <w:spacing w:line="360" w:lineRule="auto"/>
        <w:rPr>
          <w:rFonts w:ascii="Century Gothic" w:hAnsi="Century Gothic" w:cs="Arial"/>
          <w:sz w:val="24"/>
          <w:szCs w:val="24"/>
        </w:rPr>
      </w:pPr>
    </w:p>
    <w:p w:rsidR="002C237A" w:rsidRPr="002C237A" w:rsidRDefault="002C237A" w:rsidP="00910C28">
      <w:pPr>
        <w:pStyle w:val="Textoindependiente"/>
        <w:spacing w:line="360" w:lineRule="auto"/>
        <w:rPr>
          <w:rFonts w:ascii="Century Gothic" w:hAnsi="Century Gothic" w:cs="Arial"/>
          <w:sz w:val="24"/>
          <w:szCs w:val="24"/>
        </w:rPr>
      </w:pPr>
    </w:p>
    <w:p w:rsidR="002C237A" w:rsidRPr="002C237A" w:rsidRDefault="002C237A"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w:t>
      </w:r>
    </w:p>
    <w:p w:rsidR="00C46106" w:rsidRPr="002C237A" w:rsidRDefault="00C46106"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 xml:space="preserve">Magda. Aracely Amparan Madrigal </w:t>
      </w:r>
    </w:p>
    <w:p w:rsidR="002C237A" w:rsidRPr="002C237A" w:rsidRDefault="002C237A" w:rsidP="00910C28">
      <w:pPr>
        <w:pStyle w:val="Textoindependiente"/>
        <w:spacing w:line="360" w:lineRule="auto"/>
        <w:rPr>
          <w:rFonts w:ascii="Century Gothic" w:hAnsi="Century Gothic" w:cs="Arial"/>
          <w:sz w:val="22"/>
          <w:szCs w:val="22"/>
        </w:rPr>
      </w:pPr>
    </w:p>
    <w:p w:rsidR="002C237A" w:rsidRPr="002C237A" w:rsidRDefault="002C237A" w:rsidP="00910C28">
      <w:pPr>
        <w:pStyle w:val="Textoindependiente"/>
        <w:spacing w:line="360" w:lineRule="auto"/>
        <w:rPr>
          <w:rFonts w:ascii="Century Gothic" w:hAnsi="Century Gothic" w:cs="Arial"/>
          <w:sz w:val="22"/>
          <w:szCs w:val="22"/>
        </w:rPr>
      </w:pPr>
    </w:p>
    <w:p w:rsidR="002C237A" w:rsidRPr="002C237A" w:rsidRDefault="002C237A" w:rsidP="00910C28">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w:t>
      </w:r>
    </w:p>
    <w:p w:rsidR="00C46106" w:rsidRPr="002C237A" w:rsidRDefault="00C46106" w:rsidP="00910C28">
      <w:pPr>
        <w:pStyle w:val="Textoindependiente"/>
        <w:spacing w:line="360" w:lineRule="auto"/>
        <w:rPr>
          <w:rFonts w:ascii="Century Gothic" w:hAnsi="Century Gothic" w:cs="Arial"/>
          <w:sz w:val="24"/>
          <w:szCs w:val="24"/>
        </w:rPr>
      </w:pPr>
      <w:proofErr w:type="spellStart"/>
      <w:r w:rsidRPr="002C237A">
        <w:rPr>
          <w:rFonts w:ascii="Century Gothic" w:hAnsi="Century Gothic" w:cs="Arial"/>
          <w:sz w:val="24"/>
          <w:szCs w:val="24"/>
        </w:rPr>
        <w:t>Magdo</w:t>
      </w:r>
      <w:proofErr w:type="spellEnd"/>
      <w:r w:rsidRPr="002C237A">
        <w:rPr>
          <w:rFonts w:ascii="Century Gothic" w:hAnsi="Century Gothic" w:cs="Arial"/>
          <w:sz w:val="24"/>
          <w:szCs w:val="24"/>
        </w:rPr>
        <w:t>. José Luis Ortiz Bravo</w:t>
      </w:r>
    </w:p>
    <w:p w:rsidR="004E7ADC" w:rsidRPr="002C237A" w:rsidRDefault="004E7ADC" w:rsidP="00910C28">
      <w:pPr>
        <w:pStyle w:val="Textoindependiente"/>
        <w:spacing w:line="360" w:lineRule="auto"/>
        <w:rPr>
          <w:rFonts w:ascii="Century Gothic" w:hAnsi="Century Gothic" w:cs="Arial"/>
          <w:sz w:val="22"/>
          <w:szCs w:val="22"/>
        </w:rPr>
      </w:pPr>
    </w:p>
    <w:p w:rsidR="002C237A" w:rsidRDefault="002C237A" w:rsidP="00910C28">
      <w:pPr>
        <w:pStyle w:val="Textoindependiente"/>
        <w:spacing w:line="360" w:lineRule="auto"/>
        <w:rPr>
          <w:rFonts w:ascii="Century Gothic" w:hAnsi="Century Gothic" w:cs="Arial"/>
          <w:sz w:val="22"/>
          <w:szCs w:val="22"/>
        </w:rPr>
      </w:pPr>
    </w:p>
    <w:p w:rsidR="00BD114D" w:rsidRPr="002C237A" w:rsidRDefault="00BD114D" w:rsidP="00910C28">
      <w:pPr>
        <w:pStyle w:val="Textoindependiente"/>
        <w:spacing w:line="360" w:lineRule="auto"/>
        <w:rPr>
          <w:rFonts w:ascii="Century Gothic" w:hAnsi="Century Gothic" w:cs="Arial"/>
          <w:sz w:val="22"/>
          <w:szCs w:val="22"/>
        </w:rPr>
      </w:pPr>
    </w:p>
    <w:p w:rsidR="002C237A" w:rsidRPr="002C237A" w:rsidRDefault="002C237A" w:rsidP="00910C28">
      <w:pPr>
        <w:pStyle w:val="Textoindependiente"/>
        <w:spacing w:line="360" w:lineRule="auto"/>
        <w:rPr>
          <w:rFonts w:ascii="Century Gothic" w:hAnsi="Century Gothic" w:cs="Arial"/>
          <w:sz w:val="22"/>
          <w:szCs w:val="22"/>
        </w:rPr>
      </w:pPr>
    </w:p>
    <w:p w:rsidR="001F2F9C" w:rsidRPr="00C46106" w:rsidRDefault="001F2F9C" w:rsidP="00910C28">
      <w:pPr>
        <w:tabs>
          <w:tab w:val="left" w:pos="1440"/>
        </w:tabs>
        <w:spacing w:after="0" w:line="360" w:lineRule="auto"/>
        <w:jc w:val="center"/>
        <w:rPr>
          <w:rFonts w:ascii="Century Gothic" w:hAnsi="Century Gothic" w:cs="Arial"/>
          <w:spacing w:val="4"/>
          <w:sz w:val="24"/>
          <w:szCs w:val="24"/>
          <w:lang w:val="es-ES"/>
        </w:rPr>
      </w:pPr>
      <w:r w:rsidRPr="00C46106">
        <w:rPr>
          <w:rFonts w:ascii="Century Gothic" w:hAnsi="Century Gothic" w:cs="Arial"/>
          <w:spacing w:val="4"/>
          <w:sz w:val="24"/>
          <w:szCs w:val="24"/>
          <w:lang w:val="es-ES"/>
        </w:rPr>
        <w:t>_______________________________________</w:t>
      </w:r>
    </w:p>
    <w:p w:rsidR="001F2F9C" w:rsidRPr="00C46106" w:rsidRDefault="001F2F9C" w:rsidP="00BD114D">
      <w:pPr>
        <w:tabs>
          <w:tab w:val="left" w:pos="1440"/>
        </w:tabs>
        <w:spacing w:after="0" w:line="240" w:lineRule="auto"/>
        <w:jc w:val="center"/>
        <w:rPr>
          <w:rFonts w:ascii="Century Gothic" w:hAnsi="Century Gothic" w:cs="Arial"/>
          <w:spacing w:val="4"/>
          <w:sz w:val="24"/>
          <w:szCs w:val="24"/>
          <w:lang w:val="es-ES"/>
        </w:rPr>
      </w:pPr>
      <w:r w:rsidRPr="00C46106">
        <w:rPr>
          <w:rFonts w:ascii="Century Gothic" w:hAnsi="Century Gothic" w:cs="Arial"/>
          <w:spacing w:val="4"/>
          <w:sz w:val="24"/>
          <w:szCs w:val="24"/>
          <w:lang w:val="es-ES"/>
        </w:rPr>
        <w:t>Licenciada Ma. del Rosario Torres Mancilla</w:t>
      </w:r>
    </w:p>
    <w:p w:rsidR="00CA26C7" w:rsidRDefault="001F2F9C" w:rsidP="00BD114D">
      <w:pPr>
        <w:tabs>
          <w:tab w:val="left" w:pos="1440"/>
        </w:tabs>
        <w:spacing w:after="0" w:line="240" w:lineRule="auto"/>
        <w:jc w:val="center"/>
        <w:rPr>
          <w:rFonts w:ascii="Century Gothic" w:hAnsi="Century Gothic" w:cs="Arial"/>
          <w:spacing w:val="4"/>
          <w:sz w:val="24"/>
          <w:szCs w:val="24"/>
          <w:lang w:val="es-ES"/>
        </w:rPr>
      </w:pPr>
      <w:r w:rsidRPr="00C46106">
        <w:rPr>
          <w:rFonts w:ascii="Century Gothic" w:hAnsi="Century Gothic" w:cs="Arial"/>
          <w:spacing w:val="4"/>
          <w:sz w:val="24"/>
          <w:szCs w:val="24"/>
          <w:lang w:val="es-ES"/>
        </w:rPr>
        <w:t xml:space="preserve">Secretaria General de Acuerdos del Supremo Tribunal </w:t>
      </w:r>
    </w:p>
    <w:p w:rsidR="001F2F9C" w:rsidRPr="00C46106" w:rsidRDefault="001F2F9C" w:rsidP="00BD114D">
      <w:pPr>
        <w:tabs>
          <w:tab w:val="left" w:pos="1440"/>
        </w:tabs>
        <w:spacing w:after="0" w:line="240" w:lineRule="auto"/>
        <w:jc w:val="center"/>
        <w:rPr>
          <w:rFonts w:ascii="Century Gothic" w:hAnsi="Century Gothic" w:cs="Arial"/>
          <w:b/>
          <w:bCs/>
          <w:sz w:val="24"/>
          <w:szCs w:val="24"/>
        </w:rPr>
      </w:pPr>
      <w:r w:rsidRPr="00C46106">
        <w:rPr>
          <w:rFonts w:ascii="Century Gothic" w:hAnsi="Century Gothic" w:cs="Arial"/>
          <w:spacing w:val="4"/>
          <w:sz w:val="24"/>
          <w:szCs w:val="24"/>
          <w:lang w:val="es-ES"/>
        </w:rPr>
        <w:t>de Justicia d</w:t>
      </w:r>
      <w:r w:rsidR="00E74276" w:rsidRPr="00C46106">
        <w:rPr>
          <w:rFonts w:ascii="Century Gothic" w:hAnsi="Century Gothic" w:cs="Arial"/>
          <w:spacing w:val="4"/>
          <w:sz w:val="24"/>
          <w:szCs w:val="24"/>
          <w:lang w:val="es-ES"/>
        </w:rPr>
        <w:t>el Estado.</w:t>
      </w:r>
    </w:p>
    <w:sectPr w:rsidR="001F2F9C" w:rsidRPr="00C46106" w:rsidSect="006516CF">
      <w:headerReference w:type="even" r:id="rId8"/>
      <w:headerReference w:type="default" r:id="rId9"/>
      <w:footerReference w:type="even" r:id="rId10"/>
      <w:footerReference w:type="default" r:id="rId11"/>
      <w:pgSz w:w="12242" w:h="20163" w:code="5"/>
      <w:pgMar w:top="1985" w:right="1418" w:bottom="1985" w:left="357" w:header="1134" w:footer="1134" w:gutter="2268"/>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5A74" w:rsidRDefault="00245A74" w:rsidP="00217C4B">
      <w:pPr>
        <w:spacing w:after="0" w:line="240" w:lineRule="auto"/>
      </w:pPr>
      <w:r>
        <w:separator/>
      </w:r>
    </w:p>
  </w:endnote>
  <w:endnote w:type="continuationSeparator" w:id="0">
    <w:p w:rsidR="00245A74" w:rsidRDefault="00245A74" w:rsidP="00217C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1886" w:rsidRPr="00991886" w:rsidRDefault="00991886" w:rsidP="00991886">
    <w:pPr>
      <w:pStyle w:val="Piedepgina"/>
      <w:jc w:val="center"/>
    </w:pPr>
    <w:r w:rsidRPr="00991886">
      <w:rPr>
        <w:rFonts w:ascii="Arial" w:hAnsi="Arial" w:cs="Arial"/>
        <w:b/>
      </w:rPr>
      <w:fldChar w:fldCharType="begin"/>
    </w:r>
    <w:r w:rsidRPr="00991886">
      <w:rPr>
        <w:rFonts w:ascii="Arial" w:hAnsi="Arial" w:cs="Arial"/>
        <w:b/>
      </w:rPr>
      <w:instrText>PAGE   \* MERGEFORMAT</w:instrText>
    </w:r>
    <w:r w:rsidRPr="00991886">
      <w:rPr>
        <w:rFonts w:ascii="Arial" w:hAnsi="Arial" w:cs="Arial"/>
        <w:b/>
      </w:rPr>
      <w:fldChar w:fldCharType="separate"/>
    </w:r>
    <w:r w:rsidR="00131205">
      <w:rPr>
        <w:rFonts w:ascii="Arial" w:hAnsi="Arial" w:cs="Arial"/>
        <w:b/>
        <w:noProof/>
      </w:rPr>
      <w:t>10</w:t>
    </w:r>
    <w:r w:rsidRPr="00991886">
      <w:rPr>
        <w:rFonts w:ascii="Arial" w:hAnsi="Arial" w:cs="Arial"/>
        <w:b/>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1886" w:rsidRPr="00991886" w:rsidRDefault="00991886" w:rsidP="00991886">
    <w:pPr>
      <w:pStyle w:val="Piedepgina"/>
      <w:jc w:val="center"/>
    </w:pPr>
    <w:r w:rsidRPr="00991886">
      <w:rPr>
        <w:rFonts w:ascii="Arial" w:hAnsi="Arial" w:cs="Arial"/>
        <w:b/>
      </w:rPr>
      <w:fldChar w:fldCharType="begin"/>
    </w:r>
    <w:r w:rsidRPr="00991886">
      <w:rPr>
        <w:rFonts w:ascii="Arial" w:hAnsi="Arial" w:cs="Arial"/>
        <w:b/>
      </w:rPr>
      <w:instrText>PAGE   \* MERGEFORMAT</w:instrText>
    </w:r>
    <w:r w:rsidRPr="00991886">
      <w:rPr>
        <w:rFonts w:ascii="Arial" w:hAnsi="Arial" w:cs="Arial"/>
        <w:b/>
      </w:rPr>
      <w:fldChar w:fldCharType="separate"/>
    </w:r>
    <w:r w:rsidR="00131205">
      <w:rPr>
        <w:rFonts w:ascii="Arial" w:hAnsi="Arial" w:cs="Arial"/>
        <w:b/>
        <w:noProof/>
      </w:rPr>
      <w:t>11</w:t>
    </w:r>
    <w:r w:rsidRPr="00991886">
      <w:rPr>
        <w:rFonts w:ascii="Arial" w:hAnsi="Arial" w:cs="Arial"/>
        <w:b/>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5A74" w:rsidRDefault="00245A74" w:rsidP="00217C4B">
      <w:pPr>
        <w:spacing w:after="0" w:line="240" w:lineRule="auto"/>
      </w:pPr>
      <w:r>
        <w:separator/>
      </w:r>
    </w:p>
  </w:footnote>
  <w:footnote w:type="continuationSeparator" w:id="0">
    <w:p w:rsidR="00245A74" w:rsidRDefault="00245A74" w:rsidP="00217C4B">
      <w:pPr>
        <w:spacing w:after="0" w:line="240" w:lineRule="auto"/>
      </w:pPr>
      <w:r>
        <w:continuationSeparator/>
      </w:r>
    </w:p>
  </w:footnote>
  <w:footnote w:id="1">
    <w:p w:rsidR="002A6412" w:rsidRPr="00A86794" w:rsidRDefault="002A6412" w:rsidP="006D1550">
      <w:pPr>
        <w:tabs>
          <w:tab w:val="left" w:pos="1418"/>
        </w:tabs>
        <w:spacing w:after="120" w:line="240" w:lineRule="auto"/>
        <w:jc w:val="both"/>
        <w:rPr>
          <w:rFonts w:ascii="Century Gothic" w:hAnsi="Century Gothic" w:cs="Arial"/>
          <w:sz w:val="16"/>
          <w:szCs w:val="16"/>
        </w:rPr>
      </w:pPr>
      <w:r w:rsidRPr="00A86794">
        <w:rPr>
          <w:rStyle w:val="Refdenotaalpie"/>
          <w:rFonts w:ascii="Century Gothic" w:hAnsi="Century Gothic" w:cs="Arial"/>
          <w:sz w:val="16"/>
          <w:szCs w:val="16"/>
        </w:rPr>
        <w:footnoteRef/>
      </w:r>
      <w:r w:rsidRPr="00A86794">
        <w:rPr>
          <w:rFonts w:ascii="Century Gothic" w:hAnsi="Century Gothic" w:cs="Arial"/>
          <w:b/>
          <w:sz w:val="16"/>
          <w:szCs w:val="16"/>
        </w:rPr>
        <w:t>Artículo 11</w:t>
      </w:r>
      <w:r w:rsidRPr="00A86794">
        <w:rPr>
          <w:rFonts w:ascii="Century Gothic" w:hAnsi="Century Gothic" w:cs="Arial"/>
          <w:sz w:val="16"/>
          <w:szCs w:val="16"/>
        </w:rPr>
        <w:t xml:space="preserve">. </w:t>
      </w:r>
      <w:r w:rsidR="00C872C6" w:rsidRPr="00A86794">
        <w:rPr>
          <w:rFonts w:ascii="Century Gothic" w:hAnsi="Century Gothic" w:cs="Arial"/>
          <w:sz w:val="16"/>
          <w:szCs w:val="16"/>
        </w:rPr>
        <w:t xml:space="preserve">El pleno del Supremo Tribunal de Justicia conocerá de los asuntos de naturaleza judicial que determinen la Constitución Política de los Estados Unidos Mexicanos, la Constitución Política del Estado, los </w:t>
      </w:r>
      <w:r w:rsidR="00FD5458" w:rsidRPr="00A86794">
        <w:rPr>
          <w:rFonts w:ascii="Century Gothic" w:hAnsi="Century Gothic" w:cs="Arial"/>
          <w:sz w:val="16"/>
          <w:szCs w:val="16"/>
        </w:rPr>
        <w:t>c</w:t>
      </w:r>
      <w:r w:rsidR="00C872C6" w:rsidRPr="00A86794">
        <w:rPr>
          <w:rFonts w:ascii="Century Gothic" w:hAnsi="Century Gothic" w:cs="Arial"/>
          <w:sz w:val="16"/>
          <w:szCs w:val="16"/>
        </w:rPr>
        <w:t>ódigos</w:t>
      </w:r>
      <w:r w:rsidR="00FD5458" w:rsidRPr="00A86794">
        <w:rPr>
          <w:rFonts w:ascii="Century Gothic" w:hAnsi="Century Gothic" w:cs="Arial"/>
          <w:sz w:val="16"/>
          <w:szCs w:val="16"/>
        </w:rPr>
        <w:t xml:space="preserve"> Civil y Penal y de Procedimientos Civiles y Penales, la presente Ley y las demás disposiciones legales</w:t>
      </w:r>
      <w:r w:rsidRPr="00A86794">
        <w:rPr>
          <w:rFonts w:ascii="Century Gothic" w:hAnsi="Century Gothic" w:cs="Arial"/>
          <w:sz w:val="16"/>
          <w:szCs w:val="16"/>
        </w:rPr>
        <w:t>.”</w:t>
      </w:r>
    </w:p>
    <w:p w:rsidR="002A6412" w:rsidRPr="00A86794" w:rsidRDefault="002A6412" w:rsidP="006D1550">
      <w:pPr>
        <w:tabs>
          <w:tab w:val="left" w:pos="1418"/>
        </w:tabs>
        <w:spacing w:after="120" w:line="240" w:lineRule="auto"/>
        <w:jc w:val="both"/>
        <w:rPr>
          <w:rFonts w:ascii="Century Gothic" w:hAnsi="Century Gothic" w:cs="Arial"/>
          <w:sz w:val="16"/>
          <w:szCs w:val="16"/>
        </w:rPr>
      </w:pPr>
      <w:r w:rsidRPr="00A86794">
        <w:rPr>
          <w:rFonts w:ascii="Century Gothic" w:hAnsi="Century Gothic" w:cs="Arial"/>
          <w:sz w:val="16"/>
          <w:szCs w:val="16"/>
        </w:rPr>
        <w:t>“</w:t>
      </w:r>
      <w:r w:rsidRPr="00A86794">
        <w:rPr>
          <w:rFonts w:ascii="Century Gothic" w:hAnsi="Century Gothic" w:cs="Arial"/>
          <w:b/>
          <w:sz w:val="16"/>
          <w:szCs w:val="16"/>
        </w:rPr>
        <w:t>Artículo 14</w:t>
      </w:r>
      <w:r w:rsidRPr="00A86794">
        <w:rPr>
          <w:rFonts w:ascii="Century Gothic" w:hAnsi="Century Gothic" w:cs="Arial"/>
          <w:sz w:val="16"/>
          <w:szCs w:val="16"/>
        </w:rPr>
        <w:t>. Son atribuciones del Pleno las siguientes: …</w:t>
      </w:r>
      <w:r w:rsidRPr="00A86794">
        <w:rPr>
          <w:rFonts w:ascii="Century Gothic" w:hAnsi="Century Gothic" w:cs="Arial"/>
          <w:b/>
          <w:sz w:val="16"/>
          <w:szCs w:val="16"/>
        </w:rPr>
        <w:t>XIV</w:t>
      </w:r>
      <w:r w:rsidRPr="00A86794">
        <w:rPr>
          <w:rFonts w:ascii="Century Gothic" w:hAnsi="Century Gothic" w:cs="Arial"/>
          <w:sz w:val="16"/>
          <w:szCs w:val="16"/>
        </w:rPr>
        <w:t>. Las demás que les confiera la ley.”</w:t>
      </w:r>
    </w:p>
  </w:footnote>
  <w:footnote w:id="2">
    <w:p w:rsidR="00FD5458" w:rsidRPr="00A86794" w:rsidRDefault="002A6412" w:rsidP="006D1550">
      <w:pPr>
        <w:tabs>
          <w:tab w:val="left" w:pos="1418"/>
        </w:tabs>
        <w:spacing w:after="120" w:line="240" w:lineRule="auto"/>
        <w:jc w:val="both"/>
        <w:rPr>
          <w:rFonts w:ascii="Century Gothic" w:hAnsi="Century Gothic" w:cs="Arial"/>
          <w:sz w:val="16"/>
          <w:szCs w:val="16"/>
        </w:rPr>
      </w:pPr>
      <w:r w:rsidRPr="00A86794">
        <w:rPr>
          <w:rStyle w:val="Refdenotaalpie"/>
          <w:rFonts w:ascii="Century Gothic" w:hAnsi="Century Gothic" w:cs="Arial"/>
          <w:sz w:val="16"/>
          <w:szCs w:val="16"/>
        </w:rPr>
        <w:footnoteRef/>
      </w:r>
      <w:r w:rsidR="0058783E" w:rsidRPr="00A86794">
        <w:rPr>
          <w:rFonts w:ascii="Century Gothic" w:hAnsi="Century Gothic" w:cs="Arial"/>
          <w:b/>
          <w:sz w:val="16"/>
          <w:szCs w:val="16"/>
          <w:lang w:eastAsia="es-MX"/>
        </w:rPr>
        <w:t>“</w:t>
      </w:r>
      <w:r w:rsidR="0058783E" w:rsidRPr="00A86794">
        <w:rPr>
          <w:rFonts w:ascii="Century Gothic" w:hAnsi="Century Gothic" w:cs="Arial"/>
          <w:b/>
          <w:sz w:val="16"/>
          <w:szCs w:val="16"/>
        </w:rPr>
        <w:t>Artículo</w:t>
      </w:r>
      <w:r w:rsidR="00FD5458" w:rsidRPr="00A86794">
        <w:rPr>
          <w:rFonts w:ascii="Century Gothic" w:hAnsi="Century Gothic" w:cs="Arial"/>
          <w:b/>
          <w:sz w:val="16"/>
          <w:szCs w:val="16"/>
        </w:rPr>
        <w:t xml:space="preserve"> 971</w:t>
      </w:r>
      <w:r w:rsidR="00FD5458" w:rsidRPr="00A86794">
        <w:rPr>
          <w:rFonts w:ascii="Century Gothic" w:hAnsi="Century Gothic" w:cs="Arial"/>
          <w:sz w:val="16"/>
          <w:szCs w:val="16"/>
        </w:rPr>
        <w:t>. El recurso de queja procederá:</w:t>
      </w:r>
    </w:p>
    <w:p w:rsidR="00FD5458" w:rsidRPr="00A86794" w:rsidRDefault="00FD5458" w:rsidP="006D1550">
      <w:pPr>
        <w:tabs>
          <w:tab w:val="left" w:pos="1418"/>
        </w:tabs>
        <w:spacing w:after="120" w:line="240" w:lineRule="auto"/>
        <w:jc w:val="both"/>
        <w:rPr>
          <w:rFonts w:ascii="Century Gothic" w:hAnsi="Century Gothic" w:cs="Arial"/>
          <w:sz w:val="16"/>
          <w:szCs w:val="16"/>
        </w:rPr>
      </w:pPr>
      <w:r w:rsidRPr="00A86794">
        <w:rPr>
          <w:rFonts w:ascii="Century Gothic" w:hAnsi="Century Gothic" w:cs="Arial"/>
          <w:sz w:val="16"/>
          <w:szCs w:val="16"/>
        </w:rPr>
        <w:t>I. Contra el juez que se niegue a admitir una demanda o desconozca de oficio la personalidad de un litigante, antes del emplazamiento; II. Respecto de las interlocutorias dictadas en la ejecución de sentencias</w:t>
      </w:r>
      <w:r w:rsidRPr="00A86794">
        <w:rPr>
          <w:rFonts w:ascii="Century Gothic" w:hAnsi="Century Gothic" w:cs="Arial"/>
          <w:b/>
          <w:sz w:val="16"/>
          <w:szCs w:val="16"/>
        </w:rPr>
        <w:t xml:space="preserve">; III. Contra la resolución que niegue admitir una apelación; </w:t>
      </w:r>
      <w:r w:rsidRPr="00A86794">
        <w:rPr>
          <w:rFonts w:ascii="Century Gothic" w:hAnsi="Century Gothic" w:cs="Arial"/>
          <w:sz w:val="16"/>
          <w:szCs w:val="16"/>
        </w:rPr>
        <w:t>IV. En los demás casos fijados por la Ley.</w:t>
      </w:r>
    </w:p>
    <w:p w:rsidR="002A6412" w:rsidRPr="00A86794" w:rsidRDefault="007A5095" w:rsidP="006D1550">
      <w:pPr>
        <w:tabs>
          <w:tab w:val="left" w:pos="1418"/>
        </w:tabs>
        <w:spacing w:after="120" w:line="240" w:lineRule="auto"/>
        <w:jc w:val="both"/>
        <w:rPr>
          <w:rFonts w:ascii="Century Gothic" w:hAnsi="Century Gothic" w:cs="Arial"/>
          <w:sz w:val="16"/>
          <w:szCs w:val="16"/>
          <w:lang w:eastAsia="es-MX"/>
        </w:rPr>
      </w:pPr>
      <w:r w:rsidRPr="00A86794">
        <w:rPr>
          <w:rFonts w:ascii="Century Gothic" w:eastAsia="Times New Roman" w:hAnsi="Century Gothic" w:cs="Arial"/>
          <w:b/>
          <w:sz w:val="16"/>
          <w:szCs w:val="16"/>
          <w:lang w:eastAsia="es-MX"/>
        </w:rPr>
        <w:t>Artículo 973</w:t>
      </w:r>
      <w:r w:rsidRPr="00A86794">
        <w:rPr>
          <w:rFonts w:ascii="Century Gothic" w:eastAsia="Times New Roman" w:hAnsi="Century Gothic" w:cs="Arial"/>
          <w:sz w:val="16"/>
          <w:szCs w:val="16"/>
          <w:lang w:eastAsia="es-MX"/>
        </w:rPr>
        <w:t xml:space="preserve">. El recurso de queja contra un juez se interpondrá por escrito ante el superior inmediato, dentro de los tres días siguientes a la notificación del acto reclamado expresando los motivos del agravio…” </w:t>
      </w:r>
    </w:p>
  </w:footnote>
  <w:footnote w:id="3">
    <w:p w:rsidR="0058783E" w:rsidRPr="00A86794" w:rsidRDefault="004F092A" w:rsidP="006D1550">
      <w:pPr>
        <w:tabs>
          <w:tab w:val="left" w:pos="1418"/>
        </w:tabs>
        <w:spacing w:after="120" w:line="240" w:lineRule="auto"/>
        <w:jc w:val="both"/>
        <w:rPr>
          <w:rFonts w:ascii="Century Gothic" w:hAnsi="Century Gothic" w:cs="Arial"/>
          <w:sz w:val="16"/>
          <w:szCs w:val="16"/>
        </w:rPr>
      </w:pPr>
      <w:r w:rsidRPr="00A86794">
        <w:rPr>
          <w:rStyle w:val="Refdenotaalpie"/>
          <w:rFonts w:ascii="Century Gothic" w:hAnsi="Century Gothic" w:cs="Arial"/>
          <w:sz w:val="16"/>
          <w:szCs w:val="16"/>
        </w:rPr>
        <w:footnoteRef/>
      </w:r>
      <w:r w:rsidR="0058783E" w:rsidRPr="00A86794">
        <w:rPr>
          <w:rFonts w:ascii="Century Gothic" w:eastAsia="Times New Roman" w:hAnsi="Century Gothic" w:cs="Arial"/>
          <w:b/>
          <w:sz w:val="16"/>
          <w:szCs w:val="16"/>
          <w:lang w:eastAsia="es-MX"/>
        </w:rPr>
        <w:t>“</w:t>
      </w:r>
      <w:r w:rsidR="0058783E" w:rsidRPr="00A86794">
        <w:rPr>
          <w:rFonts w:ascii="Century Gothic" w:hAnsi="Century Gothic" w:cs="Arial"/>
          <w:b/>
          <w:sz w:val="16"/>
          <w:szCs w:val="16"/>
        </w:rPr>
        <w:t>Artículo 971</w:t>
      </w:r>
      <w:r w:rsidR="0058783E" w:rsidRPr="00A86794">
        <w:rPr>
          <w:rFonts w:ascii="Century Gothic" w:hAnsi="Century Gothic" w:cs="Arial"/>
          <w:sz w:val="16"/>
          <w:szCs w:val="16"/>
        </w:rPr>
        <w:t>. El recurso de queja procederá:</w:t>
      </w:r>
      <w:r w:rsidR="001B1A7D" w:rsidRPr="00A86794">
        <w:rPr>
          <w:rFonts w:ascii="Century Gothic" w:hAnsi="Century Gothic" w:cs="Arial"/>
          <w:sz w:val="16"/>
          <w:szCs w:val="16"/>
        </w:rPr>
        <w:t xml:space="preserve"> …</w:t>
      </w:r>
      <w:r w:rsidR="0058783E" w:rsidRPr="00A86794">
        <w:rPr>
          <w:rFonts w:ascii="Century Gothic" w:hAnsi="Century Gothic" w:cs="Arial"/>
          <w:b/>
          <w:sz w:val="16"/>
          <w:szCs w:val="16"/>
        </w:rPr>
        <w:t>III. Contra la resolución que nie</w:t>
      </w:r>
      <w:r w:rsidR="001B1A7D" w:rsidRPr="00A86794">
        <w:rPr>
          <w:rFonts w:ascii="Century Gothic" w:hAnsi="Century Gothic" w:cs="Arial"/>
          <w:b/>
          <w:sz w:val="16"/>
          <w:szCs w:val="16"/>
        </w:rPr>
        <w:t xml:space="preserve">gue admitir una </w:t>
      </w:r>
      <w:proofErr w:type="gramStart"/>
      <w:r w:rsidR="001B1A7D" w:rsidRPr="00A86794">
        <w:rPr>
          <w:rFonts w:ascii="Century Gothic" w:hAnsi="Century Gothic" w:cs="Arial"/>
          <w:b/>
          <w:sz w:val="16"/>
          <w:szCs w:val="16"/>
        </w:rPr>
        <w:t>apelación;…</w:t>
      </w:r>
      <w:proofErr w:type="gramEnd"/>
      <w:r w:rsidR="001B1A7D" w:rsidRPr="00A86794">
        <w:rPr>
          <w:rFonts w:ascii="Century Gothic" w:hAnsi="Century Gothic" w:cs="Arial"/>
          <w:b/>
          <w:sz w:val="16"/>
          <w:szCs w:val="16"/>
        </w:rPr>
        <w:t>”</w:t>
      </w:r>
    </w:p>
    <w:p w:rsidR="007A5095" w:rsidRPr="00A86794" w:rsidRDefault="007A5095" w:rsidP="006D1550">
      <w:pPr>
        <w:tabs>
          <w:tab w:val="left" w:pos="1418"/>
        </w:tabs>
        <w:spacing w:after="120" w:line="240" w:lineRule="auto"/>
        <w:jc w:val="both"/>
        <w:rPr>
          <w:rFonts w:ascii="Century Gothic" w:hAnsi="Century Gothic" w:cs="Arial"/>
          <w:sz w:val="16"/>
          <w:szCs w:val="16"/>
          <w:lang w:eastAsia="es-MX"/>
        </w:rPr>
      </w:pPr>
      <w:r w:rsidRPr="00A86794">
        <w:rPr>
          <w:rFonts w:ascii="Century Gothic" w:hAnsi="Century Gothic" w:cs="Arial"/>
          <w:b/>
          <w:sz w:val="16"/>
          <w:szCs w:val="16"/>
          <w:lang w:eastAsia="es-MX"/>
        </w:rPr>
        <w:t>973</w:t>
      </w:r>
      <w:r w:rsidRPr="00A86794">
        <w:rPr>
          <w:rFonts w:ascii="Century Gothic" w:hAnsi="Century Gothic" w:cs="Arial"/>
          <w:sz w:val="16"/>
          <w:szCs w:val="16"/>
          <w:lang w:eastAsia="es-MX"/>
        </w:rPr>
        <w:t>. El recurso de queja contra un juez se interpondrá por escrito ante el superior inmediato, dentro de los tres días siguientes a la notificación del acto reclamado expresando los motivos del agravio.</w:t>
      </w:r>
    </w:p>
    <w:p w:rsidR="007A5095" w:rsidRPr="00A86794" w:rsidRDefault="007A5095" w:rsidP="006D1550">
      <w:pPr>
        <w:tabs>
          <w:tab w:val="left" w:pos="1418"/>
        </w:tabs>
        <w:spacing w:after="120" w:line="240" w:lineRule="auto"/>
        <w:jc w:val="both"/>
        <w:rPr>
          <w:rFonts w:ascii="Century Gothic" w:hAnsi="Century Gothic" w:cs="Arial"/>
          <w:sz w:val="16"/>
          <w:szCs w:val="16"/>
          <w:lang w:eastAsia="es-MX"/>
        </w:rPr>
      </w:pPr>
      <w:r w:rsidRPr="00A86794">
        <w:rPr>
          <w:rFonts w:ascii="Century Gothic" w:hAnsi="Century Gothic" w:cs="Arial"/>
          <w:sz w:val="16"/>
          <w:szCs w:val="16"/>
          <w:lang w:eastAsia="es-MX"/>
        </w:rPr>
        <w:t>Al interponer el recurso, el quejoso deberá hacerlo saber al juez presentándole copia, por duplicado, del escrito de queja. Una de ellas se agregará al expediente y la otra se mandará entregar desde luego al colitigante.</w:t>
      </w:r>
    </w:p>
    <w:p w:rsidR="007A5095" w:rsidRPr="00A86794" w:rsidRDefault="007A5095" w:rsidP="006D1550">
      <w:pPr>
        <w:tabs>
          <w:tab w:val="left" w:pos="1418"/>
        </w:tabs>
        <w:spacing w:after="120" w:line="240" w:lineRule="auto"/>
        <w:jc w:val="both"/>
        <w:rPr>
          <w:rFonts w:ascii="Century Gothic" w:hAnsi="Century Gothic" w:cs="Arial"/>
          <w:sz w:val="16"/>
          <w:szCs w:val="16"/>
          <w:lang w:eastAsia="es-MX"/>
        </w:rPr>
      </w:pPr>
      <w:r w:rsidRPr="00A86794">
        <w:rPr>
          <w:rFonts w:ascii="Century Gothic" w:hAnsi="Century Gothic" w:cs="Arial"/>
          <w:sz w:val="16"/>
          <w:szCs w:val="16"/>
          <w:lang w:eastAsia="es-MX"/>
        </w:rPr>
        <w:t>El juez, dentro de los tres días siguientes, remitirá al superior su informe con justificación y el colitigante, dentro de igual término, que se contará desde que reciba la copia, podrá ocurrir al mismo superior, expresando lo que a su derecho convenga.</w:t>
      </w:r>
    </w:p>
    <w:p w:rsidR="007A5095" w:rsidRPr="00A86794" w:rsidRDefault="007A5095" w:rsidP="006D1550">
      <w:pPr>
        <w:tabs>
          <w:tab w:val="left" w:pos="1418"/>
        </w:tabs>
        <w:spacing w:after="120" w:line="240" w:lineRule="auto"/>
        <w:jc w:val="both"/>
        <w:rPr>
          <w:rFonts w:ascii="Century Gothic" w:hAnsi="Century Gothic" w:cs="Arial"/>
          <w:sz w:val="16"/>
          <w:szCs w:val="16"/>
          <w:lang w:eastAsia="es-MX"/>
        </w:rPr>
      </w:pPr>
      <w:r w:rsidRPr="00A86794">
        <w:rPr>
          <w:rFonts w:ascii="Century Gothic" w:hAnsi="Century Gothic" w:cs="Arial"/>
          <w:sz w:val="16"/>
          <w:szCs w:val="16"/>
          <w:lang w:eastAsia="es-MX"/>
        </w:rPr>
        <w:t>Dentro del tercer día de recibido el informe del juez, el superior resolverá lo que proceda.</w:t>
      </w:r>
    </w:p>
    <w:p w:rsidR="004F092A" w:rsidRPr="00A86794" w:rsidRDefault="007A5095" w:rsidP="006D1550">
      <w:pPr>
        <w:tabs>
          <w:tab w:val="left" w:pos="1418"/>
        </w:tabs>
        <w:spacing w:after="120" w:line="240" w:lineRule="auto"/>
        <w:jc w:val="both"/>
        <w:rPr>
          <w:rFonts w:ascii="Century Gothic" w:hAnsi="Century Gothic" w:cs="Arial"/>
          <w:sz w:val="16"/>
          <w:szCs w:val="16"/>
        </w:rPr>
      </w:pPr>
      <w:r w:rsidRPr="00A86794">
        <w:rPr>
          <w:rFonts w:ascii="Century Gothic" w:hAnsi="Century Gothic" w:cs="Arial"/>
          <w:sz w:val="16"/>
          <w:szCs w:val="16"/>
          <w:lang w:eastAsia="es-MX"/>
        </w:rPr>
        <w:t>Será el acuerdo del Supremo Tribunal el que decida las quejas contra los jueces de primera instancia y los de la capital.”</w:t>
      </w:r>
    </w:p>
  </w:footnote>
  <w:footnote w:id="4">
    <w:p w:rsidR="004F092A" w:rsidRPr="0088492B" w:rsidRDefault="004F092A" w:rsidP="006D1550">
      <w:pPr>
        <w:tabs>
          <w:tab w:val="left" w:pos="1418"/>
        </w:tabs>
        <w:spacing w:after="120" w:line="240" w:lineRule="auto"/>
        <w:jc w:val="both"/>
        <w:rPr>
          <w:rFonts w:ascii="Century Gothic" w:hAnsi="Century Gothic" w:cs="Arial"/>
          <w:sz w:val="16"/>
          <w:szCs w:val="16"/>
        </w:rPr>
      </w:pPr>
      <w:r w:rsidRPr="00A86794">
        <w:rPr>
          <w:rStyle w:val="Refdenotaalpie"/>
          <w:rFonts w:ascii="Century Gothic" w:hAnsi="Century Gothic" w:cs="Arial"/>
          <w:sz w:val="16"/>
          <w:szCs w:val="16"/>
        </w:rPr>
        <w:footnoteRef/>
      </w:r>
      <w:r w:rsidR="001B1A7D" w:rsidRPr="00A86794">
        <w:rPr>
          <w:rFonts w:ascii="Century Gothic" w:hAnsi="Century Gothic" w:cs="Arial"/>
          <w:sz w:val="16"/>
          <w:szCs w:val="16"/>
          <w:lang w:eastAsia="es-MX"/>
        </w:rPr>
        <w:t>“</w:t>
      </w:r>
      <w:r w:rsidR="001B1A7D" w:rsidRPr="00A86794">
        <w:rPr>
          <w:rFonts w:ascii="Century Gothic" w:hAnsi="Century Gothic" w:cs="Arial"/>
          <w:b/>
          <w:sz w:val="16"/>
          <w:szCs w:val="16"/>
          <w:lang w:eastAsia="es-MX"/>
        </w:rPr>
        <w:t xml:space="preserve">Artículo 17. </w:t>
      </w:r>
      <w:r w:rsidR="001B1A7D" w:rsidRPr="00A86794">
        <w:rPr>
          <w:rFonts w:ascii="Century Gothic" w:hAnsi="Century Gothic" w:cs="Arial"/>
          <w:sz w:val="16"/>
          <w:szCs w:val="16"/>
        </w:rPr>
        <w:t>Son atribuciones del Presidente las siguientes: …</w:t>
      </w:r>
      <w:r w:rsidR="001B1A7D" w:rsidRPr="00A86794">
        <w:rPr>
          <w:rFonts w:ascii="Century Gothic" w:hAnsi="Century Gothic" w:cs="Arial"/>
          <w:b/>
          <w:sz w:val="16"/>
          <w:szCs w:val="16"/>
        </w:rPr>
        <w:t>VIII</w:t>
      </w:r>
      <w:r w:rsidR="001B1A7D" w:rsidRPr="00A86794">
        <w:rPr>
          <w:rFonts w:ascii="Century Gothic" w:hAnsi="Century Gothic" w:cs="Arial"/>
          <w:sz w:val="16"/>
          <w:szCs w:val="16"/>
        </w:rPr>
        <w:t>. Tramitar los asuntos de la competencia del Pleno, hasta ponerlos en estado de resolución.</w:t>
      </w:r>
      <w:r w:rsidR="001B1A7D" w:rsidRPr="00A86794">
        <w:rPr>
          <w:rFonts w:ascii="Century Gothic" w:hAnsi="Century Gothic" w:cs="Arial"/>
          <w:sz w:val="16"/>
          <w:szCs w:val="16"/>
          <w:lang w:eastAsia="es-MX"/>
        </w:rPr>
        <w:t>”</w:t>
      </w:r>
    </w:p>
  </w:footnote>
  <w:footnote w:id="5">
    <w:p w:rsidR="00B61AD0" w:rsidRPr="00A86794" w:rsidRDefault="00B61AD0" w:rsidP="00B61AD0">
      <w:pPr>
        <w:pStyle w:val="Notaalpie"/>
        <w:spacing w:after="0"/>
        <w:rPr>
          <w:rFonts w:ascii="Century Gothic" w:hAnsi="Century Gothic" w:cs="Arial"/>
          <w:sz w:val="16"/>
          <w:szCs w:val="16"/>
        </w:rPr>
      </w:pPr>
      <w:r w:rsidRPr="00A86794">
        <w:rPr>
          <w:rFonts w:ascii="Century Gothic" w:hAnsi="Century Gothic" w:cs="Arial"/>
          <w:sz w:val="16"/>
          <w:szCs w:val="16"/>
        </w:rPr>
        <w:footnoteRef/>
      </w:r>
      <w:r w:rsidRPr="00A86794">
        <w:rPr>
          <w:rFonts w:ascii="Arial" w:hAnsi="Arial" w:cs="Arial"/>
          <w:sz w:val="16"/>
          <w:szCs w:val="16"/>
        </w:rPr>
        <w:t xml:space="preserve"> </w:t>
      </w:r>
      <w:r w:rsidRPr="00A86794">
        <w:rPr>
          <w:rFonts w:ascii="Century Gothic" w:hAnsi="Century Gothic" w:cs="Arial"/>
          <w:sz w:val="16"/>
          <w:szCs w:val="16"/>
        </w:rPr>
        <w:t xml:space="preserve">Foja </w:t>
      </w:r>
      <w:r w:rsidR="0082206A" w:rsidRPr="00A86794">
        <w:rPr>
          <w:rFonts w:ascii="Century Gothic" w:hAnsi="Century Gothic" w:cs="Arial"/>
          <w:sz w:val="16"/>
          <w:szCs w:val="16"/>
        </w:rPr>
        <w:t>84</w:t>
      </w:r>
      <w:r w:rsidRPr="00A86794">
        <w:rPr>
          <w:rFonts w:ascii="Century Gothic" w:hAnsi="Century Gothic" w:cs="Arial"/>
          <w:sz w:val="16"/>
          <w:szCs w:val="16"/>
        </w:rPr>
        <w:t xml:space="preserve"> de</w:t>
      </w:r>
      <w:r w:rsidR="0082206A" w:rsidRPr="00A86794">
        <w:rPr>
          <w:rFonts w:ascii="Century Gothic" w:hAnsi="Century Gothic" w:cs="Arial"/>
          <w:sz w:val="16"/>
          <w:szCs w:val="16"/>
        </w:rPr>
        <w:t xml:space="preserve">l </w:t>
      </w:r>
      <w:r w:rsidRPr="00A86794">
        <w:rPr>
          <w:rFonts w:ascii="Century Gothic" w:hAnsi="Century Gothic" w:cs="Arial"/>
          <w:sz w:val="16"/>
          <w:szCs w:val="16"/>
        </w:rPr>
        <w:t>Toca 109/2</w:t>
      </w:r>
      <w:r w:rsidR="0082206A" w:rsidRPr="00A86794">
        <w:rPr>
          <w:rFonts w:ascii="Century Gothic" w:hAnsi="Century Gothic" w:cs="Arial"/>
          <w:sz w:val="16"/>
          <w:szCs w:val="16"/>
        </w:rPr>
        <w:t>0</w:t>
      </w:r>
      <w:r w:rsidRPr="00A86794">
        <w:rPr>
          <w:rFonts w:ascii="Century Gothic" w:hAnsi="Century Gothic" w:cs="Arial"/>
          <w:sz w:val="16"/>
          <w:szCs w:val="16"/>
        </w:rPr>
        <w:t>20.</w:t>
      </w:r>
    </w:p>
  </w:footnote>
  <w:footnote w:id="6">
    <w:p w:rsidR="00621F95" w:rsidRPr="00A86794" w:rsidRDefault="00621F95" w:rsidP="006D1550">
      <w:pPr>
        <w:pStyle w:val="Textonotapie"/>
        <w:spacing w:after="120"/>
        <w:rPr>
          <w:rFonts w:ascii="Century Gothic" w:hAnsi="Century Gothic"/>
          <w:sz w:val="16"/>
          <w:szCs w:val="16"/>
        </w:rPr>
      </w:pPr>
      <w:r w:rsidRPr="00A86794">
        <w:rPr>
          <w:rStyle w:val="Refdenotaalpie"/>
          <w:sz w:val="16"/>
          <w:szCs w:val="16"/>
        </w:rPr>
        <w:footnoteRef/>
      </w:r>
      <w:r w:rsidRPr="00A86794">
        <w:rPr>
          <w:sz w:val="16"/>
          <w:szCs w:val="16"/>
        </w:rPr>
        <w:t xml:space="preserve"> </w:t>
      </w:r>
      <w:r w:rsidRPr="00A86794">
        <w:rPr>
          <w:rFonts w:ascii="Century Gothic" w:hAnsi="Century Gothic"/>
          <w:sz w:val="16"/>
          <w:szCs w:val="16"/>
        </w:rPr>
        <w:t>Foja 55</w:t>
      </w:r>
      <w:r w:rsidR="00790819" w:rsidRPr="00A86794">
        <w:rPr>
          <w:rFonts w:ascii="Century Gothic" w:hAnsi="Century Gothic"/>
          <w:sz w:val="16"/>
          <w:szCs w:val="16"/>
        </w:rPr>
        <w:t xml:space="preserve"> del expediente que integra el presente recurso de queja en que se actúa</w:t>
      </w:r>
      <w:r w:rsidRPr="00A86794">
        <w:rPr>
          <w:rFonts w:ascii="Century Gothic" w:hAnsi="Century Gothic"/>
          <w:sz w:val="16"/>
          <w:szCs w:val="16"/>
        </w:rPr>
        <w:t>.</w:t>
      </w:r>
    </w:p>
  </w:footnote>
  <w:footnote w:id="7">
    <w:p w:rsidR="004B2A90" w:rsidRPr="00A86794" w:rsidRDefault="004B2A90" w:rsidP="006D1550">
      <w:pPr>
        <w:pStyle w:val="Default"/>
        <w:spacing w:after="120"/>
        <w:jc w:val="both"/>
        <w:rPr>
          <w:rFonts w:ascii="Century Gothic" w:hAnsi="Century Gothic"/>
          <w:sz w:val="16"/>
          <w:szCs w:val="16"/>
        </w:rPr>
      </w:pPr>
      <w:r w:rsidRPr="00A86794">
        <w:rPr>
          <w:rStyle w:val="Refdenotaalpie"/>
          <w:rFonts w:ascii="Century Gothic" w:hAnsi="Century Gothic"/>
          <w:sz w:val="16"/>
          <w:szCs w:val="16"/>
        </w:rPr>
        <w:footnoteRef/>
      </w:r>
      <w:r w:rsidRPr="00A86794">
        <w:rPr>
          <w:rFonts w:ascii="Century Gothic" w:hAnsi="Century Gothic"/>
          <w:sz w:val="16"/>
          <w:szCs w:val="16"/>
        </w:rPr>
        <w:t xml:space="preserve"> “</w:t>
      </w:r>
      <w:r w:rsidRPr="00A86794">
        <w:rPr>
          <w:rFonts w:ascii="Century Gothic" w:hAnsi="Century Gothic"/>
          <w:b/>
          <w:sz w:val="16"/>
          <w:szCs w:val="16"/>
        </w:rPr>
        <w:t>Artículo 323</w:t>
      </w:r>
      <w:r w:rsidRPr="00A86794">
        <w:rPr>
          <w:rFonts w:ascii="Century Gothic" w:hAnsi="Century Gothic"/>
          <w:sz w:val="16"/>
          <w:szCs w:val="16"/>
        </w:rPr>
        <w:t xml:space="preserve">. Son documentos públicos: </w:t>
      </w:r>
    </w:p>
    <w:p w:rsidR="004B2A90" w:rsidRPr="00A86794" w:rsidRDefault="004B2A90" w:rsidP="006D1550">
      <w:pPr>
        <w:pStyle w:val="Default"/>
        <w:spacing w:after="120"/>
        <w:jc w:val="both"/>
        <w:rPr>
          <w:rFonts w:ascii="Century Gothic" w:hAnsi="Century Gothic"/>
          <w:sz w:val="16"/>
          <w:szCs w:val="16"/>
        </w:rPr>
      </w:pPr>
      <w:r w:rsidRPr="00A86794">
        <w:rPr>
          <w:rFonts w:ascii="Century Gothic" w:hAnsi="Century Gothic"/>
          <w:sz w:val="16"/>
          <w:szCs w:val="16"/>
        </w:rPr>
        <w:t xml:space="preserve">[…] </w:t>
      </w:r>
    </w:p>
    <w:p w:rsidR="004B2A90" w:rsidRPr="00A86794" w:rsidRDefault="004B2A90" w:rsidP="006D1550">
      <w:pPr>
        <w:pStyle w:val="Textonotapie"/>
        <w:spacing w:after="120"/>
        <w:jc w:val="both"/>
        <w:rPr>
          <w:rFonts w:ascii="Century Gothic" w:hAnsi="Century Gothic"/>
          <w:sz w:val="16"/>
          <w:szCs w:val="16"/>
        </w:rPr>
      </w:pPr>
      <w:r w:rsidRPr="00A86794">
        <w:rPr>
          <w:rFonts w:ascii="Century Gothic" w:hAnsi="Century Gothic"/>
          <w:sz w:val="16"/>
          <w:szCs w:val="16"/>
        </w:rPr>
        <w:t>II. Los documentos auténticos expedidos por funcionarios que desempeñen cargo público en lo que se refiera al ejercicio de sus funciones;</w:t>
      </w:r>
    </w:p>
    <w:p w:rsidR="004B2A90" w:rsidRPr="00A86794" w:rsidRDefault="004B2A90" w:rsidP="006D1550">
      <w:pPr>
        <w:pStyle w:val="Textonotapie"/>
        <w:spacing w:after="120"/>
        <w:jc w:val="both"/>
        <w:rPr>
          <w:rFonts w:ascii="Century Gothic" w:hAnsi="Century Gothic"/>
          <w:sz w:val="16"/>
          <w:szCs w:val="16"/>
        </w:rPr>
      </w:pPr>
      <w:r w:rsidRPr="00A86794">
        <w:rPr>
          <w:rFonts w:ascii="Century Gothic" w:hAnsi="Century Gothic"/>
          <w:sz w:val="16"/>
          <w:szCs w:val="16"/>
        </w:rPr>
        <w:t>[…]”</w:t>
      </w:r>
    </w:p>
    <w:p w:rsidR="004B2A90" w:rsidRPr="00A86794" w:rsidRDefault="004B2A90" w:rsidP="006D1550">
      <w:pPr>
        <w:pStyle w:val="Textonotapie"/>
        <w:spacing w:after="120"/>
        <w:jc w:val="both"/>
        <w:rPr>
          <w:rFonts w:ascii="Century Gothic" w:hAnsi="Century Gothic"/>
          <w:sz w:val="16"/>
          <w:szCs w:val="16"/>
        </w:rPr>
      </w:pPr>
      <w:r w:rsidRPr="00A86794">
        <w:rPr>
          <w:rFonts w:ascii="Century Gothic" w:hAnsi="Century Gothic"/>
          <w:sz w:val="16"/>
          <w:szCs w:val="16"/>
        </w:rPr>
        <w:t>“</w:t>
      </w:r>
      <w:r w:rsidRPr="00A86794">
        <w:rPr>
          <w:rFonts w:ascii="Century Gothic" w:hAnsi="Century Gothic"/>
          <w:b/>
          <w:sz w:val="16"/>
          <w:szCs w:val="16"/>
        </w:rPr>
        <w:t>Artículo 391.</w:t>
      </w:r>
      <w:r w:rsidRPr="00A86794">
        <w:rPr>
          <w:rFonts w:ascii="Century Gothic" w:hAnsi="Century Gothic"/>
          <w:sz w:val="16"/>
          <w:szCs w:val="16"/>
        </w:rPr>
        <w:t xml:space="preserve"> Las actuaciones judiciales hacen prueba plena.”.</w:t>
      </w:r>
    </w:p>
  </w:footnote>
  <w:footnote w:id="8">
    <w:p w:rsidR="00B51945" w:rsidRDefault="00B51945" w:rsidP="006D1550">
      <w:pPr>
        <w:pStyle w:val="Textonotapie"/>
        <w:spacing w:after="120"/>
      </w:pPr>
      <w:r w:rsidRPr="00A86794">
        <w:rPr>
          <w:rStyle w:val="Refdenotaalpie"/>
          <w:sz w:val="16"/>
          <w:szCs w:val="16"/>
        </w:rPr>
        <w:footnoteRef/>
      </w:r>
      <w:r w:rsidRPr="00A86794">
        <w:rPr>
          <w:sz w:val="16"/>
          <w:szCs w:val="16"/>
        </w:rPr>
        <w:t xml:space="preserve"> </w:t>
      </w:r>
      <w:r w:rsidRPr="00A86794">
        <w:rPr>
          <w:rFonts w:ascii="Century Gothic" w:hAnsi="Century Gothic" w:cs="Arial"/>
          <w:sz w:val="16"/>
          <w:szCs w:val="16"/>
        </w:rPr>
        <w:t>Foja 92 del Toca 109/2020.</w:t>
      </w:r>
    </w:p>
  </w:footnote>
  <w:footnote w:id="9">
    <w:p w:rsidR="00EC79A8" w:rsidRPr="00A86794" w:rsidRDefault="00EC79A8" w:rsidP="006D1550">
      <w:pPr>
        <w:pStyle w:val="Textonotapie"/>
        <w:spacing w:after="120"/>
        <w:rPr>
          <w:sz w:val="16"/>
          <w:szCs w:val="16"/>
        </w:rPr>
      </w:pPr>
      <w:r w:rsidRPr="00A86794">
        <w:rPr>
          <w:rStyle w:val="Refdenotaalpie"/>
          <w:sz w:val="16"/>
          <w:szCs w:val="16"/>
        </w:rPr>
        <w:footnoteRef/>
      </w:r>
      <w:r w:rsidRPr="00A86794">
        <w:rPr>
          <w:sz w:val="16"/>
          <w:szCs w:val="16"/>
        </w:rPr>
        <w:t xml:space="preserve"> </w:t>
      </w:r>
      <w:r w:rsidRPr="00A86794">
        <w:rPr>
          <w:rFonts w:ascii="Century Gothic" w:hAnsi="Century Gothic" w:cs="Arial"/>
          <w:sz w:val="16"/>
          <w:szCs w:val="16"/>
        </w:rPr>
        <w:t>ídem Foja 123.</w:t>
      </w:r>
    </w:p>
  </w:footnote>
  <w:footnote w:id="10">
    <w:p w:rsidR="00EC79A8" w:rsidRPr="00A86794" w:rsidRDefault="00EC79A8" w:rsidP="006D1550">
      <w:pPr>
        <w:pStyle w:val="Textonotapie"/>
        <w:spacing w:after="120"/>
        <w:rPr>
          <w:sz w:val="16"/>
          <w:szCs w:val="16"/>
        </w:rPr>
      </w:pPr>
      <w:r w:rsidRPr="00A86794">
        <w:rPr>
          <w:rStyle w:val="Refdenotaalpie"/>
          <w:sz w:val="16"/>
          <w:szCs w:val="16"/>
        </w:rPr>
        <w:footnoteRef/>
      </w:r>
      <w:r w:rsidRPr="00A86794">
        <w:rPr>
          <w:sz w:val="16"/>
          <w:szCs w:val="16"/>
        </w:rPr>
        <w:t xml:space="preserve"> </w:t>
      </w:r>
      <w:r w:rsidRPr="00A86794">
        <w:rPr>
          <w:rFonts w:ascii="Century Gothic" w:hAnsi="Century Gothic" w:cs="Arial"/>
          <w:sz w:val="16"/>
          <w:szCs w:val="16"/>
        </w:rPr>
        <w:t>ídem Foja 126.</w:t>
      </w:r>
    </w:p>
  </w:footnote>
  <w:footnote w:id="11">
    <w:p w:rsidR="00EC79A8" w:rsidRDefault="00EC79A8" w:rsidP="006D1550">
      <w:pPr>
        <w:pStyle w:val="Textonotapie"/>
        <w:spacing w:after="120"/>
      </w:pPr>
      <w:r w:rsidRPr="00A86794">
        <w:rPr>
          <w:rStyle w:val="Refdenotaalpie"/>
          <w:sz w:val="16"/>
          <w:szCs w:val="16"/>
        </w:rPr>
        <w:footnoteRef/>
      </w:r>
      <w:r w:rsidRPr="00A86794">
        <w:rPr>
          <w:sz w:val="16"/>
          <w:szCs w:val="16"/>
        </w:rPr>
        <w:t xml:space="preserve"> </w:t>
      </w:r>
      <w:r w:rsidRPr="00A86794">
        <w:rPr>
          <w:rFonts w:ascii="Century Gothic" w:hAnsi="Century Gothic" w:cs="Arial"/>
          <w:sz w:val="16"/>
          <w:szCs w:val="16"/>
        </w:rPr>
        <w:t>ídem Foja 155.</w:t>
      </w:r>
    </w:p>
  </w:footnote>
  <w:footnote w:id="12">
    <w:p w:rsidR="00EC79A8" w:rsidRPr="00A86794" w:rsidRDefault="00EC79A8" w:rsidP="006D1550">
      <w:pPr>
        <w:pStyle w:val="Textonotapie"/>
        <w:spacing w:after="120"/>
        <w:rPr>
          <w:sz w:val="16"/>
          <w:szCs w:val="16"/>
        </w:rPr>
      </w:pPr>
      <w:r w:rsidRPr="00A86794">
        <w:rPr>
          <w:rStyle w:val="Refdenotaalpie"/>
          <w:sz w:val="16"/>
          <w:szCs w:val="16"/>
        </w:rPr>
        <w:footnoteRef/>
      </w:r>
      <w:r w:rsidRPr="00A86794">
        <w:rPr>
          <w:sz w:val="16"/>
          <w:szCs w:val="16"/>
        </w:rPr>
        <w:t xml:space="preserve"> </w:t>
      </w:r>
      <w:r w:rsidRPr="00A86794">
        <w:rPr>
          <w:rFonts w:ascii="Century Gothic" w:hAnsi="Century Gothic" w:cs="Arial"/>
          <w:sz w:val="16"/>
          <w:szCs w:val="16"/>
        </w:rPr>
        <w:t>Foja 167 vta., y 184 del folio actual del expediente queja en que se actúa</w:t>
      </w:r>
    </w:p>
  </w:footnote>
  <w:footnote w:id="13">
    <w:p w:rsidR="00484FA0" w:rsidRPr="00A86794" w:rsidRDefault="00484FA0" w:rsidP="006D1550">
      <w:pPr>
        <w:pStyle w:val="Textonotapie"/>
        <w:spacing w:after="120"/>
        <w:rPr>
          <w:sz w:val="16"/>
          <w:szCs w:val="16"/>
        </w:rPr>
      </w:pPr>
      <w:r w:rsidRPr="00A86794">
        <w:rPr>
          <w:rStyle w:val="Refdenotaalpie"/>
          <w:sz w:val="16"/>
          <w:szCs w:val="16"/>
        </w:rPr>
        <w:footnoteRef/>
      </w:r>
      <w:r w:rsidRPr="00A86794">
        <w:rPr>
          <w:sz w:val="16"/>
          <w:szCs w:val="16"/>
        </w:rPr>
        <w:t xml:space="preserve"> </w:t>
      </w:r>
      <w:r w:rsidRPr="00A86794">
        <w:rPr>
          <w:rFonts w:ascii="Century Gothic" w:hAnsi="Century Gothic" w:cs="Arial"/>
          <w:sz w:val="16"/>
          <w:szCs w:val="16"/>
        </w:rPr>
        <w:t>ídem Foja 185.</w:t>
      </w:r>
    </w:p>
  </w:footnote>
  <w:footnote w:id="14">
    <w:p w:rsidR="00484FA0" w:rsidRDefault="00484FA0" w:rsidP="006D1550">
      <w:pPr>
        <w:pStyle w:val="Textonotapie"/>
        <w:spacing w:after="120"/>
      </w:pPr>
      <w:r w:rsidRPr="00A86794">
        <w:rPr>
          <w:rStyle w:val="Refdenotaalpie"/>
          <w:sz w:val="16"/>
          <w:szCs w:val="16"/>
        </w:rPr>
        <w:footnoteRef/>
      </w:r>
      <w:r w:rsidRPr="00A86794">
        <w:rPr>
          <w:sz w:val="16"/>
          <w:szCs w:val="16"/>
        </w:rPr>
        <w:t xml:space="preserve"> </w:t>
      </w:r>
      <w:r w:rsidRPr="00A86794">
        <w:rPr>
          <w:rFonts w:ascii="Century Gothic" w:hAnsi="Century Gothic" w:cs="Arial"/>
          <w:sz w:val="16"/>
          <w:szCs w:val="16"/>
        </w:rPr>
        <w:t>ídem Foja 188 vta.</w:t>
      </w:r>
    </w:p>
  </w:footnote>
  <w:footnote w:id="15">
    <w:p w:rsidR="00484FA0" w:rsidRPr="00A86794" w:rsidRDefault="00484FA0" w:rsidP="006D1550">
      <w:pPr>
        <w:pStyle w:val="Textonotapie"/>
        <w:spacing w:after="120"/>
        <w:rPr>
          <w:sz w:val="16"/>
          <w:szCs w:val="16"/>
        </w:rPr>
      </w:pPr>
      <w:r w:rsidRPr="00A86794">
        <w:rPr>
          <w:rStyle w:val="Refdenotaalpie"/>
          <w:sz w:val="16"/>
          <w:szCs w:val="16"/>
        </w:rPr>
        <w:footnoteRef/>
      </w:r>
      <w:r w:rsidRPr="00A86794">
        <w:rPr>
          <w:sz w:val="16"/>
          <w:szCs w:val="16"/>
        </w:rPr>
        <w:t xml:space="preserve"> </w:t>
      </w:r>
      <w:r w:rsidRPr="00A86794">
        <w:rPr>
          <w:rFonts w:ascii="Century Gothic" w:hAnsi="Century Gothic" w:cs="Arial"/>
          <w:sz w:val="16"/>
          <w:szCs w:val="16"/>
        </w:rPr>
        <w:t>ídem Foja 190.</w:t>
      </w:r>
    </w:p>
  </w:footnote>
  <w:footnote w:id="16">
    <w:p w:rsidR="00484FA0" w:rsidRPr="00A86794" w:rsidRDefault="00484FA0" w:rsidP="006D1550">
      <w:pPr>
        <w:pStyle w:val="Textonotapie"/>
        <w:spacing w:after="120"/>
        <w:rPr>
          <w:sz w:val="16"/>
          <w:szCs w:val="16"/>
        </w:rPr>
      </w:pPr>
      <w:r w:rsidRPr="00A86794">
        <w:rPr>
          <w:rStyle w:val="Refdenotaalpie"/>
          <w:sz w:val="16"/>
          <w:szCs w:val="16"/>
        </w:rPr>
        <w:footnoteRef/>
      </w:r>
      <w:r w:rsidRPr="00A86794">
        <w:rPr>
          <w:sz w:val="16"/>
          <w:szCs w:val="16"/>
        </w:rPr>
        <w:t xml:space="preserve"> </w:t>
      </w:r>
      <w:r w:rsidRPr="00A86794">
        <w:rPr>
          <w:rFonts w:ascii="Century Gothic" w:hAnsi="Century Gothic" w:cs="Arial"/>
          <w:sz w:val="16"/>
          <w:szCs w:val="16"/>
        </w:rPr>
        <w:t>Foja 195 de los autos que integran el Toca 109/2020.</w:t>
      </w:r>
    </w:p>
  </w:footnote>
  <w:footnote w:id="17">
    <w:p w:rsidR="00484FA0" w:rsidRPr="00A86794" w:rsidRDefault="00484FA0" w:rsidP="006D1550">
      <w:pPr>
        <w:pStyle w:val="Textonotapie"/>
        <w:spacing w:after="120"/>
        <w:rPr>
          <w:sz w:val="16"/>
          <w:szCs w:val="16"/>
        </w:rPr>
      </w:pPr>
      <w:r w:rsidRPr="00A86794">
        <w:rPr>
          <w:rStyle w:val="Refdenotaalpie"/>
          <w:sz w:val="16"/>
          <w:szCs w:val="16"/>
        </w:rPr>
        <w:footnoteRef/>
      </w:r>
      <w:r w:rsidRPr="00A86794">
        <w:rPr>
          <w:sz w:val="16"/>
          <w:szCs w:val="16"/>
        </w:rPr>
        <w:t xml:space="preserve"> </w:t>
      </w:r>
      <w:r w:rsidRPr="00A86794">
        <w:rPr>
          <w:rFonts w:ascii="Century Gothic" w:hAnsi="Century Gothic" w:cs="Arial"/>
          <w:sz w:val="16"/>
          <w:szCs w:val="16"/>
        </w:rPr>
        <w:t>ídem Foja 207.</w:t>
      </w:r>
    </w:p>
  </w:footnote>
  <w:footnote w:id="18">
    <w:p w:rsidR="00484FA0" w:rsidRDefault="00484FA0" w:rsidP="006D1550">
      <w:pPr>
        <w:pStyle w:val="Textonotapie"/>
        <w:spacing w:after="120"/>
      </w:pPr>
      <w:r w:rsidRPr="00A86794">
        <w:rPr>
          <w:rStyle w:val="Refdenotaalpie"/>
          <w:sz w:val="16"/>
          <w:szCs w:val="16"/>
        </w:rPr>
        <w:footnoteRef/>
      </w:r>
      <w:r w:rsidRPr="00A86794">
        <w:rPr>
          <w:sz w:val="16"/>
          <w:szCs w:val="16"/>
        </w:rPr>
        <w:t xml:space="preserve"> </w:t>
      </w:r>
      <w:r w:rsidRPr="00A86794">
        <w:rPr>
          <w:rFonts w:ascii="Century Gothic" w:hAnsi="Century Gothic" w:cs="Arial"/>
          <w:sz w:val="16"/>
          <w:szCs w:val="16"/>
        </w:rPr>
        <w:t>ídem Foja 63.</w:t>
      </w:r>
    </w:p>
  </w:footnote>
  <w:footnote w:id="19">
    <w:p w:rsidR="00484FA0" w:rsidRPr="00A86794" w:rsidRDefault="00484FA0">
      <w:pPr>
        <w:pStyle w:val="Textonotapie"/>
        <w:rPr>
          <w:sz w:val="16"/>
          <w:szCs w:val="16"/>
        </w:rPr>
      </w:pPr>
      <w:r w:rsidRPr="00A86794">
        <w:rPr>
          <w:rStyle w:val="Refdenotaalpie"/>
          <w:sz w:val="16"/>
          <w:szCs w:val="16"/>
        </w:rPr>
        <w:footnoteRef/>
      </w:r>
      <w:r w:rsidRPr="00A86794">
        <w:rPr>
          <w:sz w:val="16"/>
          <w:szCs w:val="16"/>
        </w:rPr>
        <w:t xml:space="preserve"> </w:t>
      </w:r>
      <w:r w:rsidRPr="00A86794">
        <w:rPr>
          <w:rFonts w:ascii="Century Gothic" w:hAnsi="Century Gothic" w:cs="Arial"/>
          <w:sz w:val="16"/>
          <w:szCs w:val="16"/>
        </w:rPr>
        <w:t>ídem Foja 61.</w:t>
      </w:r>
    </w:p>
  </w:footnote>
  <w:footnote w:id="20">
    <w:p w:rsidR="00605BF1" w:rsidRPr="00A86794" w:rsidRDefault="00605BF1" w:rsidP="006D1550">
      <w:pPr>
        <w:pStyle w:val="Textonotapie"/>
        <w:spacing w:after="120"/>
        <w:jc w:val="both"/>
        <w:rPr>
          <w:rFonts w:ascii="Century Gothic" w:hAnsi="Century Gothic"/>
          <w:sz w:val="16"/>
          <w:szCs w:val="16"/>
        </w:rPr>
      </w:pPr>
      <w:r w:rsidRPr="00A86794">
        <w:rPr>
          <w:rStyle w:val="Refdenotaalpie"/>
          <w:rFonts w:ascii="Century Gothic" w:hAnsi="Century Gothic"/>
          <w:sz w:val="16"/>
          <w:szCs w:val="16"/>
        </w:rPr>
        <w:footnoteRef/>
      </w:r>
      <w:r w:rsidRPr="00A86794">
        <w:rPr>
          <w:rFonts w:ascii="Century Gothic" w:hAnsi="Century Gothic"/>
          <w:sz w:val="16"/>
          <w:szCs w:val="16"/>
        </w:rPr>
        <w:t xml:space="preserve"> Artículo </w:t>
      </w:r>
      <w:r w:rsidRPr="00A86794">
        <w:rPr>
          <w:rFonts w:ascii="Century Gothic" w:hAnsi="Century Gothic"/>
          <w:b/>
          <w:sz w:val="16"/>
          <w:szCs w:val="16"/>
        </w:rPr>
        <w:t>72.-</w:t>
      </w:r>
      <w:r w:rsidRPr="00A86794">
        <w:rPr>
          <w:rFonts w:ascii="Century Gothic" w:hAnsi="Century Gothic"/>
          <w:sz w:val="16"/>
          <w:szCs w:val="16"/>
        </w:rPr>
        <w:t xml:space="preserve"> Las actuaciones serán nulas cuando les falte alguna de las formalidades esenciales que prescribe este Código; y cuando la Ley expresamente lo determine, pero no podrá ser invocada una nulidad por la parte que dio lugar a ella. </w:t>
      </w:r>
    </w:p>
    <w:p w:rsidR="00605BF1" w:rsidRPr="00A86794" w:rsidRDefault="00605BF1" w:rsidP="006D1550">
      <w:pPr>
        <w:pStyle w:val="Textonotapie"/>
        <w:spacing w:after="120"/>
        <w:jc w:val="both"/>
        <w:rPr>
          <w:rFonts w:ascii="Century Gothic" w:hAnsi="Century Gothic"/>
          <w:sz w:val="16"/>
          <w:szCs w:val="16"/>
        </w:rPr>
      </w:pPr>
      <w:r w:rsidRPr="00A86794">
        <w:rPr>
          <w:rFonts w:ascii="Century Gothic" w:hAnsi="Century Gothic"/>
          <w:sz w:val="16"/>
          <w:szCs w:val="16"/>
        </w:rPr>
        <w:t>La nulidad establecida en beneficio de una de las partes no puede ser invocada por la otra.</w:t>
      </w:r>
    </w:p>
    <w:p w:rsidR="00605BF1" w:rsidRPr="00A86794" w:rsidRDefault="00605BF1" w:rsidP="006D1550">
      <w:pPr>
        <w:pStyle w:val="Textonotapie"/>
        <w:spacing w:after="120"/>
        <w:jc w:val="both"/>
        <w:rPr>
          <w:rFonts w:ascii="Century Gothic" w:hAnsi="Century Gothic"/>
          <w:sz w:val="16"/>
          <w:szCs w:val="16"/>
        </w:rPr>
      </w:pPr>
      <w:r w:rsidRPr="00A86794">
        <w:rPr>
          <w:rFonts w:ascii="Century Gothic" w:hAnsi="Century Gothic"/>
          <w:sz w:val="16"/>
          <w:szCs w:val="16"/>
        </w:rPr>
        <w:t xml:space="preserve">Artículo </w:t>
      </w:r>
      <w:r w:rsidRPr="00A86794">
        <w:rPr>
          <w:rFonts w:ascii="Century Gothic" w:hAnsi="Century Gothic"/>
          <w:b/>
          <w:sz w:val="16"/>
          <w:szCs w:val="16"/>
        </w:rPr>
        <w:t>74.-</w:t>
      </w:r>
      <w:r w:rsidRPr="00A86794">
        <w:rPr>
          <w:rFonts w:ascii="Century Gothic" w:hAnsi="Century Gothic"/>
          <w:sz w:val="16"/>
          <w:szCs w:val="16"/>
        </w:rPr>
        <w:t xml:space="preserve"> La nulidad de una actuación debe reclamarse en la actuación subsecuente en que intervenga el que la promueve; de lo contrario, aquella queda revalidada de pleno derecho, con excepción de la nulidad por defecto en el emplazamiento. </w:t>
      </w:r>
    </w:p>
    <w:p w:rsidR="00605BF1" w:rsidRPr="00A86794" w:rsidRDefault="00605BF1" w:rsidP="006D1550">
      <w:pPr>
        <w:pStyle w:val="Textonotapie"/>
        <w:spacing w:after="120"/>
        <w:jc w:val="both"/>
        <w:rPr>
          <w:rFonts w:ascii="Century Gothic" w:hAnsi="Century Gothic"/>
          <w:sz w:val="16"/>
          <w:szCs w:val="16"/>
        </w:rPr>
      </w:pPr>
      <w:r w:rsidRPr="00A86794">
        <w:rPr>
          <w:rFonts w:ascii="Century Gothic" w:hAnsi="Century Gothic"/>
          <w:sz w:val="16"/>
          <w:szCs w:val="16"/>
        </w:rPr>
        <w:t xml:space="preserve">Artículo </w:t>
      </w:r>
      <w:r w:rsidRPr="00A86794">
        <w:rPr>
          <w:rFonts w:ascii="Century Gothic" w:hAnsi="Century Gothic"/>
          <w:b/>
          <w:sz w:val="16"/>
          <w:szCs w:val="16"/>
        </w:rPr>
        <w:t>75.-</w:t>
      </w:r>
      <w:r w:rsidRPr="00A86794">
        <w:rPr>
          <w:rFonts w:ascii="Century Gothic" w:hAnsi="Century Gothic"/>
          <w:sz w:val="16"/>
          <w:szCs w:val="16"/>
        </w:rPr>
        <w:t xml:space="preserve"> </w:t>
      </w:r>
      <w:r w:rsidRPr="00A86794">
        <w:rPr>
          <w:rFonts w:ascii="Century Gothic" w:hAnsi="Century Gothic" w:cs="Arial"/>
          <w:bCs/>
          <w:sz w:val="16"/>
          <w:szCs w:val="16"/>
          <w:lang w:eastAsia="es-MX"/>
        </w:rPr>
        <w:t>Las nulidades a que se refiere el artículo anterior se promoverán ante el mismo juez o tribunal que conozca del negocio. Si la parte contraria estuviere conforme, se declarará desde luego la nulidad de lo actuado desde la notificación hecha indebidamente. Si no estuviere conforme, se convocará a una audiencia que tendrá verificativo a más tardar dentro de cinco días, en la que los interesados podrán presentar las pruebas que tuvieren. En la misma audiencia se resolverá lo que procediere en justicia, sin recurso alguno, salvo que se trate de nulidades por falta de emplazamiento, de citación para absolver posiciones o para reconocimiento de documentos, que serán apelables…”.</w:t>
      </w:r>
    </w:p>
  </w:footnote>
  <w:footnote w:id="21">
    <w:p w:rsidR="00630979" w:rsidRPr="00A86794" w:rsidRDefault="00630979" w:rsidP="006D1550">
      <w:pPr>
        <w:pStyle w:val="Textonotapie"/>
        <w:spacing w:after="120"/>
        <w:jc w:val="both"/>
        <w:rPr>
          <w:rFonts w:ascii="Century Gothic" w:hAnsi="Century Gothic"/>
          <w:sz w:val="16"/>
          <w:szCs w:val="16"/>
        </w:rPr>
      </w:pPr>
      <w:r w:rsidRPr="00A86794">
        <w:rPr>
          <w:rStyle w:val="Refdenotaalpie"/>
          <w:sz w:val="16"/>
          <w:szCs w:val="16"/>
        </w:rPr>
        <w:footnoteRef/>
      </w:r>
      <w:r w:rsidRPr="00A86794">
        <w:rPr>
          <w:sz w:val="16"/>
          <w:szCs w:val="16"/>
        </w:rPr>
        <w:t xml:space="preserve"> “</w:t>
      </w:r>
      <w:r w:rsidRPr="00A86794">
        <w:rPr>
          <w:rFonts w:ascii="Century Gothic" w:hAnsi="Century Gothic"/>
          <w:b/>
          <w:sz w:val="16"/>
          <w:szCs w:val="16"/>
        </w:rPr>
        <w:t xml:space="preserve">Artículo 778. </w:t>
      </w:r>
      <w:r w:rsidRPr="00A86794">
        <w:rPr>
          <w:rFonts w:ascii="Century Gothic" w:hAnsi="Century Gothic"/>
          <w:sz w:val="16"/>
          <w:szCs w:val="16"/>
        </w:rPr>
        <w:t>Promovido el incidente observando en lo relativo las prevenciones de los artículos 253 y 254 y una vez formada en su caso la pieza correspondiente, se correrá traslado a la contra parte para que la conteste dentro de tres días.”</w:t>
      </w:r>
    </w:p>
    <w:p w:rsidR="00630979" w:rsidRPr="001155A7" w:rsidRDefault="00630979" w:rsidP="006D1550">
      <w:pPr>
        <w:pStyle w:val="Textonotapie"/>
        <w:spacing w:after="120"/>
        <w:jc w:val="both"/>
        <w:rPr>
          <w:rFonts w:ascii="Century Gothic" w:hAnsi="Century Gothic"/>
          <w:sz w:val="16"/>
          <w:szCs w:val="16"/>
        </w:rPr>
      </w:pPr>
      <w:r w:rsidRPr="00A86794">
        <w:rPr>
          <w:rFonts w:ascii="Century Gothic" w:hAnsi="Century Gothic"/>
          <w:b/>
          <w:sz w:val="16"/>
          <w:szCs w:val="16"/>
        </w:rPr>
        <w:t xml:space="preserve">“Artículo 109. </w:t>
      </w:r>
      <w:r w:rsidRPr="00A86794">
        <w:rPr>
          <w:rFonts w:ascii="Century Gothic" w:hAnsi="Century Gothic"/>
          <w:sz w:val="16"/>
          <w:szCs w:val="16"/>
        </w:rPr>
        <w:t>Será notificado personalmente en el domicilio señalado por los mencionados en el primer párrafo del artículo 107: …III. Las sentencias definitivas o aquéllas que pongan fin al procedimiento, y IV. Cuando se trate de casos urgentes o cuando la ley lo ordene, o el juez fundada y motivadamente, así lo determine.”</w:t>
      </w:r>
    </w:p>
  </w:footnote>
  <w:footnote w:id="22">
    <w:p w:rsidR="007A05E5" w:rsidRDefault="007A05E5" w:rsidP="007A05E5">
      <w:pPr>
        <w:pStyle w:val="Textonotapie"/>
        <w:spacing w:after="120"/>
        <w:jc w:val="both"/>
        <w:rPr>
          <w:rFonts w:ascii="Century Gothic" w:hAnsi="Century Gothic"/>
          <w:sz w:val="16"/>
          <w:szCs w:val="16"/>
        </w:rPr>
      </w:pPr>
      <w:r w:rsidRPr="00A560D1">
        <w:rPr>
          <w:rStyle w:val="Refdenotaalpie"/>
          <w:sz w:val="16"/>
          <w:szCs w:val="16"/>
        </w:rPr>
        <w:footnoteRef/>
      </w:r>
      <w:r>
        <w:rPr>
          <w:sz w:val="16"/>
          <w:szCs w:val="16"/>
        </w:rPr>
        <w:t xml:space="preserve"> </w:t>
      </w:r>
      <w:r>
        <w:rPr>
          <w:rFonts w:ascii="Century Gothic" w:hAnsi="Century Gothic"/>
          <w:b/>
          <w:sz w:val="16"/>
          <w:szCs w:val="16"/>
        </w:rPr>
        <w:t xml:space="preserve">“Artículo 253 </w:t>
      </w:r>
      <w:r>
        <w:rPr>
          <w:rFonts w:ascii="Century Gothic" w:hAnsi="Century Gothic"/>
          <w:sz w:val="16"/>
          <w:szCs w:val="16"/>
        </w:rPr>
        <w:t>Toda contienda judicial principiará por demanda en la cual expresará:</w:t>
      </w:r>
    </w:p>
    <w:p w:rsidR="007A05E5" w:rsidRPr="00CE34FD" w:rsidRDefault="007A05E5" w:rsidP="007A05E5">
      <w:pPr>
        <w:pStyle w:val="Textonotapie"/>
        <w:numPr>
          <w:ilvl w:val="0"/>
          <w:numId w:val="6"/>
        </w:numPr>
        <w:spacing w:after="120"/>
        <w:jc w:val="both"/>
        <w:rPr>
          <w:sz w:val="16"/>
          <w:szCs w:val="16"/>
        </w:rPr>
      </w:pPr>
      <w:r>
        <w:rPr>
          <w:rFonts w:ascii="Century Gothic" w:hAnsi="Century Gothic"/>
          <w:sz w:val="16"/>
          <w:szCs w:val="16"/>
        </w:rPr>
        <w:t>El Tribunal ante el cual se promueve</w:t>
      </w:r>
    </w:p>
    <w:p w:rsidR="007A05E5" w:rsidRPr="00CE34FD" w:rsidRDefault="007A05E5" w:rsidP="007A05E5">
      <w:pPr>
        <w:pStyle w:val="Textonotapie"/>
        <w:numPr>
          <w:ilvl w:val="0"/>
          <w:numId w:val="6"/>
        </w:numPr>
        <w:spacing w:after="120"/>
        <w:jc w:val="both"/>
        <w:rPr>
          <w:sz w:val="16"/>
          <w:szCs w:val="16"/>
        </w:rPr>
      </w:pPr>
      <w:r>
        <w:rPr>
          <w:rFonts w:ascii="Century Gothic" w:hAnsi="Century Gothic"/>
          <w:sz w:val="16"/>
          <w:szCs w:val="16"/>
        </w:rPr>
        <w:t>El nombre del actor y la casa que señale para oír notificaciones:</w:t>
      </w:r>
    </w:p>
    <w:p w:rsidR="007A05E5" w:rsidRPr="00CE34FD" w:rsidRDefault="007A05E5" w:rsidP="007A05E5">
      <w:pPr>
        <w:pStyle w:val="Textonotapie"/>
        <w:numPr>
          <w:ilvl w:val="0"/>
          <w:numId w:val="6"/>
        </w:numPr>
        <w:spacing w:after="120"/>
        <w:jc w:val="both"/>
        <w:rPr>
          <w:sz w:val="16"/>
          <w:szCs w:val="16"/>
        </w:rPr>
      </w:pPr>
      <w:r>
        <w:rPr>
          <w:rFonts w:ascii="Century Gothic" w:hAnsi="Century Gothic"/>
          <w:sz w:val="16"/>
          <w:szCs w:val="16"/>
        </w:rPr>
        <w:t>El nombre del demandado y su domicilio:</w:t>
      </w:r>
    </w:p>
    <w:p w:rsidR="007A05E5" w:rsidRPr="00CE34FD" w:rsidRDefault="007A05E5" w:rsidP="007A05E5">
      <w:pPr>
        <w:pStyle w:val="Textonotapie"/>
        <w:numPr>
          <w:ilvl w:val="0"/>
          <w:numId w:val="6"/>
        </w:numPr>
        <w:spacing w:after="120"/>
        <w:jc w:val="both"/>
        <w:rPr>
          <w:sz w:val="16"/>
          <w:szCs w:val="16"/>
        </w:rPr>
      </w:pPr>
      <w:r>
        <w:rPr>
          <w:rFonts w:ascii="Century Gothic" w:hAnsi="Century Gothic"/>
          <w:sz w:val="16"/>
          <w:szCs w:val="16"/>
        </w:rPr>
        <w:t>El objeto u objetos que se reclamen con sus accesorios;</w:t>
      </w:r>
    </w:p>
    <w:p w:rsidR="007A05E5" w:rsidRPr="00CE34FD" w:rsidRDefault="007A05E5" w:rsidP="007A05E5">
      <w:pPr>
        <w:pStyle w:val="Textonotapie"/>
        <w:numPr>
          <w:ilvl w:val="0"/>
          <w:numId w:val="6"/>
        </w:numPr>
        <w:spacing w:after="120"/>
        <w:jc w:val="both"/>
        <w:rPr>
          <w:sz w:val="16"/>
          <w:szCs w:val="16"/>
        </w:rPr>
      </w:pPr>
      <w:r>
        <w:rPr>
          <w:rFonts w:ascii="Century Gothic" w:hAnsi="Century Gothic"/>
          <w:sz w:val="16"/>
          <w:szCs w:val="16"/>
        </w:rPr>
        <w:t>Los hechos en que el actor funde su petición, numerándolos y narrándolos sucintamente con claridad y precisión; de tal manera que el demandado pueda preparar su contestación y defensa;</w:t>
      </w:r>
    </w:p>
    <w:p w:rsidR="007A05E5" w:rsidRPr="00CE34FD" w:rsidRDefault="007A05E5" w:rsidP="007A05E5">
      <w:pPr>
        <w:pStyle w:val="Textonotapie"/>
        <w:numPr>
          <w:ilvl w:val="0"/>
          <w:numId w:val="6"/>
        </w:numPr>
        <w:spacing w:after="120"/>
        <w:jc w:val="both"/>
        <w:rPr>
          <w:sz w:val="16"/>
          <w:szCs w:val="16"/>
        </w:rPr>
      </w:pPr>
      <w:r>
        <w:rPr>
          <w:rFonts w:ascii="Century Gothic" w:hAnsi="Century Gothic"/>
          <w:sz w:val="16"/>
          <w:szCs w:val="16"/>
        </w:rPr>
        <w:t>Los fundamentos de derecho, procurando citar los preceptos legales o principios jurídicos aplicables;</w:t>
      </w:r>
    </w:p>
    <w:p w:rsidR="007A05E5" w:rsidRPr="00CE34FD" w:rsidRDefault="007A05E5" w:rsidP="007A05E5">
      <w:pPr>
        <w:pStyle w:val="Textonotapie"/>
        <w:numPr>
          <w:ilvl w:val="0"/>
          <w:numId w:val="6"/>
        </w:numPr>
        <w:spacing w:after="120"/>
        <w:jc w:val="both"/>
        <w:rPr>
          <w:sz w:val="16"/>
          <w:szCs w:val="16"/>
        </w:rPr>
      </w:pPr>
      <w:r>
        <w:rPr>
          <w:rFonts w:ascii="Century Gothic" w:hAnsi="Century Gothic"/>
          <w:sz w:val="16"/>
          <w:szCs w:val="16"/>
        </w:rPr>
        <w:t>En su caso el valor de lo demandado.”</w:t>
      </w:r>
    </w:p>
    <w:p w:rsidR="007A05E5" w:rsidRPr="00CE34FD" w:rsidRDefault="007A05E5" w:rsidP="007A05E5">
      <w:pPr>
        <w:pStyle w:val="Textonotapie"/>
        <w:spacing w:after="120"/>
        <w:jc w:val="both"/>
        <w:rPr>
          <w:sz w:val="16"/>
          <w:szCs w:val="16"/>
        </w:rPr>
      </w:pPr>
      <w:r>
        <w:rPr>
          <w:rFonts w:ascii="Century Gothic" w:hAnsi="Century Gothic"/>
          <w:b/>
          <w:sz w:val="16"/>
          <w:szCs w:val="16"/>
        </w:rPr>
        <w:t xml:space="preserve">“Artículo 254. </w:t>
      </w:r>
      <w:r>
        <w:rPr>
          <w:rFonts w:ascii="Century Gothic" w:hAnsi="Century Gothic"/>
          <w:sz w:val="16"/>
          <w:szCs w:val="16"/>
        </w:rPr>
        <w:t>Presentada la demanda con los documentos y copias prevenidos, se correrá traslado de ella a la persona o personas contra quienes se proponga, y se les emplazará para que la contesten dentro de nueve días. Este auto será apelable en el efecto devolutivo.”</w:t>
      </w:r>
    </w:p>
    <w:p w:rsidR="007A05E5" w:rsidRPr="00A560D1" w:rsidRDefault="007A05E5" w:rsidP="007A05E5">
      <w:pPr>
        <w:pStyle w:val="Textonotapie"/>
        <w:spacing w:after="120"/>
        <w:jc w:val="both"/>
        <w:rPr>
          <w:rFonts w:ascii="Century Gothic" w:hAnsi="Century Gothic"/>
          <w:sz w:val="16"/>
          <w:szCs w:val="16"/>
        </w:rPr>
      </w:pPr>
      <w:r>
        <w:rPr>
          <w:rFonts w:ascii="Century Gothic" w:hAnsi="Century Gothic"/>
          <w:b/>
          <w:sz w:val="16"/>
          <w:szCs w:val="16"/>
        </w:rPr>
        <w:t>“</w:t>
      </w:r>
      <w:r w:rsidRPr="00A560D1">
        <w:rPr>
          <w:rFonts w:ascii="Century Gothic" w:hAnsi="Century Gothic"/>
          <w:b/>
          <w:sz w:val="16"/>
          <w:szCs w:val="16"/>
        </w:rPr>
        <w:t xml:space="preserve">Artículo 778. </w:t>
      </w:r>
      <w:r w:rsidRPr="00A560D1">
        <w:rPr>
          <w:rFonts w:ascii="Century Gothic" w:hAnsi="Century Gothic"/>
          <w:sz w:val="16"/>
          <w:szCs w:val="16"/>
        </w:rPr>
        <w:t>Promovido el incidente observando en lo relativo las prevenciones de los artículos 253 y 254 y una vez formada en su caso la pieza correspondiente, se correrá traslado a la contra parte para que la conteste dentro de tres días.”</w:t>
      </w:r>
    </w:p>
    <w:p w:rsidR="007A05E5" w:rsidRPr="001155A7" w:rsidRDefault="007A05E5" w:rsidP="007A05E5">
      <w:pPr>
        <w:pStyle w:val="Textonotapie"/>
        <w:spacing w:after="120"/>
        <w:jc w:val="both"/>
        <w:rPr>
          <w:rFonts w:ascii="Century Gothic" w:hAnsi="Century Gothic"/>
          <w:sz w:val="16"/>
          <w:szCs w:val="16"/>
        </w:rPr>
      </w:pPr>
      <w:r w:rsidRPr="00A560D1">
        <w:rPr>
          <w:rFonts w:ascii="Century Gothic" w:hAnsi="Century Gothic"/>
          <w:b/>
          <w:sz w:val="16"/>
          <w:szCs w:val="16"/>
        </w:rPr>
        <w:t xml:space="preserve">“Artículo 109. </w:t>
      </w:r>
      <w:r w:rsidRPr="00A560D1">
        <w:rPr>
          <w:rFonts w:ascii="Century Gothic" w:hAnsi="Century Gothic"/>
          <w:sz w:val="16"/>
          <w:szCs w:val="16"/>
        </w:rPr>
        <w:t>Será notificado personalmente en el domicilio señalado por los mencionados en el primer párrafo del artículo 107: …III. Las sentencias definitivas o aquéllas que pongan fin al procedimiento, y IV. Cuando se trate de casos urgentes o cuando la ley lo ordene, o el juez fundada y motivadamente, así lo determine.”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8CD" w:rsidRPr="00583EE6" w:rsidRDefault="00BE18CD" w:rsidP="00BE18CD">
    <w:pPr>
      <w:pStyle w:val="Encabezado"/>
      <w:spacing w:after="0" w:line="360" w:lineRule="auto"/>
      <w:ind w:right="-23"/>
      <w:rPr>
        <w:rFonts w:ascii="Arial" w:hAnsi="Arial" w:cs="Arial"/>
        <w:b/>
        <w:sz w:val="20"/>
        <w:szCs w:val="20"/>
      </w:rPr>
    </w:pPr>
    <w:r>
      <w:rPr>
        <w:rFonts w:ascii="Arial" w:hAnsi="Arial" w:cs="Arial"/>
        <w:b/>
        <w:sz w:val="20"/>
        <w:szCs w:val="20"/>
      </w:rPr>
      <w:t xml:space="preserve">                                                               </w:t>
    </w:r>
    <w:r w:rsidRPr="00583EE6">
      <w:rPr>
        <w:rFonts w:ascii="Arial" w:hAnsi="Arial" w:cs="Arial"/>
        <w:b/>
        <w:sz w:val="20"/>
        <w:szCs w:val="20"/>
      </w:rPr>
      <w:t>RECURSO DE QUEJA</w:t>
    </w:r>
  </w:p>
  <w:p w:rsidR="00BE18CD" w:rsidRDefault="00BE18CD" w:rsidP="00BE18CD">
    <w:pPr>
      <w:pStyle w:val="Encabezado"/>
      <w:spacing w:after="0" w:line="360" w:lineRule="auto"/>
      <w:ind w:right="-23"/>
    </w:pPr>
    <w:r>
      <w:rPr>
        <w:rFonts w:ascii="Arial" w:hAnsi="Arial" w:cs="Arial"/>
        <w:b/>
        <w:sz w:val="20"/>
        <w:szCs w:val="20"/>
      </w:rPr>
      <w:t xml:space="preserve">                                                                     </w:t>
    </w:r>
    <w:r w:rsidRPr="00583EE6">
      <w:rPr>
        <w:rFonts w:ascii="Arial" w:hAnsi="Arial" w:cs="Arial"/>
        <w:b/>
        <w:sz w:val="20"/>
        <w:szCs w:val="20"/>
      </w:rPr>
      <w:t xml:space="preserve">TOCA </w:t>
    </w:r>
    <w:r>
      <w:rPr>
        <w:rFonts w:ascii="Arial" w:hAnsi="Arial" w:cs="Arial"/>
        <w:b/>
        <w:sz w:val="20"/>
        <w:szCs w:val="20"/>
      </w:rPr>
      <w:t>109/2020</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6610" w:rsidRPr="00583EE6" w:rsidRDefault="0000721E" w:rsidP="00716610">
    <w:pPr>
      <w:pStyle w:val="Encabezado"/>
      <w:spacing w:after="0" w:line="360" w:lineRule="auto"/>
      <w:ind w:right="-23"/>
      <w:rPr>
        <w:rFonts w:ascii="Arial" w:hAnsi="Arial" w:cs="Arial"/>
        <w:b/>
        <w:sz w:val="20"/>
        <w:szCs w:val="20"/>
      </w:rPr>
    </w:pPr>
    <w:r>
      <w:rPr>
        <w:rFonts w:ascii="Arial" w:hAnsi="Arial" w:cs="Arial"/>
        <w:b/>
        <w:noProof/>
        <w:sz w:val="20"/>
        <w:szCs w:val="20"/>
        <w:lang w:eastAsia="es-MX"/>
      </w:rPr>
      <w:drawing>
        <wp:anchor distT="0" distB="0" distL="114300" distR="114300" simplePos="0" relativeHeight="251659264" behindDoc="1" locked="0" layoutInCell="1" allowOverlap="1" wp14:anchorId="11B70C89" wp14:editId="366898F8">
          <wp:simplePos x="0" y="0"/>
          <wp:positionH relativeFrom="column">
            <wp:posOffset>4408170</wp:posOffset>
          </wp:positionH>
          <wp:positionV relativeFrom="paragraph">
            <wp:posOffset>-261620</wp:posOffset>
          </wp:positionV>
          <wp:extent cx="1475740" cy="716280"/>
          <wp:effectExtent l="0" t="0" r="0" b="762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740" cy="716280"/>
                  </a:xfrm>
                  <a:prstGeom prst="rect">
                    <a:avLst/>
                  </a:prstGeom>
                  <a:noFill/>
                  <a:ln>
                    <a:noFill/>
                  </a:ln>
                </pic:spPr>
              </pic:pic>
            </a:graphicData>
          </a:graphic>
          <wp14:sizeRelH relativeFrom="page">
            <wp14:pctWidth>0</wp14:pctWidth>
          </wp14:sizeRelH>
          <wp14:sizeRelV relativeFrom="page">
            <wp14:pctHeight>0</wp14:pctHeight>
          </wp14:sizeRelV>
        </wp:anchor>
      </w:drawing>
    </w:r>
    <w:r w:rsidR="00716610">
      <w:rPr>
        <w:rFonts w:ascii="Arial" w:hAnsi="Arial" w:cs="Arial"/>
        <w:b/>
        <w:noProof/>
        <w:sz w:val="20"/>
        <w:szCs w:val="20"/>
        <w:lang w:eastAsia="es-MX"/>
      </w:rPr>
      <w:drawing>
        <wp:anchor distT="0" distB="0" distL="114300" distR="114300" simplePos="0" relativeHeight="251660288" behindDoc="1" locked="0" layoutInCell="1" allowOverlap="1" wp14:anchorId="2005929E" wp14:editId="10D68B9F">
          <wp:simplePos x="0" y="0"/>
          <wp:positionH relativeFrom="column">
            <wp:posOffset>-1089025</wp:posOffset>
          </wp:positionH>
          <wp:positionV relativeFrom="paragraph">
            <wp:posOffset>-287020</wp:posOffset>
          </wp:positionV>
          <wp:extent cx="867410" cy="770255"/>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7410" cy="770255"/>
                  </a:xfrm>
                  <a:prstGeom prst="rect">
                    <a:avLst/>
                  </a:prstGeom>
                  <a:noFill/>
                  <a:ln>
                    <a:noFill/>
                  </a:ln>
                </pic:spPr>
              </pic:pic>
            </a:graphicData>
          </a:graphic>
          <wp14:sizeRelH relativeFrom="page">
            <wp14:pctWidth>0</wp14:pctWidth>
          </wp14:sizeRelH>
          <wp14:sizeRelV relativeFrom="page">
            <wp14:pctHeight>0</wp14:pctHeight>
          </wp14:sizeRelV>
        </wp:anchor>
      </w:drawing>
    </w:r>
    <w:r w:rsidR="00716610">
      <w:rPr>
        <w:rFonts w:ascii="Arial" w:hAnsi="Arial" w:cs="Arial"/>
        <w:b/>
        <w:sz w:val="20"/>
        <w:szCs w:val="20"/>
      </w:rPr>
      <w:t xml:space="preserve">                                                </w:t>
    </w:r>
    <w:r w:rsidR="00716610" w:rsidRPr="00583EE6">
      <w:rPr>
        <w:rFonts w:ascii="Arial" w:hAnsi="Arial" w:cs="Arial"/>
        <w:b/>
        <w:sz w:val="20"/>
        <w:szCs w:val="20"/>
      </w:rPr>
      <w:t>RECURSO DE QUEJA</w:t>
    </w:r>
  </w:p>
  <w:p w:rsidR="004358B2" w:rsidRPr="00716610" w:rsidRDefault="00716610" w:rsidP="00716610">
    <w:pPr>
      <w:pStyle w:val="Encabezado"/>
      <w:spacing w:after="0" w:line="360" w:lineRule="auto"/>
      <w:ind w:right="-23"/>
    </w:pPr>
    <w:r>
      <w:rPr>
        <w:rFonts w:ascii="Arial" w:hAnsi="Arial" w:cs="Arial"/>
        <w:b/>
        <w:sz w:val="20"/>
        <w:szCs w:val="20"/>
      </w:rPr>
      <w:t xml:space="preserve">                                                      </w:t>
    </w:r>
    <w:r w:rsidRPr="00583EE6">
      <w:rPr>
        <w:rFonts w:ascii="Arial" w:hAnsi="Arial" w:cs="Arial"/>
        <w:b/>
        <w:sz w:val="20"/>
        <w:szCs w:val="20"/>
      </w:rPr>
      <w:t xml:space="preserve">TOCA </w:t>
    </w:r>
    <w:r>
      <w:rPr>
        <w:rFonts w:ascii="Arial" w:hAnsi="Arial" w:cs="Arial"/>
        <w:b/>
        <w:sz w:val="20"/>
        <w:szCs w:val="20"/>
      </w:rPr>
      <w:t>109/2020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F6B5A"/>
    <w:multiLevelType w:val="hybridMultilevel"/>
    <w:tmpl w:val="72327F80"/>
    <w:lvl w:ilvl="0" w:tplc="353477D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83950D3"/>
    <w:multiLevelType w:val="hybridMultilevel"/>
    <w:tmpl w:val="F646A15C"/>
    <w:lvl w:ilvl="0" w:tplc="F52EA6C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5AE24CCA"/>
    <w:multiLevelType w:val="hybridMultilevel"/>
    <w:tmpl w:val="AC26AF00"/>
    <w:lvl w:ilvl="0" w:tplc="281E7E1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D2B61D4"/>
    <w:multiLevelType w:val="hybridMultilevel"/>
    <w:tmpl w:val="CDAE1742"/>
    <w:lvl w:ilvl="0" w:tplc="BCDE3BD6">
      <w:start w:val="1"/>
      <w:numFmt w:val="decimal"/>
      <w:lvlText w:val="%1."/>
      <w:lvlJc w:val="left"/>
      <w:pPr>
        <w:ind w:left="1845" w:hanging="405"/>
      </w:pPr>
      <w:rPr>
        <w:rFonts w:hint="default"/>
      </w:rPr>
    </w:lvl>
    <w:lvl w:ilvl="1" w:tplc="080A0019">
      <w:start w:val="1"/>
      <w:numFmt w:val="lowerLetter"/>
      <w:lvlText w:val="%2."/>
      <w:lvlJc w:val="left"/>
      <w:pPr>
        <w:ind w:left="2520" w:hanging="360"/>
      </w:pPr>
    </w:lvl>
    <w:lvl w:ilvl="2" w:tplc="080A001B">
      <w:start w:val="1"/>
      <w:numFmt w:val="lowerRoman"/>
      <w:lvlText w:val="%3."/>
      <w:lvlJc w:val="right"/>
      <w:pPr>
        <w:ind w:left="3240" w:hanging="180"/>
      </w:pPr>
    </w:lvl>
    <w:lvl w:ilvl="3" w:tplc="080A000F">
      <w:start w:val="1"/>
      <w:numFmt w:val="decimal"/>
      <w:lvlText w:val="%4."/>
      <w:lvlJc w:val="left"/>
      <w:pPr>
        <w:ind w:left="3960" w:hanging="360"/>
      </w:pPr>
    </w:lvl>
    <w:lvl w:ilvl="4" w:tplc="080A0019">
      <w:start w:val="1"/>
      <w:numFmt w:val="lowerLetter"/>
      <w:lvlText w:val="%5."/>
      <w:lvlJc w:val="left"/>
      <w:pPr>
        <w:ind w:left="4680" w:hanging="360"/>
      </w:pPr>
    </w:lvl>
    <w:lvl w:ilvl="5" w:tplc="080A001B">
      <w:start w:val="1"/>
      <w:numFmt w:val="lowerRoman"/>
      <w:lvlText w:val="%6."/>
      <w:lvlJc w:val="right"/>
      <w:pPr>
        <w:ind w:left="5400" w:hanging="180"/>
      </w:pPr>
    </w:lvl>
    <w:lvl w:ilvl="6" w:tplc="080A000F">
      <w:start w:val="1"/>
      <w:numFmt w:val="decimal"/>
      <w:lvlText w:val="%7."/>
      <w:lvlJc w:val="left"/>
      <w:pPr>
        <w:ind w:left="6120" w:hanging="360"/>
      </w:pPr>
    </w:lvl>
    <w:lvl w:ilvl="7" w:tplc="080A0019">
      <w:start w:val="1"/>
      <w:numFmt w:val="lowerLetter"/>
      <w:lvlText w:val="%8."/>
      <w:lvlJc w:val="left"/>
      <w:pPr>
        <w:ind w:left="6840" w:hanging="360"/>
      </w:pPr>
    </w:lvl>
    <w:lvl w:ilvl="8" w:tplc="080A001B">
      <w:start w:val="1"/>
      <w:numFmt w:val="lowerRoman"/>
      <w:lvlText w:val="%9."/>
      <w:lvlJc w:val="right"/>
      <w:pPr>
        <w:ind w:left="7560" w:hanging="180"/>
      </w:pPr>
    </w:lvl>
  </w:abstractNum>
  <w:abstractNum w:abstractNumId="4" w15:restartNumberingAfterBreak="0">
    <w:nsid w:val="740B106A"/>
    <w:multiLevelType w:val="hybridMultilevel"/>
    <w:tmpl w:val="4028919E"/>
    <w:lvl w:ilvl="0" w:tplc="C40CAFE4">
      <w:start w:val="1"/>
      <w:numFmt w:val="upperRoman"/>
      <w:lvlText w:val="%1."/>
      <w:lvlJc w:val="left"/>
      <w:pPr>
        <w:ind w:left="1080" w:hanging="720"/>
      </w:pPr>
      <w:rPr>
        <w:rFonts w:ascii="Century Gothic" w:hAnsi="Century Gothic"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7B4B4284"/>
    <w:multiLevelType w:val="hybridMultilevel"/>
    <w:tmpl w:val="97088808"/>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5"/>
  </w:num>
  <w:num w:numId="2">
    <w:abstractNumId w:val="3"/>
  </w:num>
  <w:num w:numId="3">
    <w:abstractNumId w:val="1"/>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mirrorMargins/>
  <w:proofState w:spelling="clean" w:grammar="clean"/>
  <w:defaultTabStop w:val="708"/>
  <w:hyphenationZone w:val="425"/>
  <w:doNotHyphenateCaps/>
  <w:evenAndOddHeaders/>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C4B"/>
    <w:rsid w:val="00001BBA"/>
    <w:rsid w:val="00003CA8"/>
    <w:rsid w:val="00003E39"/>
    <w:rsid w:val="0000708B"/>
    <w:rsid w:val="0000721E"/>
    <w:rsid w:val="000072CF"/>
    <w:rsid w:val="000105E9"/>
    <w:rsid w:val="00016D01"/>
    <w:rsid w:val="00020BE8"/>
    <w:rsid w:val="00021116"/>
    <w:rsid w:val="00022C8E"/>
    <w:rsid w:val="00024AB5"/>
    <w:rsid w:val="0002586F"/>
    <w:rsid w:val="000321EA"/>
    <w:rsid w:val="000374A8"/>
    <w:rsid w:val="000409BA"/>
    <w:rsid w:val="00041BC7"/>
    <w:rsid w:val="000437AD"/>
    <w:rsid w:val="00045911"/>
    <w:rsid w:val="0004592C"/>
    <w:rsid w:val="00047AE5"/>
    <w:rsid w:val="00051293"/>
    <w:rsid w:val="0005195F"/>
    <w:rsid w:val="00052630"/>
    <w:rsid w:val="00054838"/>
    <w:rsid w:val="00056BA5"/>
    <w:rsid w:val="00064E5C"/>
    <w:rsid w:val="00065C6C"/>
    <w:rsid w:val="000713FF"/>
    <w:rsid w:val="00071871"/>
    <w:rsid w:val="00071B5C"/>
    <w:rsid w:val="00072321"/>
    <w:rsid w:val="00074839"/>
    <w:rsid w:val="00075048"/>
    <w:rsid w:val="000760E5"/>
    <w:rsid w:val="0007783B"/>
    <w:rsid w:val="00081B57"/>
    <w:rsid w:val="000829BF"/>
    <w:rsid w:val="00082DAF"/>
    <w:rsid w:val="00084E78"/>
    <w:rsid w:val="000860C2"/>
    <w:rsid w:val="00096D8D"/>
    <w:rsid w:val="000A0CE6"/>
    <w:rsid w:val="000A64FD"/>
    <w:rsid w:val="000B0A9E"/>
    <w:rsid w:val="000C0C47"/>
    <w:rsid w:val="000C3084"/>
    <w:rsid w:val="000C3195"/>
    <w:rsid w:val="000C3F90"/>
    <w:rsid w:val="000C4A95"/>
    <w:rsid w:val="000C59B8"/>
    <w:rsid w:val="000C5D15"/>
    <w:rsid w:val="000D02A9"/>
    <w:rsid w:val="000E65F4"/>
    <w:rsid w:val="000F192A"/>
    <w:rsid w:val="000F452F"/>
    <w:rsid w:val="000F4EC0"/>
    <w:rsid w:val="00101669"/>
    <w:rsid w:val="001020E0"/>
    <w:rsid w:val="001107B7"/>
    <w:rsid w:val="001116FE"/>
    <w:rsid w:val="001155A7"/>
    <w:rsid w:val="001226BC"/>
    <w:rsid w:val="00131205"/>
    <w:rsid w:val="001354D2"/>
    <w:rsid w:val="00140B4F"/>
    <w:rsid w:val="00143452"/>
    <w:rsid w:val="001456F1"/>
    <w:rsid w:val="001520C4"/>
    <w:rsid w:val="001527C6"/>
    <w:rsid w:val="001546FF"/>
    <w:rsid w:val="00155D83"/>
    <w:rsid w:val="00157604"/>
    <w:rsid w:val="00163E6D"/>
    <w:rsid w:val="001640E5"/>
    <w:rsid w:val="0016417D"/>
    <w:rsid w:val="00165064"/>
    <w:rsid w:val="001700B8"/>
    <w:rsid w:val="00172606"/>
    <w:rsid w:val="00176941"/>
    <w:rsid w:val="00176A5E"/>
    <w:rsid w:val="001859D7"/>
    <w:rsid w:val="001920CF"/>
    <w:rsid w:val="00193E2F"/>
    <w:rsid w:val="00194C09"/>
    <w:rsid w:val="001A3CAD"/>
    <w:rsid w:val="001B1A7D"/>
    <w:rsid w:val="001B5370"/>
    <w:rsid w:val="001B7616"/>
    <w:rsid w:val="001C0910"/>
    <w:rsid w:val="001C0E38"/>
    <w:rsid w:val="001C40EC"/>
    <w:rsid w:val="001C4B22"/>
    <w:rsid w:val="001C543E"/>
    <w:rsid w:val="001D2E76"/>
    <w:rsid w:val="001D4507"/>
    <w:rsid w:val="001D6825"/>
    <w:rsid w:val="001E0D36"/>
    <w:rsid w:val="001E3215"/>
    <w:rsid w:val="001E35D6"/>
    <w:rsid w:val="001E67C9"/>
    <w:rsid w:val="001E7977"/>
    <w:rsid w:val="001F1A39"/>
    <w:rsid w:val="001F2F9C"/>
    <w:rsid w:val="002054B6"/>
    <w:rsid w:val="00206B2E"/>
    <w:rsid w:val="00210C97"/>
    <w:rsid w:val="00212BD5"/>
    <w:rsid w:val="00213999"/>
    <w:rsid w:val="002160DC"/>
    <w:rsid w:val="00217C4B"/>
    <w:rsid w:val="002211DC"/>
    <w:rsid w:val="00221D57"/>
    <w:rsid w:val="002238A5"/>
    <w:rsid w:val="0022551F"/>
    <w:rsid w:val="002317E4"/>
    <w:rsid w:val="00231BEC"/>
    <w:rsid w:val="002325D1"/>
    <w:rsid w:val="0023377D"/>
    <w:rsid w:val="00236C92"/>
    <w:rsid w:val="00243E2B"/>
    <w:rsid w:val="00245A74"/>
    <w:rsid w:val="0024692D"/>
    <w:rsid w:val="002566FB"/>
    <w:rsid w:val="0026167F"/>
    <w:rsid w:val="00261EE2"/>
    <w:rsid w:val="0026518B"/>
    <w:rsid w:val="00271607"/>
    <w:rsid w:val="00272805"/>
    <w:rsid w:val="0027694F"/>
    <w:rsid w:val="002808F4"/>
    <w:rsid w:val="00282DCE"/>
    <w:rsid w:val="002865D5"/>
    <w:rsid w:val="00293C05"/>
    <w:rsid w:val="002A3868"/>
    <w:rsid w:val="002A4E4B"/>
    <w:rsid w:val="002A6412"/>
    <w:rsid w:val="002B412F"/>
    <w:rsid w:val="002B6C7A"/>
    <w:rsid w:val="002B75D6"/>
    <w:rsid w:val="002C237A"/>
    <w:rsid w:val="002C509B"/>
    <w:rsid w:val="002C5665"/>
    <w:rsid w:val="002D0BB3"/>
    <w:rsid w:val="002D27ED"/>
    <w:rsid w:val="002D3D60"/>
    <w:rsid w:val="002E635F"/>
    <w:rsid w:val="002E7E72"/>
    <w:rsid w:val="002F10FB"/>
    <w:rsid w:val="002F29C4"/>
    <w:rsid w:val="002F4975"/>
    <w:rsid w:val="002F6BBD"/>
    <w:rsid w:val="002F6BFB"/>
    <w:rsid w:val="003040A1"/>
    <w:rsid w:val="003059D0"/>
    <w:rsid w:val="00305C20"/>
    <w:rsid w:val="00305E96"/>
    <w:rsid w:val="0031162D"/>
    <w:rsid w:val="00313A5F"/>
    <w:rsid w:val="00326B10"/>
    <w:rsid w:val="00332E68"/>
    <w:rsid w:val="003340AE"/>
    <w:rsid w:val="003358C1"/>
    <w:rsid w:val="003378C8"/>
    <w:rsid w:val="003453E2"/>
    <w:rsid w:val="00346358"/>
    <w:rsid w:val="0034734C"/>
    <w:rsid w:val="0035002A"/>
    <w:rsid w:val="00350FB0"/>
    <w:rsid w:val="00355BB0"/>
    <w:rsid w:val="00356F8C"/>
    <w:rsid w:val="00362CC7"/>
    <w:rsid w:val="00363E4A"/>
    <w:rsid w:val="00365F6D"/>
    <w:rsid w:val="003676D3"/>
    <w:rsid w:val="003700DE"/>
    <w:rsid w:val="00373C78"/>
    <w:rsid w:val="00375972"/>
    <w:rsid w:val="00375D96"/>
    <w:rsid w:val="003763C2"/>
    <w:rsid w:val="003853C7"/>
    <w:rsid w:val="00387101"/>
    <w:rsid w:val="003909B6"/>
    <w:rsid w:val="00392BBE"/>
    <w:rsid w:val="00394E1C"/>
    <w:rsid w:val="003A080A"/>
    <w:rsid w:val="003A1429"/>
    <w:rsid w:val="003A3145"/>
    <w:rsid w:val="003A7BD1"/>
    <w:rsid w:val="003C1B64"/>
    <w:rsid w:val="003C6906"/>
    <w:rsid w:val="003C78AA"/>
    <w:rsid w:val="003D4DFA"/>
    <w:rsid w:val="003D7235"/>
    <w:rsid w:val="003F0B1A"/>
    <w:rsid w:val="003F3B4D"/>
    <w:rsid w:val="00400613"/>
    <w:rsid w:val="00403395"/>
    <w:rsid w:val="00405514"/>
    <w:rsid w:val="00405527"/>
    <w:rsid w:val="004062FB"/>
    <w:rsid w:val="00411E53"/>
    <w:rsid w:val="004136F8"/>
    <w:rsid w:val="0041478D"/>
    <w:rsid w:val="00414820"/>
    <w:rsid w:val="00425758"/>
    <w:rsid w:val="00425C47"/>
    <w:rsid w:val="00426411"/>
    <w:rsid w:val="00430BD5"/>
    <w:rsid w:val="004358B2"/>
    <w:rsid w:val="0043596A"/>
    <w:rsid w:val="00435BB9"/>
    <w:rsid w:val="00441FD5"/>
    <w:rsid w:val="0044472D"/>
    <w:rsid w:val="0044565E"/>
    <w:rsid w:val="004506BC"/>
    <w:rsid w:val="00450FCC"/>
    <w:rsid w:val="0045207D"/>
    <w:rsid w:val="0045602E"/>
    <w:rsid w:val="00480611"/>
    <w:rsid w:val="00484FA0"/>
    <w:rsid w:val="0049584B"/>
    <w:rsid w:val="004B2A90"/>
    <w:rsid w:val="004B5E0D"/>
    <w:rsid w:val="004B6371"/>
    <w:rsid w:val="004C07A6"/>
    <w:rsid w:val="004D09D1"/>
    <w:rsid w:val="004D2C7C"/>
    <w:rsid w:val="004D357B"/>
    <w:rsid w:val="004D6335"/>
    <w:rsid w:val="004E65BD"/>
    <w:rsid w:val="004E7ADC"/>
    <w:rsid w:val="004E7D4B"/>
    <w:rsid w:val="004E7D60"/>
    <w:rsid w:val="004F092A"/>
    <w:rsid w:val="004F6878"/>
    <w:rsid w:val="004F6BC9"/>
    <w:rsid w:val="00500B81"/>
    <w:rsid w:val="0050265A"/>
    <w:rsid w:val="00503C81"/>
    <w:rsid w:val="00504415"/>
    <w:rsid w:val="00506030"/>
    <w:rsid w:val="0051009D"/>
    <w:rsid w:val="00513A94"/>
    <w:rsid w:val="00514BD7"/>
    <w:rsid w:val="0051502B"/>
    <w:rsid w:val="0051555A"/>
    <w:rsid w:val="0052363C"/>
    <w:rsid w:val="0052390A"/>
    <w:rsid w:val="00532FF7"/>
    <w:rsid w:val="00535948"/>
    <w:rsid w:val="005374DE"/>
    <w:rsid w:val="00537754"/>
    <w:rsid w:val="00540F5E"/>
    <w:rsid w:val="00543C89"/>
    <w:rsid w:val="0054456C"/>
    <w:rsid w:val="0056222D"/>
    <w:rsid w:val="00567B59"/>
    <w:rsid w:val="00586C48"/>
    <w:rsid w:val="0058783E"/>
    <w:rsid w:val="00592177"/>
    <w:rsid w:val="0059408A"/>
    <w:rsid w:val="005943D3"/>
    <w:rsid w:val="00595782"/>
    <w:rsid w:val="005957C2"/>
    <w:rsid w:val="00596033"/>
    <w:rsid w:val="00596563"/>
    <w:rsid w:val="0059732B"/>
    <w:rsid w:val="00597E75"/>
    <w:rsid w:val="005A338C"/>
    <w:rsid w:val="005A4E46"/>
    <w:rsid w:val="005A6B35"/>
    <w:rsid w:val="005B1AD1"/>
    <w:rsid w:val="005B4A8F"/>
    <w:rsid w:val="005B7A23"/>
    <w:rsid w:val="005C10CC"/>
    <w:rsid w:val="005C5F11"/>
    <w:rsid w:val="005C70C3"/>
    <w:rsid w:val="005C73E1"/>
    <w:rsid w:val="005D1EBD"/>
    <w:rsid w:val="005D7AAA"/>
    <w:rsid w:val="005E0ACE"/>
    <w:rsid w:val="005E2ACA"/>
    <w:rsid w:val="005E6308"/>
    <w:rsid w:val="005F7A54"/>
    <w:rsid w:val="0060038D"/>
    <w:rsid w:val="00603C51"/>
    <w:rsid w:val="006051B9"/>
    <w:rsid w:val="00605BF1"/>
    <w:rsid w:val="0061223E"/>
    <w:rsid w:val="00612B18"/>
    <w:rsid w:val="0061301E"/>
    <w:rsid w:val="00616387"/>
    <w:rsid w:val="00621A6D"/>
    <w:rsid w:val="00621F95"/>
    <w:rsid w:val="00626D4A"/>
    <w:rsid w:val="00630979"/>
    <w:rsid w:val="00630B45"/>
    <w:rsid w:val="00631491"/>
    <w:rsid w:val="00632D23"/>
    <w:rsid w:val="00644CE4"/>
    <w:rsid w:val="00645BCC"/>
    <w:rsid w:val="006461E6"/>
    <w:rsid w:val="00650C20"/>
    <w:rsid w:val="006516CF"/>
    <w:rsid w:val="006539D1"/>
    <w:rsid w:val="00655843"/>
    <w:rsid w:val="00662AAF"/>
    <w:rsid w:val="00662C78"/>
    <w:rsid w:val="00665776"/>
    <w:rsid w:val="00665FF2"/>
    <w:rsid w:val="006715C7"/>
    <w:rsid w:val="00675E90"/>
    <w:rsid w:val="00682A66"/>
    <w:rsid w:val="00682EF9"/>
    <w:rsid w:val="00687695"/>
    <w:rsid w:val="00692C66"/>
    <w:rsid w:val="006965D4"/>
    <w:rsid w:val="00697E88"/>
    <w:rsid w:val="006A69D4"/>
    <w:rsid w:val="006B1710"/>
    <w:rsid w:val="006B49BA"/>
    <w:rsid w:val="006B5EFD"/>
    <w:rsid w:val="006C0F6B"/>
    <w:rsid w:val="006C3A63"/>
    <w:rsid w:val="006C4D76"/>
    <w:rsid w:val="006C739B"/>
    <w:rsid w:val="006D1550"/>
    <w:rsid w:val="006D3CA0"/>
    <w:rsid w:val="006E24FA"/>
    <w:rsid w:val="006E2FAF"/>
    <w:rsid w:val="006E3707"/>
    <w:rsid w:val="006E6027"/>
    <w:rsid w:val="006F1FAE"/>
    <w:rsid w:val="0070295F"/>
    <w:rsid w:val="00704AD5"/>
    <w:rsid w:val="00712EC7"/>
    <w:rsid w:val="00716610"/>
    <w:rsid w:val="0072088F"/>
    <w:rsid w:val="00720BBE"/>
    <w:rsid w:val="00721579"/>
    <w:rsid w:val="00722B49"/>
    <w:rsid w:val="0072339E"/>
    <w:rsid w:val="00727347"/>
    <w:rsid w:val="007300DD"/>
    <w:rsid w:val="00734487"/>
    <w:rsid w:val="00737D4B"/>
    <w:rsid w:val="00741737"/>
    <w:rsid w:val="00743805"/>
    <w:rsid w:val="007467A1"/>
    <w:rsid w:val="007557B6"/>
    <w:rsid w:val="00756583"/>
    <w:rsid w:val="00761D5E"/>
    <w:rsid w:val="00761D85"/>
    <w:rsid w:val="00763C14"/>
    <w:rsid w:val="007662D9"/>
    <w:rsid w:val="007706F4"/>
    <w:rsid w:val="00772DE6"/>
    <w:rsid w:val="00777C8A"/>
    <w:rsid w:val="007835AF"/>
    <w:rsid w:val="007875B3"/>
    <w:rsid w:val="007878F2"/>
    <w:rsid w:val="00790819"/>
    <w:rsid w:val="00791509"/>
    <w:rsid w:val="007930EF"/>
    <w:rsid w:val="00797534"/>
    <w:rsid w:val="007A05E5"/>
    <w:rsid w:val="007A0AE8"/>
    <w:rsid w:val="007A1728"/>
    <w:rsid w:val="007A17EB"/>
    <w:rsid w:val="007A1F07"/>
    <w:rsid w:val="007A4FBE"/>
    <w:rsid w:val="007A5095"/>
    <w:rsid w:val="007B0AE4"/>
    <w:rsid w:val="007B3438"/>
    <w:rsid w:val="007B56D9"/>
    <w:rsid w:val="007D4652"/>
    <w:rsid w:val="007D6E50"/>
    <w:rsid w:val="007E1243"/>
    <w:rsid w:val="007E7D57"/>
    <w:rsid w:val="007F3D12"/>
    <w:rsid w:val="00801164"/>
    <w:rsid w:val="008036B9"/>
    <w:rsid w:val="00806BB7"/>
    <w:rsid w:val="00807230"/>
    <w:rsid w:val="00812A8A"/>
    <w:rsid w:val="008170DA"/>
    <w:rsid w:val="0082206A"/>
    <w:rsid w:val="008233B6"/>
    <w:rsid w:val="00825D1A"/>
    <w:rsid w:val="00830407"/>
    <w:rsid w:val="00833F92"/>
    <w:rsid w:val="00835573"/>
    <w:rsid w:val="00836238"/>
    <w:rsid w:val="00841660"/>
    <w:rsid w:val="00845A4B"/>
    <w:rsid w:val="00846ABF"/>
    <w:rsid w:val="00847D3C"/>
    <w:rsid w:val="00856691"/>
    <w:rsid w:val="00860839"/>
    <w:rsid w:val="00860BB3"/>
    <w:rsid w:val="00861D60"/>
    <w:rsid w:val="00863252"/>
    <w:rsid w:val="008641A7"/>
    <w:rsid w:val="0086517A"/>
    <w:rsid w:val="008676F2"/>
    <w:rsid w:val="00870E75"/>
    <w:rsid w:val="008727DD"/>
    <w:rsid w:val="00874C6F"/>
    <w:rsid w:val="00876BEC"/>
    <w:rsid w:val="00877395"/>
    <w:rsid w:val="00877A7E"/>
    <w:rsid w:val="00890DE7"/>
    <w:rsid w:val="008934A3"/>
    <w:rsid w:val="00894EBB"/>
    <w:rsid w:val="00895507"/>
    <w:rsid w:val="00896B61"/>
    <w:rsid w:val="008A7A0D"/>
    <w:rsid w:val="008B55F3"/>
    <w:rsid w:val="008B66E8"/>
    <w:rsid w:val="008B7ABC"/>
    <w:rsid w:val="008C0F5F"/>
    <w:rsid w:val="008C1D41"/>
    <w:rsid w:val="008C2020"/>
    <w:rsid w:val="008D197B"/>
    <w:rsid w:val="008D2AC8"/>
    <w:rsid w:val="008D31DF"/>
    <w:rsid w:val="008D38ED"/>
    <w:rsid w:val="008E0835"/>
    <w:rsid w:val="008E562B"/>
    <w:rsid w:val="008F7C66"/>
    <w:rsid w:val="009102A0"/>
    <w:rsid w:val="00910C28"/>
    <w:rsid w:val="0091621C"/>
    <w:rsid w:val="00916BDC"/>
    <w:rsid w:val="009301A3"/>
    <w:rsid w:val="00931856"/>
    <w:rsid w:val="0094207B"/>
    <w:rsid w:val="00942DEF"/>
    <w:rsid w:val="00943341"/>
    <w:rsid w:val="009548D4"/>
    <w:rsid w:val="0095496E"/>
    <w:rsid w:val="009722EB"/>
    <w:rsid w:val="009733E3"/>
    <w:rsid w:val="00973FE7"/>
    <w:rsid w:val="00975B94"/>
    <w:rsid w:val="009766AF"/>
    <w:rsid w:val="00977193"/>
    <w:rsid w:val="00977D9E"/>
    <w:rsid w:val="00981D80"/>
    <w:rsid w:val="00984D64"/>
    <w:rsid w:val="00985428"/>
    <w:rsid w:val="009857B6"/>
    <w:rsid w:val="00985821"/>
    <w:rsid w:val="00990E89"/>
    <w:rsid w:val="00990F8A"/>
    <w:rsid w:val="00991886"/>
    <w:rsid w:val="0099227D"/>
    <w:rsid w:val="0099273C"/>
    <w:rsid w:val="009A0C90"/>
    <w:rsid w:val="009A3D52"/>
    <w:rsid w:val="009A6E6C"/>
    <w:rsid w:val="009A7405"/>
    <w:rsid w:val="009B1DFB"/>
    <w:rsid w:val="009C1C5D"/>
    <w:rsid w:val="009C2280"/>
    <w:rsid w:val="009C2AB6"/>
    <w:rsid w:val="009C305B"/>
    <w:rsid w:val="009C5019"/>
    <w:rsid w:val="009D1962"/>
    <w:rsid w:val="009D1CF9"/>
    <w:rsid w:val="009D3C02"/>
    <w:rsid w:val="009D3DE1"/>
    <w:rsid w:val="009D504C"/>
    <w:rsid w:val="009D7B4F"/>
    <w:rsid w:val="009E01EC"/>
    <w:rsid w:val="009E7F07"/>
    <w:rsid w:val="009F1F5A"/>
    <w:rsid w:val="009F37A0"/>
    <w:rsid w:val="009F3B53"/>
    <w:rsid w:val="009F4C14"/>
    <w:rsid w:val="009F5526"/>
    <w:rsid w:val="009F7CB8"/>
    <w:rsid w:val="00A02528"/>
    <w:rsid w:val="00A02FE6"/>
    <w:rsid w:val="00A05EE0"/>
    <w:rsid w:val="00A11993"/>
    <w:rsid w:val="00A1662D"/>
    <w:rsid w:val="00A21C07"/>
    <w:rsid w:val="00A235D1"/>
    <w:rsid w:val="00A24E16"/>
    <w:rsid w:val="00A24E62"/>
    <w:rsid w:val="00A26A9B"/>
    <w:rsid w:val="00A276BE"/>
    <w:rsid w:val="00A45681"/>
    <w:rsid w:val="00A52AD5"/>
    <w:rsid w:val="00A551D3"/>
    <w:rsid w:val="00A560D1"/>
    <w:rsid w:val="00A67707"/>
    <w:rsid w:val="00A706CE"/>
    <w:rsid w:val="00A71997"/>
    <w:rsid w:val="00A73BAF"/>
    <w:rsid w:val="00A771DE"/>
    <w:rsid w:val="00A834BA"/>
    <w:rsid w:val="00A8361A"/>
    <w:rsid w:val="00A845DF"/>
    <w:rsid w:val="00A86794"/>
    <w:rsid w:val="00A92C71"/>
    <w:rsid w:val="00AA0AB7"/>
    <w:rsid w:val="00AA1575"/>
    <w:rsid w:val="00AA183A"/>
    <w:rsid w:val="00AA3D91"/>
    <w:rsid w:val="00AB0BC4"/>
    <w:rsid w:val="00AB2C66"/>
    <w:rsid w:val="00AB7BCD"/>
    <w:rsid w:val="00AC09E1"/>
    <w:rsid w:val="00AC3BFB"/>
    <w:rsid w:val="00AC5FC1"/>
    <w:rsid w:val="00AC7FB7"/>
    <w:rsid w:val="00AD0B81"/>
    <w:rsid w:val="00AD214D"/>
    <w:rsid w:val="00AE07B1"/>
    <w:rsid w:val="00AE0840"/>
    <w:rsid w:val="00AE33FD"/>
    <w:rsid w:val="00AF32E1"/>
    <w:rsid w:val="00AF6266"/>
    <w:rsid w:val="00B05E35"/>
    <w:rsid w:val="00B07B63"/>
    <w:rsid w:val="00B07EF2"/>
    <w:rsid w:val="00B10C2B"/>
    <w:rsid w:val="00B153D6"/>
    <w:rsid w:val="00B20353"/>
    <w:rsid w:val="00B205AE"/>
    <w:rsid w:val="00B209DA"/>
    <w:rsid w:val="00B21144"/>
    <w:rsid w:val="00B23862"/>
    <w:rsid w:val="00B239D8"/>
    <w:rsid w:val="00B244A6"/>
    <w:rsid w:val="00B24F6D"/>
    <w:rsid w:val="00B2576B"/>
    <w:rsid w:val="00B30A9D"/>
    <w:rsid w:val="00B35435"/>
    <w:rsid w:val="00B376E5"/>
    <w:rsid w:val="00B4201B"/>
    <w:rsid w:val="00B5077A"/>
    <w:rsid w:val="00B51945"/>
    <w:rsid w:val="00B5252E"/>
    <w:rsid w:val="00B535E0"/>
    <w:rsid w:val="00B5686A"/>
    <w:rsid w:val="00B61AD0"/>
    <w:rsid w:val="00B62230"/>
    <w:rsid w:val="00B62EC5"/>
    <w:rsid w:val="00B6535C"/>
    <w:rsid w:val="00B6797D"/>
    <w:rsid w:val="00B67A6F"/>
    <w:rsid w:val="00B71F37"/>
    <w:rsid w:val="00B72F68"/>
    <w:rsid w:val="00B765AF"/>
    <w:rsid w:val="00B81E31"/>
    <w:rsid w:val="00B90738"/>
    <w:rsid w:val="00B950D1"/>
    <w:rsid w:val="00BA072A"/>
    <w:rsid w:val="00BA527E"/>
    <w:rsid w:val="00BA6181"/>
    <w:rsid w:val="00BA7D7C"/>
    <w:rsid w:val="00BB0A10"/>
    <w:rsid w:val="00BB0DF2"/>
    <w:rsid w:val="00BB0EF0"/>
    <w:rsid w:val="00BB7B1C"/>
    <w:rsid w:val="00BC7030"/>
    <w:rsid w:val="00BD114D"/>
    <w:rsid w:val="00BD3957"/>
    <w:rsid w:val="00BD5EDF"/>
    <w:rsid w:val="00BE1624"/>
    <w:rsid w:val="00BE18CD"/>
    <w:rsid w:val="00BE4DCE"/>
    <w:rsid w:val="00BE538A"/>
    <w:rsid w:val="00BF245D"/>
    <w:rsid w:val="00C00A21"/>
    <w:rsid w:val="00C032A9"/>
    <w:rsid w:val="00C03C8C"/>
    <w:rsid w:val="00C03E06"/>
    <w:rsid w:val="00C0439B"/>
    <w:rsid w:val="00C10616"/>
    <w:rsid w:val="00C23D32"/>
    <w:rsid w:val="00C32870"/>
    <w:rsid w:val="00C363C2"/>
    <w:rsid w:val="00C37297"/>
    <w:rsid w:val="00C3755A"/>
    <w:rsid w:val="00C46106"/>
    <w:rsid w:val="00C60842"/>
    <w:rsid w:val="00C62230"/>
    <w:rsid w:val="00C6337E"/>
    <w:rsid w:val="00C71D71"/>
    <w:rsid w:val="00C74020"/>
    <w:rsid w:val="00C74E7E"/>
    <w:rsid w:val="00C75565"/>
    <w:rsid w:val="00C75866"/>
    <w:rsid w:val="00C77860"/>
    <w:rsid w:val="00C82E09"/>
    <w:rsid w:val="00C872C6"/>
    <w:rsid w:val="00C910F8"/>
    <w:rsid w:val="00C915E5"/>
    <w:rsid w:val="00C95A48"/>
    <w:rsid w:val="00CA26C7"/>
    <w:rsid w:val="00CA2B67"/>
    <w:rsid w:val="00CA5C52"/>
    <w:rsid w:val="00CB01A9"/>
    <w:rsid w:val="00CB09CE"/>
    <w:rsid w:val="00CB0A60"/>
    <w:rsid w:val="00CB5F4A"/>
    <w:rsid w:val="00CC2223"/>
    <w:rsid w:val="00CC6069"/>
    <w:rsid w:val="00CC6374"/>
    <w:rsid w:val="00CE2DC7"/>
    <w:rsid w:val="00CE34FD"/>
    <w:rsid w:val="00CE5938"/>
    <w:rsid w:val="00CE7F6B"/>
    <w:rsid w:val="00CF3635"/>
    <w:rsid w:val="00CF52B2"/>
    <w:rsid w:val="00D0022A"/>
    <w:rsid w:val="00D018B8"/>
    <w:rsid w:val="00D03144"/>
    <w:rsid w:val="00D07121"/>
    <w:rsid w:val="00D1296D"/>
    <w:rsid w:val="00D13AAB"/>
    <w:rsid w:val="00D17B18"/>
    <w:rsid w:val="00D23AFF"/>
    <w:rsid w:val="00D24373"/>
    <w:rsid w:val="00D26B43"/>
    <w:rsid w:val="00D3054E"/>
    <w:rsid w:val="00D32270"/>
    <w:rsid w:val="00D37818"/>
    <w:rsid w:val="00D43F0E"/>
    <w:rsid w:val="00D45195"/>
    <w:rsid w:val="00D47BBB"/>
    <w:rsid w:val="00D52A1B"/>
    <w:rsid w:val="00D5580A"/>
    <w:rsid w:val="00D57035"/>
    <w:rsid w:val="00D604CD"/>
    <w:rsid w:val="00D668F5"/>
    <w:rsid w:val="00D66BDC"/>
    <w:rsid w:val="00D73B7B"/>
    <w:rsid w:val="00D772F9"/>
    <w:rsid w:val="00D80029"/>
    <w:rsid w:val="00D81B92"/>
    <w:rsid w:val="00D905A6"/>
    <w:rsid w:val="00D906FA"/>
    <w:rsid w:val="00D932D5"/>
    <w:rsid w:val="00DA13AF"/>
    <w:rsid w:val="00DA3599"/>
    <w:rsid w:val="00DA4E95"/>
    <w:rsid w:val="00DA594C"/>
    <w:rsid w:val="00DB1486"/>
    <w:rsid w:val="00DB3239"/>
    <w:rsid w:val="00DB3BF9"/>
    <w:rsid w:val="00DB5606"/>
    <w:rsid w:val="00DC266E"/>
    <w:rsid w:val="00DC3095"/>
    <w:rsid w:val="00DC3315"/>
    <w:rsid w:val="00DC4AEF"/>
    <w:rsid w:val="00DC4BC4"/>
    <w:rsid w:val="00DD013E"/>
    <w:rsid w:val="00DD7BD0"/>
    <w:rsid w:val="00DE26E6"/>
    <w:rsid w:val="00DE3FFF"/>
    <w:rsid w:val="00DE51D0"/>
    <w:rsid w:val="00DF1807"/>
    <w:rsid w:val="00DF4F79"/>
    <w:rsid w:val="00DF69EA"/>
    <w:rsid w:val="00DF7561"/>
    <w:rsid w:val="00E000BD"/>
    <w:rsid w:val="00E04B45"/>
    <w:rsid w:val="00E06CAA"/>
    <w:rsid w:val="00E179CA"/>
    <w:rsid w:val="00E20578"/>
    <w:rsid w:val="00E209FB"/>
    <w:rsid w:val="00E22280"/>
    <w:rsid w:val="00E22AEC"/>
    <w:rsid w:val="00E22B1D"/>
    <w:rsid w:val="00E25E9A"/>
    <w:rsid w:val="00E260A3"/>
    <w:rsid w:val="00E351C5"/>
    <w:rsid w:val="00E41918"/>
    <w:rsid w:val="00E41F58"/>
    <w:rsid w:val="00E4660D"/>
    <w:rsid w:val="00E470B9"/>
    <w:rsid w:val="00E56774"/>
    <w:rsid w:val="00E56F5C"/>
    <w:rsid w:val="00E60DD7"/>
    <w:rsid w:val="00E648C8"/>
    <w:rsid w:val="00E66E21"/>
    <w:rsid w:val="00E67565"/>
    <w:rsid w:val="00E67814"/>
    <w:rsid w:val="00E709A4"/>
    <w:rsid w:val="00E71174"/>
    <w:rsid w:val="00E74276"/>
    <w:rsid w:val="00E75E4F"/>
    <w:rsid w:val="00E80B3B"/>
    <w:rsid w:val="00E80E8A"/>
    <w:rsid w:val="00E81281"/>
    <w:rsid w:val="00E86004"/>
    <w:rsid w:val="00E870DC"/>
    <w:rsid w:val="00E90053"/>
    <w:rsid w:val="00EA2C33"/>
    <w:rsid w:val="00EA30DD"/>
    <w:rsid w:val="00EA5D1F"/>
    <w:rsid w:val="00EB074F"/>
    <w:rsid w:val="00EB1226"/>
    <w:rsid w:val="00EB1CC1"/>
    <w:rsid w:val="00EB33BC"/>
    <w:rsid w:val="00EB4D4D"/>
    <w:rsid w:val="00EC5DFC"/>
    <w:rsid w:val="00EC79A8"/>
    <w:rsid w:val="00ED0E3D"/>
    <w:rsid w:val="00ED3742"/>
    <w:rsid w:val="00EE2585"/>
    <w:rsid w:val="00EE4E89"/>
    <w:rsid w:val="00EE527D"/>
    <w:rsid w:val="00EE5574"/>
    <w:rsid w:val="00EE7ABD"/>
    <w:rsid w:val="00EF41AC"/>
    <w:rsid w:val="00EF6ECB"/>
    <w:rsid w:val="00F01BFF"/>
    <w:rsid w:val="00F13159"/>
    <w:rsid w:val="00F15C5A"/>
    <w:rsid w:val="00F15FED"/>
    <w:rsid w:val="00F16960"/>
    <w:rsid w:val="00F21CB9"/>
    <w:rsid w:val="00F22E81"/>
    <w:rsid w:val="00F23621"/>
    <w:rsid w:val="00F24CA0"/>
    <w:rsid w:val="00F277EF"/>
    <w:rsid w:val="00F27B25"/>
    <w:rsid w:val="00F30F09"/>
    <w:rsid w:val="00F32173"/>
    <w:rsid w:val="00F34119"/>
    <w:rsid w:val="00F37ACA"/>
    <w:rsid w:val="00F4154D"/>
    <w:rsid w:val="00F419E4"/>
    <w:rsid w:val="00F421D0"/>
    <w:rsid w:val="00F44889"/>
    <w:rsid w:val="00F60DD6"/>
    <w:rsid w:val="00F61DCA"/>
    <w:rsid w:val="00F61E87"/>
    <w:rsid w:val="00F639E0"/>
    <w:rsid w:val="00F63FCA"/>
    <w:rsid w:val="00F72007"/>
    <w:rsid w:val="00F72B1B"/>
    <w:rsid w:val="00F732E8"/>
    <w:rsid w:val="00F74714"/>
    <w:rsid w:val="00F839F3"/>
    <w:rsid w:val="00F92699"/>
    <w:rsid w:val="00FA1259"/>
    <w:rsid w:val="00FA57F6"/>
    <w:rsid w:val="00FA650A"/>
    <w:rsid w:val="00FC3384"/>
    <w:rsid w:val="00FD2263"/>
    <w:rsid w:val="00FD5458"/>
    <w:rsid w:val="00FE0838"/>
    <w:rsid w:val="00FE38ED"/>
    <w:rsid w:val="00FE6F9D"/>
    <w:rsid w:val="00FF045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50AE8111"/>
  <w15:docId w15:val="{AB914A7A-7B82-4844-A48E-24F09DE2C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locked="1" w:uiPriority="0"/>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83E"/>
    <w:pPr>
      <w:spacing w:after="200" w:line="276" w:lineRule="auto"/>
    </w:pPr>
    <w:rPr>
      <w:rFonts w:cs="Calibri"/>
      <w:lang w:val="es-MX" w:eastAsia="en-US"/>
    </w:rPr>
  </w:style>
  <w:style w:type="paragraph" w:styleId="Ttulo1">
    <w:name w:val="heading 1"/>
    <w:basedOn w:val="Normal"/>
    <w:next w:val="Normal"/>
    <w:link w:val="Ttulo1Car"/>
    <w:uiPriority w:val="99"/>
    <w:qFormat/>
    <w:rsid w:val="00217C4B"/>
    <w:pPr>
      <w:keepNext/>
      <w:spacing w:after="0" w:line="480" w:lineRule="auto"/>
      <w:jc w:val="center"/>
      <w:outlineLvl w:val="0"/>
    </w:pPr>
    <w:rPr>
      <w:rFonts w:ascii="Arial" w:hAnsi="Arial" w:cs="Arial"/>
      <w:b/>
      <w:bCs/>
      <w:spacing w:val="4"/>
      <w:sz w:val="28"/>
      <w:szCs w:val="28"/>
    </w:rPr>
  </w:style>
  <w:style w:type="paragraph" w:styleId="Ttulo4">
    <w:name w:val="heading 4"/>
    <w:basedOn w:val="Normal"/>
    <w:next w:val="Normal"/>
    <w:link w:val="Ttulo4Car"/>
    <w:semiHidden/>
    <w:unhideWhenUsed/>
    <w:qFormat/>
    <w:locked/>
    <w:rsid w:val="002F4975"/>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217C4B"/>
    <w:rPr>
      <w:rFonts w:ascii="Arial" w:hAnsi="Arial" w:cs="Arial"/>
      <w:b/>
      <w:bCs/>
      <w:spacing w:val="4"/>
      <w:sz w:val="28"/>
      <w:szCs w:val="28"/>
    </w:rPr>
  </w:style>
  <w:style w:type="paragraph" w:styleId="Textoindependiente">
    <w:name w:val="Body Text"/>
    <w:basedOn w:val="Normal"/>
    <w:link w:val="TextoindependienteCar"/>
    <w:uiPriority w:val="99"/>
    <w:semiHidden/>
    <w:rsid w:val="00217C4B"/>
    <w:pPr>
      <w:spacing w:after="0" w:line="480" w:lineRule="auto"/>
      <w:jc w:val="both"/>
    </w:pPr>
    <w:rPr>
      <w:rFonts w:ascii="Tahoma" w:eastAsia="Times New Roman" w:hAnsi="Tahoma" w:cs="Tahoma"/>
      <w:sz w:val="28"/>
      <w:szCs w:val="28"/>
      <w:lang w:eastAsia="es-ES"/>
    </w:rPr>
  </w:style>
  <w:style w:type="character" w:customStyle="1" w:styleId="TextoindependienteCar">
    <w:name w:val="Texto independiente Car"/>
    <w:basedOn w:val="Fuentedeprrafopredeter"/>
    <w:link w:val="Textoindependiente"/>
    <w:uiPriority w:val="99"/>
    <w:semiHidden/>
    <w:locked/>
    <w:rsid w:val="00217C4B"/>
    <w:rPr>
      <w:rFonts w:ascii="Tahoma" w:hAnsi="Tahoma" w:cs="Tahoma"/>
      <w:sz w:val="24"/>
      <w:szCs w:val="24"/>
      <w:lang w:eastAsia="es-ES"/>
    </w:rPr>
  </w:style>
  <w:style w:type="paragraph" w:styleId="Sangra3detindependiente">
    <w:name w:val="Body Text Indent 3"/>
    <w:basedOn w:val="Normal"/>
    <w:link w:val="Sangra3detindependienteCar"/>
    <w:uiPriority w:val="99"/>
    <w:rsid w:val="00217C4B"/>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locked/>
    <w:rsid w:val="00217C4B"/>
    <w:rPr>
      <w:rFonts w:ascii="Calibri" w:hAnsi="Calibri" w:cs="Calibri"/>
      <w:sz w:val="16"/>
      <w:szCs w:val="16"/>
    </w:rPr>
  </w:style>
  <w:style w:type="paragraph" w:styleId="Encabezado">
    <w:name w:val="header"/>
    <w:basedOn w:val="Normal"/>
    <w:link w:val="EncabezadoCar"/>
    <w:semiHidden/>
    <w:rsid w:val="00217C4B"/>
    <w:pPr>
      <w:tabs>
        <w:tab w:val="center" w:pos="4419"/>
        <w:tab w:val="right" w:pos="8838"/>
      </w:tabs>
    </w:pPr>
  </w:style>
  <w:style w:type="character" w:customStyle="1" w:styleId="EncabezadoCar">
    <w:name w:val="Encabezado Car"/>
    <w:basedOn w:val="Fuentedeprrafopredeter"/>
    <w:link w:val="Encabezado"/>
    <w:uiPriority w:val="99"/>
    <w:semiHidden/>
    <w:locked/>
    <w:rsid w:val="00217C4B"/>
    <w:rPr>
      <w:rFonts w:ascii="Calibri" w:hAnsi="Calibri" w:cs="Calibri"/>
    </w:rPr>
  </w:style>
  <w:style w:type="character" w:styleId="Nmerodepgina">
    <w:name w:val="page number"/>
    <w:basedOn w:val="Fuentedeprrafopredeter"/>
    <w:uiPriority w:val="99"/>
    <w:semiHidden/>
    <w:rsid w:val="00217C4B"/>
  </w:style>
  <w:style w:type="paragraph" w:styleId="Sangradetextonormal">
    <w:name w:val="Body Text Indent"/>
    <w:basedOn w:val="Normal"/>
    <w:link w:val="SangradetextonormalCar"/>
    <w:uiPriority w:val="99"/>
    <w:semiHidden/>
    <w:rsid w:val="00217C4B"/>
    <w:pPr>
      <w:spacing w:line="480" w:lineRule="auto"/>
      <w:ind w:firstLine="1418"/>
      <w:jc w:val="both"/>
    </w:pPr>
    <w:rPr>
      <w:rFonts w:ascii="Arial" w:hAnsi="Arial" w:cs="Arial"/>
      <w:sz w:val="28"/>
      <w:szCs w:val="28"/>
    </w:rPr>
  </w:style>
  <w:style w:type="character" w:customStyle="1" w:styleId="SangradetextonormalCar">
    <w:name w:val="Sangría de texto normal Car"/>
    <w:basedOn w:val="Fuentedeprrafopredeter"/>
    <w:link w:val="Sangradetextonormal"/>
    <w:uiPriority w:val="99"/>
    <w:semiHidden/>
    <w:locked/>
    <w:rsid w:val="00217C4B"/>
    <w:rPr>
      <w:rFonts w:ascii="Arial" w:hAnsi="Arial" w:cs="Arial"/>
      <w:sz w:val="28"/>
      <w:szCs w:val="28"/>
    </w:rPr>
  </w:style>
  <w:style w:type="table" w:styleId="Tablaconcuadrcula">
    <w:name w:val="Table Grid"/>
    <w:basedOn w:val="Tablanormal"/>
    <w:uiPriority w:val="99"/>
    <w:rsid w:val="00217C4B"/>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rsid w:val="00217C4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locked/>
    <w:rsid w:val="00217C4B"/>
    <w:rPr>
      <w:rFonts w:ascii="Calibri" w:hAnsi="Calibri" w:cs="Calibri"/>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
    <w:basedOn w:val="Normal"/>
    <w:link w:val="TextonotapieCar"/>
    <w:rsid w:val="003676D3"/>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C Car"/>
    <w:basedOn w:val="Fuentedeprrafopredeter"/>
    <w:link w:val="Textonotapie"/>
    <w:uiPriority w:val="99"/>
    <w:locked/>
    <w:rsid w:val="003676D3"/>
    <w:rPr>
      <w:sz w:val="20"/>
      <w:szCs w:val="20"/>
    </w:rPr>
  </w:style>
  <w:style w:type="character" w:styleId="Refdenotaalpie">
    <w:name w:val="footnote reference"/>
    <w:aliases w:val="Texto de nota al pie,Footnotes refss,Appel note de bas de page,Footnote number,referencia nota al pie,BVI fnr,f,4_G,16 Point,Superscript 6 Point,Texto nota al pie,Ref. de nota al pie 2,Footnote Reference Char3,julio,ftref,Ref,R,gf"/>
    <w:basedOn w:val="Fuentedeprrafopredeter"/>
    <w:uiPriority w:val="99"/>
    <w:rsid w:val="003676D3"/>
    <w:rPr>
      <w:vertAlign w:val="superscript"/>
    </w:rPr>
  </w:style>
  <w:style w:type="paragraph" w:styleId="Prrafodelista">
    <w:name w:val="List Paragraph"/>
    <w:basedOn w:val="Normal"/>
    <w:uiPriority w:val="99"/>
    <w:qFormat/>
    <w:rsid w:val="003676D3"/>
    <w:pPr>
      <w:spacing w:after="0" w:line="240" w:lineRule="auto"/>
      <w:ind w:left="720"/>
    </w:pPr>
    <w:rPr>
      <w:rFonts w:ascii="Times New Roman" w:eastAsia="Times New Roman" w:hAnsi="Times New Roman" w:cs="Times New Roman"/>
      <w:sz w:val="24"/>
      <w:szCs w:val="24"/>
    </w:rPr>
  </w:style>
  <w:style w:type="character" w:customStyle="1" w:styleId="Ancladenotaalpie">
    <w:name w:val="Ancla de nota al pie"/>
    <w:rsid w:val="003676D3"/>
    <w:rPr>
      <w:vertAlign w:val="superscript"/>
    </w:rPr>
  </w:style>
  <w:style w:type="paragraph" w:customStyle="1" w:styleId="Normal1">
    <w:name w:val="Normal1"/>
    <w:rsid w:val="003676D3"/>
    <w:pPr>
      <w:suppressAutoHyphens/>
      <w:spacing w:after="200" w:line="276" w:lineRule="auto"/>
      <w:textAlignment w:val="baseline"/>
    </w:pPr>
    <w:rPr>
      <w:rFonts w:ascii="Times New Roman" w:eastAsia="Arial Unicode MS" w:hAnsi="Times New Roman"/>
      <w:color w:val="00000A"/>
      <w:sz w:val="24"/>
      <w:szCs w:val="24"/>
      <w:lang w:val="es-MX" w:eastAsia="es-MX"/>
    </w:rPr>
  </w:style>
  <w:style w:type="paragraph" w:customStyle="1" w:styleId="Notaalpie">
    <w:name w:val="Nota al pie"/>
    <w:basedOn w:val="Normal1"/>
    <w:rsid w:val="003676D3"/>
  </w:style>
  <w:style w:type="character" w:customStyle="1" w:styleId="Caracteresdenotaalpie">
    <w:name w:val="Caracteres de nota al pie"/>
    <w:rsid w:val="003676D3"/>
  </w:style>
  <w:style w:type="paragraph" w:customStyle="1" w:styleId="Normal0">
    <w:name w:val="[Normal]"/>
    <w:uiPriority w:val="99"/>
    <w:rsid w:val="008F7C66"/>
    <w:pPr>
      <w:autoSpaceDE w:val="0"/>
      <w:autoSpaceDN w:val="0"/>
      <w:adjustRightInd w:val="0"/>
    </w:pPr>
    <w:rPr>
      <w:rFonts w:ascii="Arial" w:hAnsi="Arial" w:cs="Arial"/>
      <w:sz w:val="24"/>
      <w:szCs w:val="24"/>
    </w:rPr>
  </w:style>
  <w:style w:type="character" w:customStyle="1" w:styleId="lbl-encabezado-negro">
    <w:name w:val="lbl-encabezado-negro"/>
    <w:uiPriority w:val="99"/>
    <w:rsid w:val="008F7C66"/>
  </w:style>
  <w:style w:type="paragraph" w:customStyle="1" w:styleId="corte4fondo">
    <w:name w:val="corte4 fondo"/>
    <w:basedOn w:val="Normal"/>
    <w:link w:val="corte4fondoCar2"/>
    <w:qFormat/>
    <w:rsid w:val="00BE538A"/>
    <w:pPr>
      <w:overflowPunct w:val="0"/>
      <w:autoSpaceDE w:val="0"/>
      <w:autoSpaceDN w:val="0"/>
      <w:adjustRightInd w:val="0"/>
      <w:spacing w:after="0" w:line="360" w:lineRule="auto"/>
      <w:ind w:firstLine="709"/>
      <w:jc w:val="both"/>
      <w:textAlignment w:val="baseline"/>
    </w:pPr>
    <w:rPr>
      <w:rFonts w:ascii="Arial" w:eastAsia="Times New Roman" w:hAnsi="Arial" w:cs="Times New Roman"/>
      <w:sz w:val="30"/>
      <w:szCs w:val="20"/>
      <w:lang w:val="es-ES_tradnl" w:eastAsia="x-none"/>
    </w:rPr>
  </w:style>
  <w:style w:type="character" w:customStyle="1" w:styleId="corte4fondoCar2">
    <w:name w:val="corte4 fondo Car2"/>
    <w:link w:val="corte4fondo"/>
    <w:rsid w:val="00BE538A"/>
    <w:rPr>
      <w:rFonts w:ascii="Arial" w:eastAsia="Times New Roman" w:hAnsi="Arial"/>
      <w:sz w:val="30"/>
      <w:szCs w:val="20"/>
      <w:lang w:val="es-ES_tradnl" w:eastAsia="x-none"/>
    </w:rPr>
  </w:style>
  <w:style w:type="character" w:styleId="Hipervnculo">
    <w:name w:val="Hyperlink"/>
    <w:basedOn w:val="Fuentedeprrafopredeter"/>
    <w:uiPriority w:val="99"/>
    <w:semiHidden/>
    <w:unhideWhenUsed/>
    <w:rsid w:val="00ED3742"/>
    <w:rPr>
      <w:color w:val="0000FF"/>
      <w:u w:val="single"/>
    </w:rPr>
  </w:style>
  <w:style w:type="paragraph" w:styleId="Textodeglobo">
    <w:name w:val="Balloon Text"/>
    <w:basedOn w:val="Normal"/>
    <w:link w:val="TextodegloboCar"/>
    <w:uiPriority w:val="99"/>
    <w:semiHidden/>
    <w:unhideWhenUsed/>
    <w:rsid w:val="009E01E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E01EC"/>
    <w:rPr>
      <w:rFonts w:ascii="Segoe UI" w:hAnsi="Segoe UI" w:cs="Segoe UI"/>
      <w:sz w:val="18"/>
      <w:szCs w:val="18"/>
      <w:lang w:val="es-MX" w:eastAsia="en-US"/>
    </w:rPr>
  </w:style>
  <w:style w:type="paragraph" w:styleId="NormalWeb">
    <w:name w:val="Normal (Web)"/>
    <w:basedOn w:val="Normal"/>
    <w:unhideWhenUsed/>
    <w:rsid w:val="004C07A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Ttulo4Car">
    <w:name w:val="Título 4 Car"/>
    <w:basedOn w:val="Fuentedeprrafopredeter"/>
    <w:link w:val="Ttulo4"/>
    <w:semiHidden/>
    <w:rsid w:val="002F4975"/>
    <w:rPr>
      <w:rFonts w:asciiTheme="majorHAnsi" w:eastAsiaTheme="majorEastAsia" w:hAnsiTheme="majorHAnsi" w:cstheme="majorBidi"/>
      <w:i/>
      <w:iCs/>
      <w:color w:val="365F91" w:themeColor="accent1" w:themeShade="BF"/>
      <w:lang w:val="es-MX" w:eastAsia="en-US"/>
    </w:rPr>
  </w:style>
  <w:style w:type="character" w:styleId="Refdecomentario">
    <w:name w:val="annotation reference"/>
    <w:basedOn w:val="Fuentedeprrafopredeter"/>
    <w:uiPriority w:val="99"/>
    <w:semiHidden/>
    <w:unhideWhenUsed/>
    <w:rsid w:val="004F092A"/>
    <w:rPr>
      <w:sz w:val="16"/>
      <w:szCs w:val="16"/>
    </w:rPr>
  </w:style>
  <w:style w:type="paragraph" w:customStyle="1" w:styleId="Default">
    <w:name w:val="Default"/>
    <w:rsid w:val="004B2A90"/>
    <w:pPr>
      <w:autoSpaceDE w:val="0"/>
      <w:autoSpaceDN w:val="0"/>
      <w:adjustRightInd w:val="0"/>
    </w:pPr>
    <w:rPr>
      <w:rFonts w:ascii="Arial" w:eastAsiaTheme="minorHAnsi" w:hAnsi="Arial" w:cs="Arial"/>
      <w:color w:val="000000"/>
      <w:sz w:val="24"/>
      <w:szCs w:val="24"/>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731617">
      <w:bodyDiv w:val="1"/>
      <w:marLeft w:val="0"/>
      <w:marRight w:val="0"/>
      <w:marTop w:val="0"/>
      <w:marBottom w:val="0"/>
      <w:divBdr>
        <w:top w:val="none" w:sz="0" w:space="0" w:color="auto"/>
        <w:left w:val="none" w:sz="0" w:space="0" w:color="auto"/>
        <w:bottom w:val="none" w:sz="0" w:space="0" w:color="auto"/>
        <w:right w:val="none" w:sz="0" w:space="0" w:color="auto"/>
      </w:divBdr>
    </w:div>
    <w:div w:id="903102529">
      <w:bodyDiv w:val="1"/>
      <w:marLeft w:val="0"/>
      <w:marRight w:val="0"/>
      <w:marTop w:val="0"/>
      <w:marBottom w:val="0"/>
      <w:divBdr>
        <w:top w:val="none" w:sz="0" w:space="0" w:color="auto"/>
        <w:left w:val="none" w:sz="0" w:space="0" w:color="auto"/>
        <w:bottom w:val="none" w:sz="0" w:space="0" w:color="auto"/>
        <w:right w:val="none" w:sz="0" w:space="0" w:color="auto"/>
      </w:divBdr>
      <w:divsChild>
        <w:div w:id="95561969">
          <w:marLeft w:val="0"/>
          <w:marRight w:val="0"/>
          <w:marTop w:val="0"/>
          <w:marBottom w:val="0"/>
          <w:divBdr>
            <w:top w:val="none" w:sz="0" w:space="0" w:color="auto"/>
            <w:left w:val="none" w:sz="0" w:space="0" w:color="auto"/>
            <w:bottom w:val="none" w:sz="0" w:space="0" w:color="auto"/>
            <w:right w:val="none" w:sz="0" w:space="0" w:color="auto"/>
          </w:divBdr>
        </w:div>
      </w:divsChild>
    </w:div>
    <w:div w:id="1177501684">
      <w:bodyDiv w:val="1"/>
      <w:marLeft w:val="0"/>
      <w:marRight w:val="0"/>
      <w:marTop w:val="0"/>
      <w:marBottom w:val="0"/>
      <w:divBdr>
        <w:top w:val="none" w:sz="0" w:space="0" w:color="auto"/>
        <w:left w:val="none" w:sz="0" w:space="0" w:color="auto"/>
        <w:bottom w:val="none" w:sz="0" w:space="0" w:color="auto"/>
        <w:right w:val="none" w:sz="0" w:space="0" w:color="auto"/>
      </w:divBdr>
    </w:div>
    <w:div w:id="2144347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7CD1EC-533C-450B-9511-6EF7CD59D5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21</Pages>
  <Words>6081</Words>
  <Characters>31395</Characters>
  <Application>Microsoft Office Word</Application>
  <DocSecurity>0</DocSecurity>
  <Lines>261</Lines>
  <Paragraphs>74</Paragraphs>
  <ScaleCrop>false</ScaleCrop>
  <HeadingPairs>
    <vt:vector size="2" baseType="variant">
      <vt:variant>
        <vt:lpstr>Título</vt:lpstr>
      </vt:variant>
      <vt:variant>
        <vt:i4>1</vt:i4>
      </vt:variant>
    </vt:vector>
  </HeadingPairs>
  <TitlesOfParts>
    <vt:vector size="1" baseType="lpstr">
      <vt:lpstr>San Luis Potosí, S</vt:lpstr>
    </vt:vector>
  </TitlesOfParts>
  <Company>Dark</Company>
  <LinksUpToDate>false</LinksUpToDate>
  <CharactersWithSpaces>37402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 Luis Potosí, S</dc:title>
  <dc:subject/>
  <dc:creator>ROSA ERICA GONZALEZ LOPEZ</dc:creator>
  <cp:keywords/>
  <dc:description/>
  <cp:lastModifiedBy>BEATRIZ ADRIANA MARTINEZ CARDONA</cp:lastModifiedBy>
  <cp:revision>8</cp:revision>
  <cp:lastPrinted>2021-06-04T14:05:00Z</cp:lastPrinted>
  <dcterms:created xsi:type="dcterms:W3CDTF">2021-06-14T17:24:00Z</dcterms:created>
  <dcterms:modified xsi:type="dcterms:W3CDTF">2021-06-14T18:42:00Z</dcterms:modified>
</cp:coreProperties>
</file>