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EC6ECA" w14:textId="44934297" w:rsidR="009F3EC9" w:rsidRDefault="00B55A5E" w:rsidP="00A61A02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A61A02">
        <w:rPr>
          <w:rFonts w:ascii="Arial" w:hAnsi="Arial" w:cs="Arial"/>
          <w:sz w:val="24"/>
          <w:szCs w:val="24"/>
        </w:rPr>
        <w:t xml:space="preserve">Respecto a la fracción XXIII del artículo 84 de la Ley de Transparencia y Acceso a la Información Pública del Estado de San Luis Potosí, en lo que corresponde al mes que se reporta no se generó información por parte de esta Contraloría Interna Municipal, al no </w:t>
      </w:r>
      <w:r w:rsidR="00A61A02">
        <w:rPr>
          <w:rFonts w:ascii="Arial" w:hAnsi="Arial" w:cs="Arial"/>
          <w:sz w:val="24"/>
          <w:szCs w:val="24"/>
        </w:rPr>
        <w:t>existir sanciones que hayan causado estado en el periodo que se reporta, lo que en la especie conlleva a que no se actualicen</w:t>
      </w:r>
      <w:r w:rsidR="00A61A02" w:rsidRPr="00A61A02">
        <w:rPr>
          <w:rFonts w:ascii="Arial" w:hAnsi="Arial" w:cs="Arial"/>
          <w:sz w:val="24"/>
          <w:szCs w:val="24"/>
        </w:rPr>
        <w:t xml:space="preserve"> las hipótesis normativas establecidas en los arábigos 74, 76, 205 y demás relativos y aplicables de la Ley de Responsabilidades Administrativas del Estado y Municipios de San Luis Potosí</w:t>
      </w:r>
      <w:r w:rsidR="00A61A02">
        <w:rPr>
          <w:rFonts w:ascii="Arial" w:hAnsi="Arial" w:cs="Arial"/>
          <w:sz w:val="24"/>
          <w:szCs w:val="24"/>
        </w:rPr>
        <w:t>.</w:t>
      </w:r>
      <w:r w:rsidR="00A61A02">
        <w:rPr>
          <w:rStyle w:val="Refdenotaalfinal"/>
          <w:rFonts w:ascii="Arial" w:hAnsi="Arial" w:cs="Arial"/>
          <w:sz w:val="24"/>
          <w:szCs w:val="24"/>
        </w:rPr>
        <w:endnoteReference w:id="1"/>
      </w:r>
    </w:p>
    <w:p w14:paraId="18482203" w14:textId="77777777" w:rsidR="00A61A02" w:rsidRPr="00A61A02" w:rsidRDefault="00A61A02" w:rsidP="00A61A02">
      <w:pPr>
        <w:jc w:val="both"/>
        <w:rPr>
          <w:rFonts w:ascii="Arial" w:hAnsi="Arial" w:cs="Arial"/>
          <w:sz w:val="24"/>
          <w:szCs w:val="24"/>
        </w:rPr>
      </w:pPr>
    </w:p>
    <w:sectPr w:rsidR="00A61A02" w:rsidRPr="00A61A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40C8EF" w14:textId="77777777" w:rsidR="00A61A02" w:rsidRDefault="00A61A02" w:rsidP="00A61A02">
      <w:pPr>
        <w:spacing w:after="0" w:line="240" w:lineRule="auto"/>
      </w:pPr>
      <w:r>
        <w:separator/>
      </w:r>
    </w:p>
  </w:endnote>
  <w:endnote w:type="continuationSeparator" w:id="0">
    <w:p w14:paraId="23F7CFC8" w14:textId="77777777" w:rsidR="00A61A02" w:rsidRDefault="00A61A02" w:rsidP="00A61A02">
      <w:pPr>
        <w:spacing w:after="0" w:line="240" w:lineRule="auto"/>
      </w:pPr>
      <w:r>
        <w:continuationSeparator/>
      </w:r>
    </w:p>
  </w:endnote>
  <w:endnote w:id="1">
    <w:p w14:paraId="4945C8FC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>
        <w:rPr>
          <w:rStyle w:val="Refdenotaalfinal"/>
        </w:rPr>
        <w:endnoteRef/>
      </w:r>
      <w:r>
        <w:t xml:space="preserve"> </w:t>
      </w:r>
      <w:r w:rsidRPr="00362043">
        <w:rPr>
          <w:sz w:val="14"/>
          <w:szCs w:val="14"/>
        </w:rPr>
        <w:t>ARTÍCULO 74. En los casos de responsabilidades administrativas por faltas de las catalogadas como no graves, las contralorías o los órganos internos de control impondrán las sanciones administrativas siguientes:</w:t>
      </w:r>
    </w:p>
    <w:p w14:paraId="4354571B" w14:textId="606E675B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Amonestación privada o pública; </w:t>
      </w:r>
    </w:p>
    <w:p w14:paraId="081D1013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Suspensión del empleo, cargo o comisión; </w:t>
      </w:r>
    </w:p>
    <w:p w14:paraId="02C3200F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III. Destitución del empleo, cargo o comisión, y </w:t>
      </w:r>
    </w:p>
    <w:p w14:paraId="43106C3E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IV. Inhabilitación temporal para desempeñar empleos, cargos o comisiones en el servicio público y para participar en adquisiciones, arrendamientos, servicios u obras públicas. </w:t>
      </w:r>
    </w:p>
    <w:p w14:paraId="193B0925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Las contralorías y los órganos internos de control podrán imponer una o más de las sanciones administrativas señaladas en este artículo, siempre y cuando sean compatibles entre ellas y de acuerdo a la trascendencia de la falta administrativa no grave. </w:t>
      </w:r>
    </w:p>
    <w:p w14:paraId="4692AB89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 suspensión del empleo, cargo o comisión que se imponga por las contralorías o los órganos internos de control, podrá ser de uno a treinta días naturales y serán ejecutadas por el titular o servidor público competente del ente público correspondiente. </w:t>
      </w:r>
    </w:p>
    <w:p w14:paraId="1F8B27D9" w14:textId="03CB8F00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En caso de que las contralorías o los órganos internos de control impongan como sanción la inhabilitación temporal, ésta no será menor de tres meses ni podrá exceder de un año y serán ejecutadas en los términos de la resolución dictada.</w:t>
      </w:r>
    </w:p>
    <w:p w14:paraId="2EDEFCF8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ARTÍCULO 76. Corresponde a las contralorías o a los órganos internos de control imponer las sanciones por faltas administrativas no graves, y ejecutarlas o proveer las instrucciones conducentes a su ejecución. Las contralorías o los órganos internos de control podrán abstenerse de imponer la sanción que corresponda siempre que el servidor público: </w:t>
      </w:r>
    </w:p>
    <w:p w14:paraId="56F6B7A3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No haya sido sancionado previamente por la misma falta administrativa no grave, y </w:t>
      </w:r>
    </w:p>
    <w:p w14:paraId="51C86B2B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No haya actuado de forma dolosa. </w:t>
      </w:r>
    </w:p>
    <w:p w14:paraId="33399984" w14:textId="067FF95C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Las contralorías o los órganos internos de control dejarán constancia de la no imposición de la sanción a que se refiere el párrafo anterior.</w:t>
      </w:r>
    </w:p>
    <w:p w14:paraId="768DF617" w14:textId="14BBC2AC" w:rsidR="00A61A02" w:rsidRDefault="00A61A02" w:rsidP="00A61A02">
      <w:pPr>
        <w:pStyle w:val="Textonotaalfinal"/>
        <w:jc w:val="both"/>
      </w:pPr>
      <w:r w:rsidRPr="00362043">
        <w:rPr>
          <w:sz w:val="14"/>
          <w:szCs w:val="14"/>
        </w:rPr>
        <w:t>ARTÍCULO 205. Las resoluciones se considerarán que han quedado firmes, cuando transcurridos los plazos previstos en esta Ley, no se haya interpuesto en su contra recurso alguno; o bien, desde su emisión, cuando no proceda contra ellas recurso o medio ordinario de defensa.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5F9BD5" w14:textId="77777777" w:rsidR="00A61A02" w:rsidRDefault="00A61A02" w:rsidP="00A61A02">
      <w:pPr>
        <w:spacing w:after="0" w:line="240" w:lineRule="auto"/>
      </w:pPr>
      <w:r>
        <w:separator/>
      </w:r>
    </w:p>
  </w:footnote>
  <w:footnote w:type="continuationSeparator" w:id="0">
    <w:p w14:paraId="664346A8" w14:textId="77777777" w:rsidR="00A61A02" w:rsidRDefault="00A61A02" w:rsidP="00A61A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A5E"/>
    <w:rsid w:val="00362043"/>
    <w:rsid w:val="009F3EC9"/>
    <w:rsid w:val="00A06AB6"/>
    <w:rsid w:val="00A61A02"/>
    <w:rsid w:val="00B5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A6D3B"/>
  <w15:chartTrackingRefBased/>
  <w15:docId w15:val="{F4E34339-96D5-4C64-BA32-872DB263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A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61A02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61A02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A61A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B5C74-EDEA-433E-BF97-CE2058102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489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 Municipal 04</dc:creator>
  <cp:keywords/>
  <dc:description/>
  <cp:lastModifiedBy>Hewlett-Packard Company</cp:lastModifiedBy>
  <cp:revision>2</cp:revision>
  <dcterms:created xsi:type="dcterms:W3CDTF">2021-08-10T18:21:00Z</dcterms:created>
  <dcterms:modified xsi:type="dcterms:W3CDTF">2021-08-10T18:21:00Z</dcterms:modified>
</cp:coreProperties>
</file>