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4DC" w:rsidRPr="00C764DC" w:rsidRDefault="00AA7358" w:rsidP="00C764DC">
      <w:pPr>
        <w:spacing w:after="0"/>
        <w:jc w:val="center"/>
        <w:rPr>
          <w:b/>
          <w:sz w:val="36"/>
        </w:rPr>
      </w:pPr>
      <w:r w:rsidRPr="00C764DC">
        <w:rPr>
          <w:b/>
          <w:sz w:val="36"/>
        </w:rPr>
        <w:t xml:space="preserve">LTAIPSLP84XVI </w:t>
      </w:r>
    </w:p>
    <w:p w:rsidR="00AA7358" w:rsidRPr="00C764DC" w:rsidRDefault="00AA7358" w:rsidP="00C764DC">
      <w:pPr>
        <w:spacing w:after="0"/>
        <w:jc w:val="center"/>
        <w:rPr>
          <w:b/>
          <w:sz w:val="36"/>
        </w:rPr>
      </w:pPr>
      <w:r w:rsidRPr="00C764DC">
        <w:rPr>
          <w:b/>
          <w:sz w:val="36"/>
        </w:rPr>
        <w:t>PERSONAL CONTRATADO POR HONORARIOS</w:t>
      </w:r>
    </w:p>
    <w:p w:rsidR="00C764DC" w:rsidRDefault="00C764DC"/>
    <w:p w:rsidR="00547C54" w:rsidRDefault="00AA7358">
      <w:r>
        <w:t xml:space="preserve">DE ACUERDO A LA LEY ORGANICA DEL MUNICIPIO LIBRE DEL ESTADO DE SAN LUIS POTOSI, EN SU ARTICULO 47 FRACCION III, NO SE ENTREGA POR EL DEPARTEMENTO DE TESORIA LA INFORMACION </w:t>
      </w:r>
      <w:r>
        <w:t>REQUERIDA MEDIANTE EL OFICIO 029</w:t>
      </w:r>
      <w:r>
        <w:t>/2021</w:t>
      </w:r>
      <w:bookmarkStart w:id="0" w:name="_GoBack"/>
      <w:bookmarkEnd w:id="0"/>
    </w:p>
    <w:sectPr w:rsidR="00547C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358"/>
    <w:rsid w:val="00547C54"/>
    <w:rsid w:val="00AA7358"/>
    <w:rsid w:val="00C7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6946A"/>
  <w15:chartTrackingRefBased/>
  <w15:docId w15:val="{CC27761E-35E4-422D-9C8B-A9F73084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OficinaS</dc:creator>
  <cp:keywords/>
  <dc:description/>
  <cp:lastModifiedBy>OficinaS</cp:lastModifiedBy>
  <cp:revision>2</cp:revision>
  <dcterms:created xsi:type="dcterms:W3CDTF">2021-04-08T03:29:00Z</dcterms:created>
  <dcterms:modified xsi:type="dcterms:W3CDTF">2021-04-08T03:32:00Z</dcterms:modified>
</cp:coreProperties>
</file>