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3F1E" w:rsidRPr="00CC74EE" w:rsidRDefault="00913F1E" w:rsidP="00913F1E">
      <w:pPr>
        <w:pStyle w:val="Sangra2detindependiente"/>
        <w:ind w:firstLine="0"/>
        <w:rPr>
          <w:szCs w:val="28"/>
        </w:rPr>
      </w:pPr>
      <w:r w:rsidRPr="00CC74EE">
        <w:rPr>
          <w:szCs w:val="28"/>
        </w:rPr>
        <w:tab/>
      </w:r>
      <w:r w:rsidRPr="00CC74EE">
        <w:rPr>
          <w:szCs w:val="28"/>
        </w:rPr>
        <w:tab/>
        <w:t xml:space="preserve">San Luis Potosí, S.L.P., a </w:t>
      </w:r>
      <w:r w:rsidR="00335415">
        <w:rPr>
          <w:szCs w:val="28"/>
        </w:rPr>
        <w:t xml:space="preserve">17 diecisiete </w:t>
      </w:r>
      <w:r w:rsidRPr="00CC74EE">
        <w:rPr>
          <w:szCs w:val="28"/>
        </w:rPr>
        <w:t xml:space="preserve">de junio de 2021 </w:t>
      </w:r>
      <w:proofErr w:type="gramStart"/>
      <w:r w:rsidRPr="00CC74EE">
        <w:rPr>
          <w:szCs w:val="28"/>
        </w:rPr>
        <w:t>dos mil veintiuno</w:t>
      </w:r>
      <w:proofErr w:type="gramEnd"/>
      <w:r w:rsidRPr="00CC74EE">
        <w:rPr>
          <w:szCs w:val="28"/>
        </w:rPr>
        <w:t xml:space="preserve">. </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 xml:space="preserve">VISTO, </w:t>
      </w:r>
      <w:r w:rsidRPr="00CC74EE">
        <w:rPr>
          <w:rFonts w:ascii="Arial" w:hAnsi="Arial" w:cs="Arial"/>
          <w:sz w:val="28"/>
          <w:szCs w:val="28"/>
        </w:rPr>
        <w:t xml:space="preserve">para resolver el Toca número </w:t>
      </w:r>
      <w:r w:rsidRPr="00CC74EE">
        <w:rPr>
          <w:rFonts w:ascii="Arial" w:hAnsi="Arial" w:cs="Arial"/>
          <w:b/>
          <w:sz w:val="28"/>
          <w:szCs w:val="28"/>
        </w:rPr>
        <w:t>116/202</w:t>
      </w:r>
      <w:r w:rsidR="00AE79BD">
        <w:rPr>
          <w:rFonts w:ascii="Arial" w:hAnsi="Arial" w:cs="Arial"/>
          <w:b/>
          <w:sz w:val="28"/>
          <w:szCs w:val="28"/>
        </w:rPr>
        <w:t>0</w:t>
      </w:r>
      <w:r w:rsidRPr="00CC74EE">
        <w:rPr>
          <w:rFonts w:ascii="Arial" w:hAnsi="Arial" w:cs="Arial"/>
          <w:b/>
          <w:sz w:val="28"/>
          <w:szCs w:val="28"/>
        </w:rPr>
        <w:t xml:space="preserve">, </w:t>
      </w:r>
      <w:r w:rsidRPr="00CC74EE">
        <w:rPr>
          <w:rFonts w:ascii="Arial" w:hAnsi="Arial" w:cs="Arial"/>
          <w:sz w:val="28"/>
          <w:szCs w:val="28"/>
        </w:rPr>
        <w:t xml:space="preserve">formado con motivo del Recurso de Queja interpuesto por </w:t>
      </w:r>
      <w:r w:rsidR="002153B3">
        <w:rPr>
          <w:rFonts w:ascii="Arial" w:hAnsi="Arial" w:cs="Arial"/>
          <w:b/>
          <w:i/>
          <w:sz w:val="28"/>
          <w:szCs w:val="28"/>
        </w:rPr>
        <w:t xml:space="preserve">ELIMINADO </w:t>
      </w:r>
      <w:r w:rsidRPr="00CC74EE">
        <w:rPr>
          <w:rFonts w:ascii="Arial" w:hAnsi="Arial" w:cs="Arial"/>
          <w:sz w:val="28"/>
          <w:szCs w:val="28"/>
        </w:rPr>
        <w:t xml:space="preserve">contra del auto dictado por el </w:t>
      </w:r>
      <w:r w:rsidRPr="00CC74EE">
        <w:rPr>
          <w:rFonts w:ascii="Arial" w:hAnsi="Arial" w:cs="Arial"/>
          <w:b/>
          <w:bCs/>
          <w:sz w:val="28"/>
          <w:szCs w:val="28"/>
        </w:rPr>
        <w:t xml:space="preserve">Juez Segundo Civil </w:t>
      </w:r>
      <w:r w:rsidRPr="00CC74EE">
        <w:rPr>
          <w:rFonts w:ascii="Arial" w:hAnsi="Arial" w:cs="Arial"/>
          <w:bCs/>
          <w:sz w:val="28"/>
          <w:szCs w:val="28"/>
        </w:rPr>
        <w:t>el 28 veintiocho de agosto de 2020 dos mil veinte</w:t>
      </w:r>
      <w:r w:rsidRPr="00CC74EE">
        <w:rPr>
          <w:rFonts w:ascii="Arial" w:hAnsi="Arial" w:cs="Arial"/>
          <w:sz w:val="28"/>
          <w:szCs w:val="28"/>
        </w:rPr>
        <w:t xml:space="preserve">, </w:t>
      </w:r>
      <w:r w:rsidRPr="00CC74EE">
        <w:rPr>
          <w:rFonts w:ascii="Arial" w:hAnsi="Arial" w:cs="Arial"/>
          <w:b/>
          <w:bCs/>
          <w:sz w:val="28"/>
          <w:szCs w:val="28"/>
        </w:rPr>
        <w:t xml:space="preserve">que le negó la admisión de un recurso de apelación </w:t>
      </w:r>
      <w:r w:rsidRPr="00CC74EE">
        <w:rPr>
          <w:rFonts w:ascii="Arial" w:hAnsi="Arial" w:cs="Arial"/>
          <w:sz w:val="28"/>
          <w:szCs w:val="28"/>
        </w:rPr>
        <w:t xml:space="preserve">dentro del expediente número </w:t>
      </w:r>
      <w:r w:rsidRPr="00CC74EE">
        <w:rPr>
          <w:rFonts w:ascii="Arial" w:hAnsi="Arial" w:cs="Arial"/>
          <w:b/>
          <w:bCs/>
          <w:sz w:val="28"/>
          <w:szCs w:val="28"/>
        </w:rPr>
        <w:t>1404/2018</w:t>
      </w:r>
      <w:r w:rsidRPr="00CC74EE">
        <w:rPr>
          <w:rFonts w:ascii="Arial" w:hAnsi="Arial" w:cs="Arial"/>
          <w:sz w:val="28"/>
          <w:szCs w:val="28"/>
        </w:rPr>
        <w:t xml:space="preserve">, relativo a un juicio extraordinario civil por rescisión de contrato de arrendamiento, promovido por </w:t>
      </w:r>
      <w:r w:rsidR="002153B3">
        <w:rPr>
          <w:rFonts w:ascii="Arial" w:hAnsi="Arial" w:cs="Arial"/>
          <w:b/>
          <w:i/>
          <w:sz w:val="28"/>
          <w:szCs w:val="28"/>
        </w:rPr>
        <w:t>ELIMINADO</w:t>
      </w:r>
      <w:r w:rsidRPr="00CC74EE">
        <w:rPr>
          <w:rFonts w:ascii="Arial" w:hAnsi="Arial" w:cs="Arial"/>
          <w:sz w:val="28"/>
          <w:szCs w:val="28"/>
        </w:rPr>
        <w:t xml:space="preserve">, en contra del quejoso, y; </w:t>
      </w:r>
    </w:p>
    <w:p w:rsidR="00913F1E" w:rsidRPr="00CC74EE" w:rsidRDefault="00913F1E" w:rsidP="00913F1E">
      <w:pPr>
        <w:spacing w:line="480" w:lineRule="auto"/>
        <w:jc w:val="center"/>
        <w:rPr>
          <w:rFonts w:ascii="Arial" w:hAnsi="Arial" w:cs="Arial"/>
          <w:b/>
          <w:bCs/>
          <w:sz w:val="28"/>
          <w:szCs w:val="28"/>
        </w:rPr>
      </w:pPr>
      <w:r w:rsidRPr="00CC74EE">
        <w:rPr>
          <w:rFonts w:ascii="Arial" w:hAnsi="Arial" w:cs="Arial"/>
          <w:b/>
          <w:bCs/>
          <w:sz w:val="28"/>
          <w:szCs w:val="28"/>
        </w:rPr>
        <w:t>R E S U L T A N D O:</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ÚNICO:</w:t>
      </w:r>
      <w:r w:rsidRPr="00CC74EE">
        <w:rPr>
          <w:rFonts w:ascii="Arial" w:hAnsi="Arial" w:cs="Arial"/>
          <w:sz w:val="28"/>
          <w:szCs w:val="28"/>
        </w:rPr>
        <w:t xml:space="preserve"> Por escrito presentado el 3 tres de septiembre pasado, compareció</w:t>
      </w:r>
      <w:r w:rsidR="002153B3">
        <w:rPr>
          <w:rFonts w:ascii="Arial" w:hAnsi="Arial" w:cs="Arial"/>
          <w:sz w:val="28"/>
          <w:szCs w:val="28"/>
        </w:rPr>
        <w:t xml:space="preserve"> </w:t>
      </w:r>
      <w:r w:rsidR="002153B3">
        <w:rPr>
          <w:rFonts w:ascii="Arial" w:hAnsi="Arial" w:cs="Arial"/>
          <w:b/>
          <w:i/>
          <w:sz w:val="28"/>
          <w:szCs w:val="28"/>
        </w:rPr>
        <w:t xml:space="preserve">ELIMINADO </w:t>
      </w:r>
      <w:r w:rsidRPr="00CC74EE">
        <w:rPr>
          <w:rFonts w:ascii="Arial" w:hAnsi="Arial" w:cs="Arial"/>
          <w:sz w:val="28"/>
          <w:szCs w:val="28"/>
        </w:rPr>
        <w:t xml:space="preserve">a interponer recurso de queja en contra del auto de </w:t>
      </w:r>
      <w:r w:rsidRPr="00CC74EE">
        <w:rPr>
          <w:rFonts w:ascii="Arial" w:hAnsi="Arial" w:cs="Arial"/>
          <w:bCs/>
          <w:sz w:val="28"/>
          <w:szCs w:val="28"/>
        </w:rPr>
        <w:t>28 veintiocho de agosto de 2020 dos mil veinte,</w:t>
      </w:r>
      <w:r w:rsidRPr="00CC74EE">
        <w:rPr>
          <w:rFonts w:ascii="Arial" w:hAnsi="Arial" w:cs="Arial"/>
          <w:sz w:val="28"/>
          <w:szCs w:val="28"/>
        </w:rPr>
        <w:t xml:space="preserve"> dictado por el </w:t>
      </w:r>
      <w:r w:rsidRPr="00CC74EE">
        <w:rPr>
          <w:rFonts w:ascii="Arial" w:hAnsi="Arial" w:cs="Arial"/>
          <w:b/>
          <w:bCs/>
          <w:sz w:val="28"/>
          <w:szCs w:val="28"/>
        </w:rPr>
        <w:t xml:space="preserve">Juez Segundo Civil, </w:t>
      </w:r>
      <w:r w:rsidRPr="00CC74EE">
        <w:rPr>
          <w:rFonts w:ascii="Arial" w:hAnsi="Arial" w:cs="Arial"/>
          <w:bCs/>
          <w:sz w:val="28"/>
          <w:szCs w:val="28"/>
        </w:rPr>
        <w:t>que le negó la admisión de un recurso de apelación</w:t>
      </w:r>
      <w:r w:rsidRPr="00CC74EE">
        <w:rPr>
          <w:rFonts w:ascii="Arial" w:hAnsi="Arial" w:cs="Arial"/>
          <w:b/>
          <w:bCs/>
          <w:sz w:val="28"/>
          <w:szCs w:val="28"/>
        </w:rPr>
        <w:t xml:space="preserve"> </w:t>
      </w:r>
      <w:r w:rsidRPr="00CC74EE">
        <w:rPr>
          <w:rFonts w:ascii="Arial" w:hAnsi="Arial" w:cs="Arial"/>
          <w:sz w:val="28"/>
          <w:szCs w:val="28"/>
        </w:rPr>
        <w:t xml:space="preserve">dentro del expediente número </w:t>
      </w:r>
      <w:r w:rsidRPr="00CC74EE">
        <w:rPr>
          <w:rFonts w:ascii="Arial" w:hAnsi="Arial" w:cs="Arial"/>
          <w:b/>
          <w:bCs/>
          <w:sz w:val="28"/>
          <w:szCs w:val="28"/>
        </w:rPr>
        <w:t>1404/2018</w:t>
      </w:r>
      <w:r w:rsidRPr="00CC74EE">
        <w:rPr>
          <w:rFonts w:ascii="Arial" w:hAnsi="Arial" w:cs="Arial"/>
          <w:sz w:val="28"/>
          <w:szCs w:val="28"/>
        </w:rPr>
        <w:t xml:space="preserve">, relativo a un juicio extraordinario civil por rescisión de contrato de arrendamiento, promovido por </w:t>
      </w:r>
      <w:r w:rsidR="002153B3">
        <w:rPr>
          <w:rFonts w:ascii="Arial" w:hAnsi="Arial" w:cs="Arial"/>
          <w:b/>
          <w:i/>
          <w:sz w:val="28"/>
          <w:szCs w:val="28"/>
        </w:rPr>
        <w:t>ELIMINADO</w:t>
      </w:r>
      <w:r w:rsidRPr="00CC74EE">
        <w:rPr>
          <w:rFonts w:ascii="Arial" w:hAnsi="Arial" w:cs="Arial"/>
          <w:sz w:val="28"/>
          <w:szCs w:val="28"/>
        </w:rPr>
        <w:t xml:space="preserve">, en contra del quejoso. </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Por auto de Presidencia dictado el 4 cuatro de septiembre pasado, se registró el recurso interpuesto por los quejosos,</w:t>
      </w:r>
      <w:r w:rsidRPr="00CC74EE">
        <w:rPr>
          <w:rFonts w:ascii="Arial" w:hAnsi="Arial" w:cs="Arial"/>
          <w:bCs/>
          <w:sz w:val="28"/>
          <w:szCs w:val="28"/>
        </w:rPr>
        <w:t xml:space="preserve"> </w:t>
      </w:r>
      <w:r w:rsidRPr="00CC74EE">
        <w:rPr>
          <w:rFonts w:ascii="Arial" w:hAnsi="Arial" w:cs="Arial"/>
          <w:sz w:val="28"/>
          <w:szCs w:val="28"/>
        </w:rPr>
        <w:t xml:space="preserve">reservando su admisión hasta en tanto obrara en autos el informe del Juez de la causa, y en proveído de 21 veintiuno del mismo mes y año, se tuvo a </w:t>
      </w:r>
      <w:r w:rsidR="002153B3">
        <w:rPr>
          <w:rFonts w:ascii="Arial" w:hAnsi="Arial" w:cs="Arial"/>
          <w:b/>
          <w:i/>
          <w:sz w:val="28"/>
          <w:szCs w:val="28"/>
        </w:rPr>
        <w:t>ELIMINADO</w:t>
      </w:r>
      <w:r w:rsidRPr="00CC74EE">
        <w:rPr>
          <w:rFonts w:ascii="Arial" w:hAnsi="Arial" w:cs="Arial"/>
          <w:sz w:val="28"/>
          <w:szCs w:val="28"/>
        </w:rPr>
        <w:t xml:space="preserve"> quien se ostentó como apoderado general de la colitigante </w:t>
      </w:r>
      <w:r w:rsidR="002153B3">
        <w:rPr>
          <w:rFonts w:ascii="Arial" w:hAnsi="Arial" w:cs="Arial"/>
          <w:b/>
          <w:i/>
          <w:sz w:val="28"/>
          <w:szCs w:val="28"/>
        </w:rPr>
        <w:t xml:space="preserve">ELIMINADO </w:t>
      </w:r>
      <w:r w:rsidRPr="00CC74EE">
        <w:rPr>
          <w:rFonts w:ascii="Arial" w:hAnsi="Arial" w:cs="Arial"/>
          <w:sz w:val="28"/>
          <w:szCs w:val="28"/>
        </w:rPr>
        <w:t xml:space="preserve">por solicitando se </w:t>
      </w:r>
      <w:r w:rsidRPr="00CC74EE">
        <w:rPr>
          <w:rFonts w:ascii="Arial" w:hAnsi="Arial" w:cs="Arial"/>
          <w:sz w:val="28"/>
          <w:szCs w:val="28"/>
        </w:rPr>
        <w:lastRenderedPageBreak/>
        <w:t>le tuviera por apersonándose a la alzada, lo cual se reservó proveer hasta en tanto el A quo rindiera su informe.</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sz w:val="28"/>
          <w:szCs w:val="28"/>
        </w:rPr>
        <w:tab/>
      </w:r>
      <w:r w:rsidRPr="00CC74EE">
        <w:rPr>
          <w:rFonts w:ascii="Arial" w:hAnsi="Arial" w:cs="Arial"/>
          <w:sz w:val="28"/>
          <w:szCs w:val="28"/>
        </w:rPr>
        <w:tab/>
        <w:t xml:space="preserve">Por auto de 13 trece de mayo de 2021 </w:t>
      </w:r>
      <w:proofErr w:type="gramStart"/>
      <w:r w:rsidRPr="00CC74EE">
        <w:rPr>
          <w:rFonts w:ascii="Arial" w:hAnsi="Arial" w:cs="Arial"/>
          <w:sz w:val="28"/>
          <w:szCs w:val="28"/>
        </w:rPr>
        <w:t>dos mil veintiuno</w:t>
      </w:r>
      <w:proofErr w:type="gramEnd"/>
      <w:r w:rsidRPr="00CC74EE">
        <w:rPr>
          <w:rFonts w:ascii="Arial" w:hAnsi="Arial" w:cs="Arial"/>
          <w:sz w:val="28"/>
          <w:szCs w:val="28"/>
        </w:rPr>
        <w:t xml:space="preserve">, se tuvo al Juez de origen por rindiendo informe justificado, y una vez efectuado el computo relativo se tuvo a </w:t>
      </w:r>
      <w:r w:rsidR="002153B3">
        <w:rPr>
          <w:rFonts w:ascii="Arial" w:hAnsi="Arial" w:cs="Arial"/>
          <w:b/>
          <w:i/>
          <w:sz w:val="28"/>
          <w:szCs w:val="28"/>
        </w:rPr>
        <w:t xml:space="preserve">ELIMINADO </w:t>
      </w:r>
      <w:r w:rsidRPr="00CC74EE">
        <w:rPr>
          <w:rFonts w:ascii="Arial" w:hAnsi="Arial" w:cs="Arial"/>
          <w:bCs/>
          <w:sz w:val="28"/>
          <w:szCs w:val="28"/>
        </w:rPr>
        <w:t xml:space="preserve">por interponiendo en tiempo y forma el recurso de queja que hizo valer, admitiéndose por cuanto ha lugar a derecho, mientras que, por lo que respecta a la colitigante </w:t>
      </w:r>
      <w:r w:rsidR="002153B3">
        <w:rPr>
          <w:rFonts w:ascii="Arial" w:hAnsi="Arial" w:cs="Arial"/>
          <w:b/>
          <w:i/>
          <w:sz w:val="28"/>
          <w:szCs w:val="28"/>
        </w:rPr>
        <w:t>ELIMINADO</w:t>
      </w:r>
      <w:r w:rsidRPr="00CC74EE">
        <w:rPr>
          <w:rFonts w:ascii="Arial" w:hAnsi="Arial" w:cs="Arial"/>
          <w:bCs/>
          <w:sz w:val="28"/>
          <w:szCs w:val="28"/>
        </w:rPr>
        <w:t xml:space="preserve"> se le tuvo por compareciendo en tiempo por conducto de sus apoderado general </w:t>
      </w:r>
      <w:r w:rsidR="002153B3">
        <w:rPr>
          <w:rFonts w:ascii="Arial" w:hAnsi="Arial" w:cs="Arial"/>
          <w:b/>
          <w:i/>
          <w:sz w:val="28"/>
          <w:szCs w:val="28"/>
        </w:rPr>
        <w:t>ELIMINADO</w:t>
      </w:r>
      <w:r w:rsidRPr="00CC74EE">
        <w:rPr>
          <w:rFonts w:ascii="Arial" w:hAnsi="Arial" w:cs="Arial"/>
          <w:b/>
          <w:bCs/>
          <w:sz w:val="28"/>
          <w:szCs w:val="28"/>
        </w:rPr>
        <w:t>.</w:t>
      </w:r>
    </w:p>
    <w:p w:rsidR="00913F1E" w:rsidRPr="00CC74EE" w:rsidRDefault="00913F1E" w:rsidP="00913F1E">
      <w:pPr>
        <w:spacing w:line="480" w:lineRule="auto"/>
        <w:jc w:val="both"/>
        <w:rPr>
          <w:rFonts w:ascii="Arial" w:hAnsi="Arial" w:cs="Arial"/>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sz w:val="28"/>
          <w:szCs w:val="28"/>
        </w:rPr>
        <w:t>Así, al no existir trámites procesales pendientes de desahogar, y notificadas las partes del proveído que antecede el 19 diecinueve de mayo pasado, se citó para resolver el presente negocio, turnándose el Toca al Magistrado Jesús María Ponce de León Montes, para que formulara el proyecto de resolución;</w:t>
      </w:r>
    </w:p>
    <w:p w:rsidR="00913F1E" w:rsidRPr="00CC74EE" w:rsidRDefault="00913F1E" w:rsidP="00913F1E">
      <w:pPr>
        <w:spacing w:line="480" w:lineRule="auto"/>
        <w:jc w:val="center"/>
        <w:rPr>
          <w:rFonts w:ascii="Arial" w:hAnsi="Arial" w:cs="Arial"/>
          <w:b/>
          <w:bCs/>
          <w:sz w:val="28"/>
          <w:szCs w:val="28"/>
        </w:rPr>
      </w:pPr>
      <w:r w:rsidRPr="00CC74EE">
        <w:rPr>
          <w:rFonts w:ascii="Arial" w:hAnsi="Arial" w:cs="Arial"/>
          <w:b/>
          <w:bCs/>
          <w:sz w:val="28"/>
          <w:szCs w:val="28"/>
        </w:rPr>
        <w:t>C O N S I D E R A N D O:</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PRIMERO:</w:t>
      </w:r>
      <w:r w:rsidRPr="00CC74EE">
        <w:rPr>
          <w:rFonts w:ascii="Arial" w:hAnsi="Arial" w:cs="Arial"/>
          <w:sz w:val="28"/>
          <w:szCs w:val="28"/>
        </w:rPr>
        <w:t xml:space="preserve"> Este H. Pleno del Supremo Tribunal de Justicia en el Estado, es competente para conocer del presente recurso queja, en términos de los artículos 11 y 14 fracción XIV de la Ley Orgánica del Poder Judicial del Estado, 971 fracción III y 973 del Código de Procedimientos Civiles.</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SEGUNDO:</w:t>
      </w:r>
      <w:r w:rsidRPr="00CC74EE">
        <w:rPr>
          <w:rFonts w:ascii="Arial" w:hAnsi="Arial" w:cs="Arial"/>
          <w:sz w:val="28"/>
          <w:szCs w:val="28"/>
        </w:rPr>
        <w:t xml:space="preserve"> La substanciación de la inconformidad se encuentra regulada por los artículos 17 fracción VIII de la Ley Orgánica en cita, 971 fracción III, y 973 del Ordenamiento Adjetivo Civil. </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lastRenderedPageBreak/>
        <w:tab/>
      </w:r>
      <w:r w:rsidRPr="00CC74EE">
        <w:rPr>
          <w:rFonts w:ascii="Arial" w:hAnsi="Arial" w:cs="Arial"/>
          <w:sz w:val="28"/>
          <w:szCs w:val="28"/>
        </w:rPr>
        <w:tab/>
      </w:r>
      <w:r w:rsidRPr="00CC74EE">
        <w:rPr>
          <w:rFonts w:ascii="Arial" w:hAnsi="Arial" w:cs="Arial"/>
          <w:b/>
          <w:sz w:val="28"/>
          <w:szCs w:val="28"/>
        </w:rPr>
        <w:t xml:space="preserve">TERCERO: </w:t>
      </w:r>
      <w:r w:rsidRPr="00CC74EE">
        <w:rPr>
          <w:rFonts w:ascii="Arial" w:hAnsi="Arial" w:cs="Arial"/>
          <w:bCs/>
          <w:sz w:val="28"/>
          <w:szCs w:val="28"/>
        </w:rPr>
        <w:t xml:space="preserve">El auto </w:t>
      </w:r>
      <w:r w:rsidRPr="00CC74EE">
        <w:rPr>
          <w:rFonts w:ascii="Arial" w:hAnsi="Arial" w:cs="Arial"/>
          <w:sz w:val="28"/>
          <w:szCs w:val="28"/>
        </w:rPr>
        <w:t>combatido en queja se dictó el</w:t>
      </w:r>
      <w:r w:rsidRPr="00CC74EE">
        <w:rPr>
          <w:rFonts w:ascii="Arial" w:hAnsi="Arial" w:cs="Arial"/>
          <w:bCs/>
          <w:sz w:val="28"/>
          <w:szCs w:val="28"/>
        </w:rPr>
        <w:t xml:space="preserve"> 28 veintiocho de agosto pasado, </w:t>
      </w:r>
      <w:r w:rsidRPr="00CC74EE">
        <w:rPr>
          <w:rFonts w:ascii="Arial" w:hAnsi="Arial" w:cs="Arial"/>
          <w:sz w:val="28"/>
          <w:szCs w:val="28"/>
        </w:rPr>
        <w:t xml:space="preserve">y publicó en lista el 31 treinta y uno del mismo mes y año, y en lo conducente estableció: </w:t>
      </w:r>
    </w:p>
    <w:p w:rsidR="00913F1E" w:rsidRPr="00CC74EE" w:rsidRDefault="00913F1E" w:rsidP="00913F1E">
      <w:pPr>
        <w:spacing w:line="480" w:lineRule="auto"/>
        <w:jc w:val="both"/>
        <w:rPr>
          <w:b/>
          <w:iCs/>
          <w:sz w:val="28"/>
          <w:szCs w:val="28"/>
        </w:rPr>
      </w:pPr>
      <w:r w:rsidRPr="00CC74EE">
        <w:rPr>
          <w:rFonts w:ascii="Arial" w:hAnsi="Arial" w:cs="Arial"/>
          <w:sz w:val="28"/>
          <w:szCs w:val="28"/>
        </w:rPr>
        <w:tab/>
      </w:r>
      <w:r w:rsidRPr="00CC74EE">
        <w:rPr>
          <w:rFonts w:ascii="Arial" w:hAnsi="Arial" w:cs="Arial"/>
          <w:sz w:val="28"/>
          <w:szCs w:val="28"/>
        </w:rPr>
        <w:tab/>
      </w:r>
      <w:r w:rsidRPr="00CC74EE">
        <w:rPr>
          <w:b/>
          <w:iCs/>
          <w:sz w:val="28"/>
          <w:szCs w:val="28"/>
        </w:rPr>
        <w:t xml:space="preserve">“San Luis Potosí, S.L.P., a veintiocho de agosto de dos mil veinte. </w:t>
      </w:r>
      <w:r w:rsidRPr="00CC74EE">
        <w:rPr>
          <w:iCs/>
          <w:sz w:val="28"/>
          <w:szCs w:val="28"/>
        </w:rPr>
        <w:t xml:space="preserve">Agréguese el escrito del C. </w:t>
      </w:r>
      <w:r w:rsidR="002153B3">
        <w:rPr>
          <w:b/>
          <w:i/>
          <w:iCs/>
          <w:sz w:val="28"/>
          <w:szCs w:val="28"/>
        </w:rPr>
        <w:t>ELIMINADO</w:t>
      </w:r>
      <w:r w:rsidRPr="00CC74EE">
        <w:rPr>
          <w:iCs/>
          <w:sz w:val="28"/>
          <w:szCs w:val="28"/>
        </w:rPr>
        <w:t xml:space="preserve"> recibido el veintiséis de agosto del año en curso. En atención a lo establecido por el artículo 940 del Código de Procedimientos Civiles, en su tercer y sexto párrafos, que dicen: “...Además, en el propio escrito de referencia se deberá señalar las constancias que deban remitirse al Superior para substanciar la alzada, a las cuales podrán adicionarse las que la parte contraria estime necesarias, y las que el juez considere conducentes. Asimismo, el apelante deberá señalar persona y domicilio para oír notificaciones en el lugar de residencia del tribunal... De no formularse los agravios, o no señalarse o exhibirse, en su caso, las referidas constancias por el recurrente, el juez tendrá por no interpuesta la apelación y declarará firme el auto o sentencia impugnados, sin ulterior recurso.” Dígase que en virtud de que en su escrito no señala las constancias a fin de integrar el testimonio de apelación, atentos a lo establecido por el artículo anteriormente citado, se declara inadmisible el recurso de apelación que interpone en contra de la sentencia de fecha cinco de agosto del dos mil veinte, quedando firme la misma para los efectos legales a que haya lugar. Notifíquese.</w:t>
      </w:r>
      <w:r w:rsidRPr="00CC74EE">
        <w:rPr>
          <w:b/>
          <w:iCs/>
          <w:sz w:val="28"/>
          <w:szCs w:val="28"/>
        </w:rPr>
        <w:t>”</w:t>
      </w:r>
    </w:p>
    <w:p w:rsidR="00913F1E" w:rsidRPr="00CC74EE" w:rsidRDefault="00913F1E" w:rsidP="00913F1E">
      <w:pPr>
        <w:spacing w:line="480" w:lineRule="auto"/>
        <w:ind w:right="39"/>
        <w:jc w:val="both"/>
        <w:rPr>
          <w:rFonts w:ascii="Arial" w:hAnsi="Arial" w:cs="Arial"/>
          <w:bCs/>
          <w:sz w:val="28"/>
          <w:szCs w:val="28"/>
        </w:rPr>
      </w:pPr>
      <w:r w:rsidRPr="00CC74EE">
        <w:rPr>
          <w:rFonts w:ascii="Arial" w:hAnsi="Arial" w:cs="Arial"/>
          <w:sz w:val="28"/>
          <w:szCs w:val="28"/>
        </w:rPr>
        <w:tab/>
      </w:r>
      <w:r w:rsidRPr="00CC74EE">
        <w:rPr>
          <w:rFonts w:ascii="Arial" w:hAnsi="Arial" w:cs="Arial"/>
          <w:sz w:val="28"/>
          <w:szCs w:val="28"/>
        </w:rPr>
        <w:tab/>
      </w:r>
      <w:r w:rsidRPr="00CC74EE">
        <w:rPr>
          <w:rFonts w:ascii="Arial" w:hAnsi="Arial" w:cs="Arial"/>
          <w:b/>
          <w:sz w:val="28"/>
          <w:szCs w:val="28"/>
        </w:rPr>
        <w:t>CUARTO:</w:t>
      </w:r>
      <w:r w:rsidRPr="00CC74EE">
        <w:rPr>
          <w:rFonts w:ascii="Arial" w:hAnsi="Arial" w:cs="Arial"/>
          <w:bCs/>
          <w:sz w:val="28"/>
          <w:szCs w:val="28"/>
        </w:rPr>
        <w:t xml:space="preserve"> Contra esa determinación </w:t>
      </w:r>
      <w:r w:rsidR="002153B3">
        <w:rPr>
          <w:rFonts w:ascii="Arial" w:hAnsi="Arial" w:cs="Arial"/>
          <w:b/>
          <w:i/>
          <w:sz w:val="28"/>
          <w:szCs w:val="28"/>
        </w:rPr>
        <w:t xml:space="preserve">ELIMINADO </w:t>
      </w:r>
      <w:r w:rsidRPr="00CC74EE">
        <w:rPr>
          <w:rFonts w:ascii="Arial" w:hAnsi="Arial" w:cs="Arial"/>
          <w:bCs/>
          <w:sz w:val="28"/>
          <w:szCs w:val="28"/>
        </w:rPr>
        <w:t>expresó como agravios lo siguiente:</w:t>
      </w:r>
    </w:p>
    <w:p w:rsidR="00913F1E" w:rsidRPr="00CC74EE" w:rsidRDefault="00913F1E" w:rsidP="00913F1E">
      <w:pPr>
        <w:spacing w:line="480" w:lineRule="auto"/>
        <w:ind w:right="39"/>
        <w:jc w:val="both"/>
        <w:rPr>
          <w:bCs/>
          <w:sz w:val="28"/>
          <w:szCs w:val="28"/>
        </w:rPr>
      </w:pPr>
      <w:r w:rsidRPr="00CC74EE">
        <w:rPr>
          <w:rFonts w:ascii="Arial" w:hAnsi="Arial" w:cs="Arial"/>
          <w:bCs/>
          <w:sz w:val="28"/>
          <w:szCs w:val="28"/>
        </w:rPr>
        <w:tab/>
      </w:r>
      <w:r w:rsidRPr="00CC74EE">
        <w:rPr>
          <w:rFonts w:ascii="Arial" w:hAnsi="Arial" w:cs="Arial"/>
          <w:bCs/>
          <w:sz w:val="28"/>
          <w:szCs w:val="28"/>
        </w:rPr>
        <w:tab/>
      </w:r>
      <w:r w:rsidR="00BD48F0" w:rsidRPr="00CC74EE">
        <w:rPr>
          <w:rFonts w:ascii="Arial" w:hAnsi="Arial" w:cs="Arial"/>
          <w:b/>
          <w:bCs/>
          <w:sz w:val="28"/>
          <w:szCs w:val="28"/>
        </w:rPr>
        <w:t>“</w:t>
      </w:r>
      <w:r w:rsidR="00BD48F0" w:rsidRPr="00CC74EE">
        <w:rPr>
          <w:b/>
          <w:bCs/>
          <w:sz w:val="28"/>
          <w:szCs w:val="28"/>
        </w:rPr>
        <w:t>Para</w:t>
      </w:r>
      <w:r w:rsidRPr="00CC74EE">
        <w:rPr>
          <w:b/>
          <w:bCs/>
          <w:sz w:val="28"/>
          <w:szCs w:val="28"/>
        </w:rPr>
        <w:t xml:space="preserve"> facilitar el estudio, divido en dos partes mi exposición. PRIMERA PARTE. </w:t>
      </w:r>
      <w:r w:rsidRPr="00CC74EE">
        <w:rPr>
          <w:bCs/>
          <w:sz w:val="28"/>
          <w:szCs w:val="28"/>
        </w:rPr>
        <w:t xml:space="preserve">Del primer párrafo del artículo 16 de </w:t>
      </w:r>
      <w:r w:rsidRPr="00CC74EE">
        <w:rPr>
          <w:bCs/>
          <w:sz w:val="28"/>
          <w:szCs w:val="28"/>
        </w:rPr>
        <w:lastRenderedPageBreak/>
        <w:t xml:space="preserve">la Constitución General de la República se desprende que toda autoridad debe fundar y motivar la causa legal de sus actos, además de resolver lo puesto a su consideración de manera pronta, completa e imparcial. La fundamentación es la expresión del precepto legal aplicable, en tanto que la motivación consiste en la expresión de las circunstancias de hecho que actualizan la hipótesis normativa que se invoca como fundamento. Estos conceptos de fundamentación y motivación han sido materia de diversos pronunciamientos jurisprudenciales: Época: Décima Época, Registro: 2005777, Instancia: Tribunales Colegiados de Circuito, Tipo de Tesis: Aislada, Fuente: Gaceta del Semanario Judicial de la Federación, Libro 3, </w:t>
      </w:r>
      <w:proofErr w:type="gramStart"/>
      <w:r w:rsidRPr="00CC74EE">
        <w:rPr>
          <w:bCs/>
          <w:sz w:val="28"/>
          <w:szCs w:val="28"/>
        </w:rPr>
        <w:t>Febrero</w:t>
      </w:r>
      <w:proofErr w:type="gramEnd"/>
      <w:r w:rsidRPr="00CC74EE">
        <w:rPr>
          <w:bCs/>
          <w:sz w:val="28"/>
          <w:szCs w:val="28"/>
        </w:rPr>
        <w:t xml:space="preserve"> de 2014, Tomo III, Materia(s): Constitucional, Tesis: IV.2o.A.50 K (10a.), Página: 2241, </w:t>
      </w:r>
      <w:r w:rsidRPr="00CC74EE">
        <w:rPr>
          <w:b/>
          <w:bCs/>
          <w:sz w:val="28"/>
          <w:szCs w:val="28"/>
        </w:rPr>
        <w:t>“SEGURIDAD JURÍDICA. ALCANCE DE LAS GARANTÍAS INSTRUMENTALES DE MANDAMIENTO ESCRITO, AUTORIDAD COMPETENTE Y FUNDAMENTACIÓN Y MOTIVACIÓN, PREVISTAS EN EL ARTÍCULO 16, PRIMER PÁRRAFO, DE LA CONSTITUCIÓN FEDERAL, PARA ASEGURAR EL RESPETO A DICHO DERECHO HUMANO</w:t>
      </w:r>
      <w:r w:rsidRPr="00CC74EE">
        <w:rPr>
          <w:bCs/>
          <w:sz w:val="28"/>
          <w:szCs w:val="28"/>
        </w:rPr>
        <w:t xml:space="preserve">. De las jurisprudencias la 1ª/J. 74/2005 y 2ª/J. 144/2006, de la Primera y Segunda Salas de la Suprema Corte de Justicia de la Nación, publicadas en el Semanario Judicial de la Federación y su Gaceta, Novena Época, Tomos XXII, agosto de 2005, página 107, de rubro: “PROCEDIMIENTO SEGUIDO EN UNA VÍA INCORRECTA. POR SÍ MISMO CAUSA AGRAVIO AL DEMANDADO Y, POR ENDE, CONTRAVIENE SU GARANTÍA DE SEGURIDAD JURÍDICA”; y XXIV, octubre de 2006, página 351, de rubro: </w:t>
      </w:r>
      <w:r w:rsidRPr="00CC74EE">
        <w:rPr>
          <w:bCs/>
          <w:sz w:val="28"/>
          <w:szCs w:val="28"/>
        </w:rPr>
        <w:lastRenderedPageBreak/>
        <w:t xml:space="preserve">“GARANTÍA DE SEGURIDAD JURÍDICA. SUS ALCANCES”, respectivamente, se advierte una definición clara del contenido del derecho humano a la seguridad jurídica, imbíbito en el artículo 16, primer párrafo, de la Constitución Política de los Estados Unidos Mexicanos, el cual consiste en que la persona tenga certeza sobre su situación ante las leyes, o la de su familia, posesiones o sus demás derechos, en cuya vía de respeto la autoridad debe sujetar sus actuaciones de molestia a determinados supuestos, requisitos y procedimientos previamente establecidos en la Constitución y en las leyes, como expresión de una voluntad general soberana, para asegurar que ante una intervención de la autoridad en su esfera de derechos, sepa a qué atenerse. En este contexto, de conformidad con el precepto citado, el primer requisito que deben cumplir los actos de molestia es el de constar por escrito, que tiene como propósito que el ciudadano pueda constatar el cumplimiento de los restantes, esto es, que provienen de autoridad competente y que se encuentre debidamente fundado y motivado. A su vez, el elemento relativo a que el acto provenga de autoridad competente, es reflejo de la adopción en el orden nacional de otra garantía primigenia del derecho a la seguridad, denominada principio de legalidad, conforme al cual, las autoridades sólo pueden hacer aquello para lo cual expresamente les facultan las leyes, en el entendido de que la ley es la manifestación de la voluntad general soberana y, finalmente, en cuanto a fundar y motivar, la referida Segunda Sala del Alto Tribunal definió, desde la Séptima Época, según consta en su tesis 260, publicada en el Apéndice al Semanario Judicial de la Federación 1917-1995, Tomo VI, Materia Común, Primera </w:t>
      </w:r>
      <w:r w:rsidRPr="00CC74EE">
        <w:rPr>
          <w:bCs/>
          <w:sz w:val="28"/>
          <w:szCs w:val="28"/>
        </w:rPr>
        <w:lastRenderedPageBreak/>
        <w:t xml:space="preserve">Parte, página 175, de rubro: “FUNDAMENTACIÓN Y MOTIVACIÓN”, que por lo primero se entiende que ha de expresarse con exactitud en el acto de molestia el precepto legal aplicable al caso y, por motivar, que también deben señalarse con precisión las circunstancias especiales, razones particulares o causas inmediatas que se hayan tenido en consideración para su emisión, siendo necesario, además, que exista adecuación entre los motivos aducidos y las normas aplicables, lo cual tiene como propósito primordial, confirmar que al conocer el destinatario del acto el marco normativo en que el acto de molestia surge y las razones de hecho consideradas para emitirlo, pueda ejercer una defensa adecuada ante el mismo. Ahora bien, ante esa configuración del primer párrafo del artículo 16 constitucional, no cabe asumir una postura dogmatizante, en la que se entienda que por el solo hecho de establecerse dichas condiciones, automáticamente todas las autoridades emiten actos de molestia debidamente fundados y motivados, pues la práctica confirma que los referidos requisitos son con frecuencia inobservados, lo que sin embargo no demerita el hecho de que la Constitución establezca esa serie de condiciones para los actos de molestia, sino por el contrario, conduce a reconocer un panorama de mayor alcance y eficacia de la disposición en análisis, pues en la medida en que las garantías instrumentales de mandamiento escrito, autoridad competente y fundamentación y motivación mencionadas, se encuentran contenidas en un texto con fuerza vinculante respecto del resto del ordenamiento jurídico, se hace posible que los gobernados tengan legitimación para aducir la infracción al derecho a la seguridad jurídica para asegurar su respeto, únicamente con </w:t>
      </w:r>
      <w:r w:rsidRPr="00CC74EE">
        <w:rPr>
          <w:bCs/>
          <w:sz w:val="28"/>
          <w:szCs w:val="28"/>
        </w:rPr>
        <w:lastRenderedPageBreak/>
        <w:t>invocar su inobservancia; igualmente se da cabida al principio de interdicción de la arbitrariedad y, por último, se justifica la existencia de la jurisdicción de control, como entidad imparcial a la que corresponde dirimir cuándo los referidos requisitos han sido incumplidos, y sancionar esa actuación arbitraria mediante su anulación en los procedimientos de mera legalidad y, por lo que atañe al juicio de amparo, a través de la restauración del derecho a la seguridad jurídica vulnerado. SEGUNDO TRIBUNAL COLEGIADO EN MATERIA ADMINISTRATIVA DEL CUARTO CIRCUITO. Queja 147/2013. Andrés Caro de la Fuente. 22 de noviembre de 2013. Mayoría de votos. Disidente: Hugo Alejandro Bermúdez Manrique. Ponente: José Carlos Rodríguez Navarro. Secretario: Eucario Adame Pérez. Época: Séptima Época, Registro: 394216, Instancia: Segunda Sala, Tipo de Tesis: Jurisprudencia, Fuente: Apéndice de 1995, Tomo VI, Parte SCJN, Materia(s): Común, Tesis: 260, Página: 175, “</w:t>
      </w:r>
      <w:r w:rsidRPr="00CC74EE">
        <w:rPr>
          <w:b/>
          <w:bCs/>
          <w:sz w:val="28"/>
          <w:szCs w:val="28"/>
        </w:rPr>
        <w:t xml:space="preserve">FUNDAMENTACION Y MOTIVACION. </w:t>
      </w:r>
      <w:r w:rsidRPr="00CC74EE">
        <w:rPr>
          <w:bCs/>
          <w:sz w:val="28"/>
          <w:szCs w:val="28"/>
        </w:rPr>
        <w:t xml:space="preserve">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Séptima Época: Amparo en revisión 8280/67. Augusto Vallejo Olivo. 24 de junio de 1968. Cinco votos. Amparo en revisión </w:t>
      </w:r>
      <w:r w:rsidRPr="00CC74EE">
        <w:rPr>
          <w:bCs/>
          <w:sz w:val="28"/>
          <w:szCs w:val="28"/>
        </w:rPr>
        <w:lastRenderedPageBreak/>
        <w:t xml:space="preserve">3713/69. Elías </w:t>
      </w:r>
      <w:proofErr w:type="spellStart"/>
      <w:r w:rsidRPr="00CC74EE">
        <w:rPr>
          <w:bCs/>
          <w:sz w:val="28"/>
          <w:szCs w:val="28"/>
        </w:rPr>
        <w:t>Chahín</w:t>
      </w:r>
      <w:proofErr w:type="spellEnd"/>
      <w:r w:rsidRPr="00CC74EE">
        <w:rPr>
          <w:bCs/>
          <w:sz w:val="28"/>
          <w:szCs w:val="28"/>
        </w:rPr>
        <w:t xml:space="preserve">. 20 de febrero de 1970. Cinco votos. Amparo en revisión 4115/68. Emeterio Rodríguez Romero y </w:t>
      </w:r>
      <w:proofErr w:type="spellStart"/>
      <w:r w:rsidRPr="00CC74EE">
        <w:rPr>
          <w:bCs/>
          <w:sz w:val="28"/>
          <w:szCs w:val="28"/>
        </w:rPr>
        <w:t>coags</w:t>
      </w:r>
      <w:proofErr w:type="spellEnd"/>
      <w:r w:rsidRPr="00CC74EE">
        <w:rPr>
          <w:bCs/>
          <w:sz w:val="28"/>
          <w:szCs w:val="28"/>
        </w:rPr>
        <w:t xml:space="preserve">. 26 de abril de 1971. Cinco votos. Amparo en revisión 2478/75. María del Socorro Castrejón C. y 7 otros. 31 de marzo de 1977. Unanimidad de cuatro votos. Amparo en revisión 5724/76. Ramiro </w:t>
      </w:r>
      <w:proofErr w:type="spellStart"/>
      <w:r w:rsidRPr="00CC74EE">
        <w:rPr>
          <w:bCs/>
          <w:sz w:val="28"/>
          <w:szCs w:val="28"/>
        </w:rPr>
        <w:t>Tarango</w:t>
      </w:r>
      <w:proofErr w:type="spellEnd"/>
      <w:r w:rsidRPr="00CC74EE">
        <w:rPr>
          <w:bCs/>
          <w:sz w:val="28"/>
          <w:szCs w:val="28"/>
        </w:rPr>
        <w:t xml:space="preserve"> R. y otros. 28 de abril de 1977. Cinco votos. Época: Novena Época Registro: 173565 Instancia: Tribunales Colegiados de Circuito Tipo de Tesis: Jurisprudencia Fuente: Semanario Judicial de la Federación y su Gaceta Tomo XXV, </w:t>
      </w:r>
      <w:proofErr w:type="gramStart"/>
      <w:r w:rsidRPr="00CC74EE">
        <w:rPr>
          <w:bCs/>
          <w:sz w:val="28"/>
          <w:szCs w:val="28"/>
        </w:rPr>
        <w:t>Enero</w:t>
      </w:r>
      <w:proofErr w:type="gramEnd"/>
      <w:r w:rsidRPr="00CC74EE">
        <w:rPr>
          <w:bCs/>
          <w:sz w:val="28"/>
          <w:szCs w:val="28"/>
        </w:rPr>
        <w:t xml:space="preserve"> de 2007, Materia(s): Común, Tesis: I.6o.C. J/52 Página: 2127 </w:t>
      </w:r>
      <w:r w:rsidRPr="00CC74EE">
        <w:rPr>
          <w:b/>
          <w:bCs/>
          <w:sz w:val="28"/>
          <w:szCs w:val="28"/>
        </w:rPr>
        <w:t xml:space="preserve">“FUNDAMENTACIÓN Y MOTIVACIÓN. SU DISTINCIÓN ENTRE SU FALTA Y CUANDO ES INDEBIDA. </w:t>
      </w:r>
      <w:r w:rsidRPr="00CC74EE">
        <w:rPr>
          <w:bCs/>
          <w:sz w:val="28"/>
          <w:szCs w:val="28"/>
        </w:rPr>
        <w:t xml:space="preserve">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Amparo directo 6706/2005. </w:t>
      </w:r>
      <w:proofErr w:type="spellStart"/>
      <w:r w:rsidRPr="00CC74EE">
        <w:rPr>
          <w:bCs/>
          <w:sz w:val="28"/>
          <w:szCs w:val="28"/>
        </w:rPr>
        <w:t>Provivienda</w:t>
      </w:r>
      <w:proofErr w:type="spellEnd"/>
      <w:r w:rsidRPr="00CC74EE">
        <w:rPr>
          <w:bCs/>
          <w:sz w:val="28"/>
          <w:szCs w:val="28"/>
        </w:rPr>
        <w:t xml:space="preserve"> 2000, A.C. 13 de octubre de 2005. Unanimidad de votos. Ponente: Gustavo R. </w:t>
      </w:r>
      <w:proofErr w:type="spellStart"/>
      <w:r w:rsidRPr="00CC74EE">
        <w:rPr>
          <w:bCs/>
          <w:sz w:val="28"/>
          <w:szCs w:val="28"/>
        </w:rPr>
        <w:t>Parrao</w:t>
      </w:r>
      <w:proofErr w:type="spellEnd"/>
      <w:r w:rsidRPr="00CC74EE">
        <w:rPr>
          <w:bCs/>
          <w:sz w:val="28"/>
          <w:szCs w:val="28"/>
        </w:rPr>
        <w:t xml:space="preserve"> Rodríguez. Secretario: Abraham Mejía Arroyo. Amparo directo 317/2006. Juan Martínez Romero y otros. 9 de agosto de 2006. Unanimidad de votos. Ponente: Gustavo R. </w:t>
      </w:r>
      <w:proofErr w:type="spellStart"/>
      <w:r w:rsidRPr="00CC74EE">
        <w:rPr>
          <w:bCs/>
          <w:sz w:val="28"/>
          <w:szCs w:val="28"/>
        </w:rPr>
        <w:t>Parrao</w:t>
      </w:r>
      <w:proofErr w:type="spellEnd"/>
      <w:r w:rsidRPr="00CC74EE">
        <w:rPr>
          <w:bCs/>
          <w:sz w:val="28"/>
          <w:szCs w:val="28"/>
        </w:rPr>
        <w:t xml:space="preserve"> Rodríguez. </w:t>
      </w:r>
      <w:r w:rsidRPr="00CC74EE">
        <w:rPr>
          <w:bCs/>
          <w:sz w:val="28"/>
          <w:szCs w:val="28"/>
        </w:rPr>
        <w:lastRenderedPageBreak/>
        <w:t xml:space="preserve">Secretario: Sergio I. Cruz Carmona. Amparo directo 430/2006. Lonas Parasol, S.A. de C.V. 30 de agosto de 2006. Unanimidad de votos. Ponente: Gustavo R. </w:t>
      </w:r>
      <w:proofErr w:type="spellStart"/>
      <w:r w:rsidRPr="00CC74EE">
        <w:rPr>
          <w:bCs/>
          <w:sz w:val="28"/>
          <w:szCs w:val="28"/>
        </w:rPr>
        <w:t>Parrao</w:t>
      </w:r>
      <w:proofErr w:type="spellEnd"/>
      <w:r w:rsidRPr="00CC74EE">
        <w:rPr>
          <w:bCs/>
          <w:sz w:val="28"/>
          <w:szCs w:val="28"/>
        </w:rPr>
        <w:t xml:space="preserve"> Rodríguez. Secretario: Sergio I. Cruz Carmona. Amparo directo 449/2006. Mónica Francisca Ibarra García. 13 de octubre de 2006. Unanimidad de votos. Ponente: Gustavo R. </w:t>
      </w:r>
      <w:proofErr w:type="spellStart"/>
      <w:r w:rsidRPr="00CC74EE">
        <w:rPr>
          <w:bCs/>
          <w:sz w:val="28"/>
          <w:szCs w:val="28"/>
        </w:rPr>
        <w:t>Parrao</w:t>
      </w:r>
      <w:proofErr w:type="spellEnd"/>
      <w:r w:rsidRPr="00CC74EE">
        <w:rPr>
          <w:bCs/>
          <w:sz w:val="28"/>
          <w:szCs w:val="28"/>
        </w:rPr>
        <w:t xml:space="preserve"> Rodríguez. Secretario: Sergio I. Cruz Carmona. Amparo directo 530/2006. Ricardo Zaragoza </w:t>
      </w:r>
      <w:proofErr w:type="spellStart"/>
      <w:r w:rsidRPr="00CC74EE">
        <w:rPr>
          <w:bCs/>
          <w:sz w:val="28"/>
          <w:szCs w:val="28"/>
        </w:rPr>
        <w:t>Deciga</w:t>
      </w:r>
      <w:proofErr w:type="spellEnd"/>
      <w:r w:rsidRPr="00CC74EE">
        <w:rPr>
          <w:bCs/>
          <w:sz w:val="28"/>
          <w:szCs w:val="28"/>
        </w:rPr>
        <w:t xml:space="preserve"> y otra. 19 de octubre de 2006. Unanimidad de votos. Ponente: Alfonso </w:t>
      </w:r>
      <w:proofErr w:type="spellStart"/>
      <w:r w:rsidRPr="00CC74EE">
        <w:rPr>
          <w:bCs/>
          <w:sz w:val="28"/>
          <w:szCs w:val="28"/>
        </w:rPr>
        <w:t>Avianeda</w:t>
      </w:r>
      <w:proofErr w:type="spellEnd"/>
      <w:r w:rsidRPr="00CC74EE">
        <w:rPr>
          <w:bCs/>
          <w:sz w:val="28"/>
          <w:szCs w:val="28"/>
        </w:rPr>
        <w:t xml:space="preserve"> Chávez, secretario de tribunal autorizado por el Pleno del Consejo de la Judicatura Federal para desempeñar las funciones de Magistrado. Secretario: Sergio I. Cruz Carmona. Época: Octava Época Registro: 227627 Instancia: Tribunales Colegiados de Circuito Tipo de Tesis: Jurisprudencia Fuente: Semanario Judicial de la Federación Tomo IV, Segunda Parte-2, Julio-</w:t>
      </w:r>
      <w:proofErr w:type="gramStart"/>
      <w:r w:rsidRPr="00CC74EE">
        <w:rPr>
          <w:bCs/>
          <w:sz w:val="28"/>
          <w:szCs w:val="28"/>
        </w:rPr>
        <w:t>Diciembre</w:t>
      </w:r>
      <w:proofErr w:type="gramEnd"/>
      <w:r w:rsidRPr="00CC74EE">
        <w:rPr>
          <w:bCs/>
          <w:sz w:val="28"/>
          <w:szCs w:val="28"/>
        </w:rPr>
        <w:t xml:space="preserve"> de 1989 Materia(s): Común Tesis: VI. 2o. J/31 Pagina: 622 </w:t>
      </w:r>
      <w:r w:rsidRPr="00CC74EE">
        <w:rPr>
          <w:b/>
          <w:bCs/>
          <w:sz w:val="28"/>
          <w:szCs w:val="28"/>
        </w:rPr>
        <w:t>“FUNDAMENTACION Y MOTIVACION</w:t>
      </w:r>
      <w:r w:rsidRPr="00CC74EE">
        <w:rPr>
          <w:bCs/>
          <w:sz w:val="28"/>
          <w:szCs w:val="28"/>
        </w:rPr>
        <w:t xml:space="preserve">. Por fundar se entiende que ha de expresarse con precisión el precepto legal aplicable al caso, y por motivar que deberán señalarse, claramente las circunstancias especiales, razones o causas inmediatas que se hayan tenido en cuenta para la emisión del acto, siendo necesario, además, que exista adecuación entre los motivos aducidos y las normas aplicables, es decir, que en el caso concreto se configuren las hipótesis normativas.” Amparo directo 194/88. Bufete Industrial Construcciones, S. A. de C. V. 28 de junio de 1988. Unanimidad de votos. Ponente: Gustavo Calvillo Rangel. Secretario: Jorge Alberto González </w:t>
      </w:r>
      <w:proofErr w:type="spellStart"/>
      <w:r w:rsidRPr="00CC74EE">
        <w:rPr>
          <w:bCs/>
          <w:sz w:val="28"/>
          <w:szCs w:val="28"/>
        </w:rPr>
        <w:t>Alvarez</w:t>
      </w:r>
      <w:proofErr w:type="spellEnd"/>
      <w:r w:rsidRPr="00CC74EE">
        <w:rPr>
          <w:bCs/>
          <w:sz w:val="28"/>
          <w:szCs w:val="28"/>
        </w:rPr>
        <w:t xml:space="preserve">. Revisión fiscal 103/88. Instituto Mexicano del Seguro Social. 18 de octubre de 1988. Unanimidad de </w:t>
      </w:r>
      <w:r w:rsidRPr="00CC74EE">
        <w:rPr>
          <w:bCs/>
          <w:sz w:val="28"/>
          <w:szCs w:val="28"/>
        </w:rPr>
        <w:lastRenderedPageBreak/>
        <w:t xml:space="preserve">votos. Ponente: Amoldo Nájera Virgen. Secretario: Alejandro </w:t>
      </w:r>
      <w:proofErr w:type="spellStart"/>
      <w:r w:rsidRPr="00CC74EE">
        <w:rPr>
          <w:bCs/>
          <w:sz w:val="28"/>
          <w:szCs w:val="28"/>
        </w:rPr>
        <w:t>Esponda</w:t>
      </w:r>
      <w:proofErr w:type="spellEnd"/>
      <w:r w:rsidRPr="00CC74EE">
        <w:rPr>
          <w:bCs/>
          <w:sz w:val="28"/>
          <w:szCs w:val="28"/>
        </w:rPr>
        <w:t xml:space="preserve"> Rincón. Amparo en revisión 333/88. </w:t>
      </w:r>
      <w:proofErr w:type="spellStart"/>
      <w:r w:rsidRPr="00CC74EE">
        <w:rPr>
          <w:bCs/>
          <w:sz w:val="28"/>
          <w:szCs w:val="28"/>
        </w:rPr>
        <w:t>Adilia</w:t>
      </w:r>
      <w:proofErr w:type="spellEnd"/>
      <w:r w:rsidRPr="00CC74EE">
        <w:rPr>
          <w:bCs/>
          <w:sz w:val="28"/>
          <w:szCs w:val="28"/>
        </w:rPr>
        <w:t xml:space="preserve"> Romero. 26 de octubre de 1988. Unanimidad de votos. Ponente: Arnoldo Nájera Virgen. Secretario: Enrique Crispín Campos Ramírez. Amparo en revisión 401/88. Enrique Sánchez Pérez. 28 de noviembre de 1988. Unanimidad de votos. Ponente: José Galván Rojas. Secretario: Vicente Martínez Sánchez. Amparo en revisión 286/89. Antonio Meza García. 10 de octubre de 1989. Unanimidad de votos. Ponente: Gustavo Calvillo Rangel. Secretario: José Mario Machorro Castillo. Nota: La presente tesis no fue reiterada como vigente para los efectos de la publicación del Apéndice 1917-1995, según los acuerdos a que llegó la Comisión encargada de su integración, quedando a salvo las atribuciones de los órganos judiciales federales para aplicarla, reiterarla, interrumpirla o modificarla en los términos que establecen las disposiciones constitucionales y legales. Época: Octava Época Registro: 226998 Instancia: Tribunales Colegiados de Circuito Tipo de Tesis: Aislada Fuente: Semanario Judicial de la Federación Tomo IV, Segunda Parte-1, Julio-</w:t>
      </w:r>
      <w:proofErr w:type="gramStart"/>
      <w:r w:rsidRPr="00CC74EE">
        <w:rPr>
          <w:bCs/>
          <w:sz w:val="28"/>
          <w:szCs w:val="28"/>
        </w:rPr>
        <w:t>Diciembre</w:t>
      </w:r>
      <w:proofErr w:type="gramEnd"/>
      <w:r w:rsidRPr="00CC74EE">
        <w:rPr>
          <w:bCs/>
          <w:sz w:val="28"/>
          <w:szCs w:val="28"/>
        </w:rPr>
        <w:t xml:space="preserve"> de 1989 Materia(s): Común Tesis: Página: 261 “</w:t>
      </w:r>
      <w:r w:rsidRPr="00CC74EE">
        <w:rPr>
          <w:b/>
          <w:bCs/>
          <w:sz w:val="28"/>
          <w:szCs w:val="28"/>
        </w:rPr>
        <w:t xml:space="preserve">FUNDAMENTACION Y MOTIVACION. </w:t>
      </w:r>
      <w:r w:rsidRPr="00CC74EE">
        <w:rPr>
          <w:bCs/>
          <w:sz w:val="28"/>
          <w:szCs w:val="28"/>
        </w:rPr>
        <w:t>Se entiende por fundamentación de los actos de autoridad, la expresión, con precisión, del precepto o preceptos legales aplicables al caso; y por motivación, al señalamiento, también con precisión, de las circunstancias especiales, razones particulares o causas inmediatas que se hayan tenido en consideración para la emisión del acto.</w:t>
      </w:r>
      <w:r w:rsidRPr="00CC74EE">
        <w:rPr>
          <w:b/>
          <w:bCs/>
          <w:sz w:val="28"/>
          <w:szCs w:val="28"/>
        </w:rPr>
        <w:t>”</w:t>
      </w:r>
      <w:r w:rsidRPr="00CC74EE">
        <w:rPr>
          <w:bCs/>
          <w:sz w:val="28"/>
          <w:szCs w:val="28"/>
        </w:rPr>
        <w:t xml:space="preserve"> Amparo directo 504/89. Ángel Vilchis Castillo y otros. 6 de octubre de 1989. Mayoría de votos de los magistrados José Luis Caballero Cárdenas y Enrique Pérez González. </w:t>
      </w:r>
      <w:r w:rsidRPr="00CC74EE">
        <w:rPr>
          <w:bCs/>
          <w:sz w:val="28"/>
          <w:szCs w:val="28"/>
        </w:rPr>
        <w:lastRenderedPageBreak/>
        <w:t xml:space="preserve">Ponente: Enrique Pérez González. Secretaria: Ma. Elena Solórzano </w:t>
      </w:r>
      <w:proofErr w:type="spellStart"/>
      <w:r w:rsidRPr="00CC74EE">
        <w:rPr>
          <w:bCs/>
          <w:sz w:val="28"/>
          <w:szCs w:val="28"/>
        </w:rPr>
        <w:t>Avila</w:t>
      </w:r>
      <w:proofErr w:type="spellEnd"/>
      <w:r w:rsidRPr="00CC74EE">
        <w:rPr>
          <w:bCs/>
          <w:sz w:val="28"/>
          <w:szCs w:val="28"/>
        </w:rPr>
        <w:t xml:space="preserve">. Amparo directo 641188. Gonzalo Meyer León. 31 de marzo de 1989. Unanimidad de votos. Ponente: Enrique Pérez González. Secretaria: María Elena Solórzano </w:t>
      </w:r>
      <w:proofErr w:type="spellStart"/>
      <w:r w:rsidRPr="00CC74EE">
        <w:rPr>
          <w:bCs/>
          <w:sz w:val="28"/>
          <w:szCs w:val="28"/>
        </w:rPr>
        <w:t>Avila</w:t>
      </w:r>
      <w:proofErr w:type="spellEnd"/>
      <w:r w:rsidRPr="00CC74EE">
        <w:rPr>
          <w:bCs/>
          <w:sz w:val="28"/>
          <w:szCs w:val="28"/>
        </w:rPr>
        <w:t xml:space="preserve">. Octava Época, Tomo III, Segunda Parte-1, página 294. Reitera el criterio sustentado en la jurisprudencia número 373/85. Tercera Parte. Como puede verse, existe todo un marco normativo imperioso de atender que ha sido desoído al momento de dictar el acto que se impugna, toda vez que, al igual que el numeral 16 constitucional que se ha citado, el artículo 78 fracción II del Código de Procedimientos Civiles del Estado establece que los autos deben contener el fundamento en el que se apoyen. Sin embargo, no basta, para cumplir con la debida fundamentación, que se cite o incluso transcriba un precepto legal, sino que el mismo debe ser pertinente y aplicable al caso concreto, pues solo así se surte el mandato constitucional de sujeción al Principio de Legalidad. En el caso que nos ocupa, la Juez Segundo del Ramo hace la cita de dos párrafos del artículo 940 del Código de Procedimientos Civiles del Estado de manera errónea y descontextualizada, dando una lectura equívoca al precepto en cuestión. Veamos a que me refiero: a) El artículo 945 del Código de Procedimientos Civiles del Estado determina en su primer párrafo: “Las sentencias definitivas pronunciadas en negocios cuya suerte principal exceda de diez mil pesos, y en aquéllos en que el interés no sea susceptible de valorarse en dinero, serán apelables en ambos efectos, salvo los casos expresamente exceptuados». En el caso que nos ocupa, la sentencia impugnada mediante apelación concluye un juicio en su primera instancia y supera la cuantía a que se refiere el </w:t>
      </w:r>
      <w:r w:rsidRPr="00CC74EE">
        <w:rPr>
          <w:bCs/>
          <w:sz w:val="28"/>
          <w:szCs w:val="28"/>
        </w:rPr>
        <w:lastRenderedPageBreak/>
        <w:t xml:space="preserve">artículo transcrito, por lo que resulta apelable en ambos efectos, es decir, devolutivo y suspensivo. En este sentido también hay que destacar que no se ordena lanzamiento alguno, por lo que no resulta aplicable lo dispuesto por el artículo 455 del Código de Procedimientos Civiles del Estado en cuanto al efecto de la apelación, debiendo estarse a la regla general ya enunciada. </w:t>
      </w:r>
      <w:r w:rsidRPr="00CC74EE">
        <w:rPr>
          <w:b/>
          <w:bCs/>
          <w:sz w:val="28"/>
          <w:szCs w:val="28"/>
        </w:rPr>
        <w:t>b)</w:t>
      </w:r>
      <w:r w:rsidRPr="00CC74EE">
        <w:rPr>
          <w:bCs/>
          <w:sz w:val="28"/>
          <w:szCs w:val="28"/>
        </w:rPr>
        <w:t xml:space="preserve"> En el tercer párrafo del artículo 942 del Código procesal a que nos estamos refiriendo señala que, transcurrido dicho término (al que se refieren los párrafos primero y segundo de este mismo precepto), desahogada o no la vista, el juez ordenará la revisión (sic). Es evidente que la palabra correcta es “remisión”, dado el sentido de la redacción integral del artículo) de los autos o del testimonio de apelación correspondientes a la superioridad dentro de tres días, remitiendo siempre el original del escrito de expresión de agravios y, en su caso, de contestación a los mismos. Lo anterior significa que se pueden presentar dos supuestos, que se remitan los autos o que se remita un testimonio de constancias. Para dilucidar cuál es la acción para tomar, debemos traer a la vista el diverso numeral 936 del Código de Procedimientos Civiles del Estado que la apelación tiene por objeto esencial que el tribunal de segunda instancia confirme, revoque o modifique la sentencia o el auto dictado en primera instancia, en los puntos relativos a los agravios expresados. Si se trata de pronunciarse sobre una sentencia que pone fin a juicio por un juez de primera instancia, es evidente que debe hacerlo a la luz del expediente completo pues, de otra forma, resultaría imposible cumplir con su función, en virtud de que el Juez ante quien se interpone el recurso citado debe remitir al tribunal de alzada todas las actuaciones </w:t>
      </w:r>
      <w:r w:rsidRPr="00CC74EE">
        <w:rPr>
          <w:bCs/>
          <w:sz w:val="28"/>
          <w:szCs w:val="28"/>
        </w:rPr>
        <w:lastRenderedPageBreak/>
        <w:t xml:space="preserve">practicadas, para el efecto de sustanciar el recurso aludido, suspendiéndose por efectos de la apelación, la jurisdicción del Juez del conocimiento y con el fin de que el tribunal ad </w:t>
      </w:r>
      <w:proofErr w:type="spellStart"/>
      <w:r w:rsidRPr="00CC74EE">
        <w:rPr>
          <w:bCs/>
          <w:sz w:val="28"/>
          <w:szCs w:val="28"/>
        </w:rPr>
        <w:t>quem</w:t>
      </w:r>
      <w:proofErr w:type="spellEnd"/>
      <w:r w:rsidRPr="00CC74EE">
        <w:rPr>
          <w:bCs/>
          <w:sz w:val="28"/>
          <w:szCs w:val="28"/>
        </w:rPr>
        <w:t xml:space="preserve"> pueda estar en posibilidad de atender, incluso lo que señala el segundo párrafo del mismo artículo 936 de la ley procesal invocado. Esto significa que, ante una apelación de sentencia definitiva, al margen de que se deba admitir en efecto devolutivo o en ambos efectos, se deben remitir los autos al superior para sustanciar la apelación; sin embargo, debe estimarse que, si se trata de un recurso que procede en ambos efectos, las constancias son innecesarias, dado que, por su propia naturaleza , la jurisdicción del juez de primera instancia queda suspendida en tanto se resuelve la apelación, por lo cual es un trámite inútil el señalamiento de constancias. No sería explicable que el legislador, por una parte, imponga al Juez de primera instancia, en el numeral 942 del Código de Procedimientos Civiles del Estado, la obligación de remitir al tribunal ad </w:t>
      </w:r>
      <w:proofErr w:type="spellStart"/>
      <w:r w:rsidRPr="00CC74EE">
        <w:rPr>
          <w:bCs/>
          <w:sz w:val="28"/>
          <w:szCs w:val="28"/>
        </w:rPr>
        <w:t>quem</w:t>
      </w:r>
      <w:proofErr w:type="spellEnd"/>
      <w:r w:rsidRPr="00CC74EE">
        <w:rPr>
          <w:bCs/>
          <w:sz w:val="28"/>
          <w:szCs w:val="28"/>
        </w:rPr>
        <w:t xml:space="preserve"> los autos o el testimonio de apelación correspondientes a la superioridad dentro de tres días, debiendo remitir también el original del escrito de expresión de agravios y, en su caso, de contestación a los mismos, pues se deduce, lógicamente, que no en todos los casos deben señalarse ni aportarse por el recurrente las constancias que éste considere necesarias para que el superior esté en aptitud de resolver lo que corresponda, como sucede en el supuesto del envío del expediente original; lo que además se corrobora con el contenido de la parte final del artículo 952 del Código Procesal Civil citado, en cuanto a que “Declarada inadmisible la apelación, se devolverán los autos al juez y se declarará firme la sentencia o auto </w:t>
      </w:r>
      <w:r w:rsidRPr="00CC74EE">
        <w:rPr>
          <w:bCs/>
          <w:sz w:val="28"/>
          <w:szCs w:val="28"/>
        </w:rPr>
        <w:lastRenderedPageBreak/>
        <w:t xml:space="preserve">apelados”, debiendo entenderse que el concepto “autos” se emplea para referirse al expediente original y, obviamente, no al “testimonio” de constancias señaladas por el apelante, que no constituye, en rigor, las actuaciones judiciales, sino una prueba de la existencia de éstas, por lo que cuando es precisamente ese testimonio de constancias el que se remite a la Sala no se prevé su devolución al Juez primario. También resulta importante que, por otra parte, en el tercer párrafo del artículo 940 del Código de Procedimientos Civiles del Estado claramente que a las constancias señaladas por el apelante se podrán adicionar las que la parte contraria estime necesarias, y las que el juez considere conducentes, pues entonces, a la luz del contexto del recurso de apelación admisible contra una sentencia y, con mayor razón, cuando procede en ambos efectos, suspensivo y devolutivo, no puede aducirse que se establezca que la aludida remisión también deba hacerse cuando se recurre una sentencia definitiva, lo cual es lógico, porque en estos casos de impugnación del fallo que concluye esa primera instancia el tribunal de apelación deberá contar con dicho expediente, entre otros motivos, porque tiene a su cargo la revisión de esos autos para constatar la debida integración de la relación jurídica procesal, en términos de la parte final del artículo 936 del mismo ordenamiento adjetivo en estudio. </w:t>
      </w:r>
      <w:r w:rsidRPr="00CC74EE">
        <w:rPr>
          <w:b/>
          <w:bCs/>
          <w:sz w:val="28"/>
          <w:szCs w:val="28"/>
        </w:rPr>
        <w:t>c)</w:t>
      </w:r>
      <w:r w:rsidRPr="00CC74EE">
        <w:rPr>
          <w:bCs/>
          <w:sz w:val="28"/>
          <w:szCs w:val="28"/>
        </w:rPr>
        <w:t xml:space="preserve"> Por otra parte, la juez a quo trascribe dos párrafos del artículo 940 del Código de Procedimientos Civiles del Estado, pero omite uno, el cuarto párrafo, que a la letra dice: “Si la apelación procediere sólo en efecto devolutivo, las partes deberán señalarías referidas constancias al interponer el recurso”. Es decir, </w:t>
      </w:r>
      <w:proofErr w:type="gramStart"/>
      <w:r w:rsidRPr="00CC74EE">
        <w:rPr>
          <w:bCs/>
          <w:sz w:val="28"/>
          <w:szCs w:val="28"/>
        </w:rPr>
        <w:t>que</w:t>
      </w:r>
      <w:proofErr w:type="gramEnd"/>
      <w:r w:rsidRPr="00CC74EE">
        <w:rPr>
          <w:bCs/>
          <w:sz w:val="28"/>
          <w:szCs w:val="28"/>
        </w:rPr>
        <w:t xml:space="preserve"> si se trata de una apelación en ambos efectos, como es el caso, no es </w:t>
      </w:r>
      <w:r w:rsidRPr="00CC74EE">
        <w:rPr>
          <w:bCs/>
          <w:sz w:val="28"/>
          <w:szCs w:val="28"/>
        </w:rPr>
        <w:lastRenderedPageBreak/>
        <w:t xml:space="preserve">necesario hacer tal señalamiento en el escrito de interposición del Recurso de Apelación, pues de trata de una norma específica que prevalece sobre la general. </w:t>
      </w:r>
      <w:r w:rsidRPr="00CC74EE">
        <w:rPr>
          <w:b/>
          <w:bCs/>
          <w:sz w:val="28"/>
          <w:szCs w:val="28"/>
        </w:rPr>
        <w:t xml:space="preserve">Por todo lo expuesto, es evidente que la lectura descontextualizada e incompleta del Código de Procedimientos Civiles del Estado lleva a la Juez Segundo del Ramo Civil a la emisión de un auto a todas luces carente del debido fundamento y de la adecuada motivación, violando lo dispuesto por los artículos 16 Constitucional y 78 fracción II del Código de Procedimientos Civiles del Estado. </w:t>
      </w:r>
      <w:r w:rsidRPr="00CC74EE">
        <w:rPr>
          <w:bCs/>
          <w:sz w:val="28"/>
          <w:szCs w:val="28"/>
        </w:rPr>
        <w:t xml:space="preserve">Ahora bien, por otro lado, la Juez Segundo del Ramo Civil contraviene el artículo 1 en relación con los diversos 14 y 17 de la Constitución Política de los Estados Unidos Mexicanos. El artículo 1 en cita señala que todas las autoridades, en el ámbito de sus competencias, tienen la obligación de promover, respetar, proteger y garantizar los derechos humanos de conformidad con los principios de universalidad, interdependencia, indivisibilidad y progresividad. Por su parte, el diverso artículo 14 Constitucional reconoce la garantía de audiencia como un requisito esencial que debe cumplirse de manera previa a privar a alguien de sus derechos, en tanto que el diverso numeral 17 de la misma Constitución determina que toda persona tiene derecho a que se le administre justicia por tribunales que deberán hacerlo en los plazos y términos que fijen las leyes, privilegiando la solución del conflicto sobre los formalismos procedimentales, siempre que no se afecte la igualdad entre las partes, el debido proceso u otros derechos en los juicios o procedimientos seguidos en forma de juicio. Por su parte, resulta de interés el siguiente criterio jurisprudencial: Época: Décima Época </w:t>
      </w:r>
      <w:r w:rsidRPr="00CC74EE">
        <w:rPr>
          <w:bCs/>
          <w:sz w:val="28"/>
          <w:szCs w:val="28"/>
        </w:rPr>
        <w:lastRenderedPageBreak/>
        <w:t xml:space="preserve">Registro: 2005056 Instancia: Tribunales Colegiados de Circuito Tipo de Tesis: Jurisprudencia Fuente: Gaceta del Semanario Judicial de la Federación Libro 1, </w:t>
      </w:r>
      <w:proofErr w:type="gramStart"/>
      <w:r w:rsidRPr="00CC74EE">
        <w:rPr>
          <w:bCs/>
          <w:sz w:val="28"/>
          <w:szCs w:val="28"/>
        </w:rPr>
        <w:t>Diciembre</w:t>
      </w:r>
      <w:proofErr w:type="gramEnd"/>
      <w:r w:rsidRPr="00CC74EE">
        <w:rPr>
          <w:bCs/>
          <w:sz w:val="28"/>
          <w:szCs w:val="28"/>
        </w:rPr>
        <w:t xml:space="preserve"> de 2013, Tomo II Materia(s): Común Tesis: IV.2o.A. J/7 (10a.) Página: 933 </w:t>
      </w:r>
      <w:r w:rsidRPr="00CC74EE">
        <w:rPr>
          <w:b/>
          <w:bCs/>
          <w:sz w:val="28"/>
          <w:szCs w:val="28"/>
        </w:rPr>
        <w:t xml:space="preserve">“CONTROL DE CONVENCIONALIDAD. ES INELUDIBLE DE LA AUTORIDAD EJERCERLO, AUN DE OFICIO, CUYO INCUMPLIMIENTO VULNERA EL MANDATO CONSTITUCIONAL Y GARANTIZAR LOS DERECHOS HUMANOS LA RESPONSABILIDAD INTERNACIONAL DEL ESTADO MEXICANO EN SU CONJUNTO. </w:t>
      </w:r>
      <w:r w:rsidRPr="00CC74EE">
        <w:rPr>
          <w:bCs/>
          <w:sz w:val="28"/>
          <w:szCs w:val="28"/>
        </w:rPr>
        <w:t xml:space="preserve">Los artículos 1o. y 133 de la Constitución Política de los Estado Unidos Mexicanos establecen el deber de toda autoridad de proteger y garantizar los derechos humanos reconocidos en la Norma Suprema y en los tratados internacionales de los que el país es parte y, en cuanto a los Jueces, el deber de arreglarse a la Constitución a pesar de leyes o disposiciones en contrario, a partir de lo cual, se reconoce que a cargo de las autoridades jurisdiccionales obra la obligación de ejercer de oficio o a petición de parte, un control de convencionalidad en materia de derecho humanos, el cual deberá adecuarse al modelo de control de constitucionalidad existente en el ordenamiento interno, conforme a los parámetros delineados por la Suprema Corte de Justicia de la Nación en las tesis P. LXVII/2011 (9a.), P. LXVIII/2011 (9a.) y P.LXIX/2011 (9a.). Por su parte, la Corte Interamericana de Derechos Humanos ha sostenido, en relación con el deber de los Estados firmantes de la Convención Americana sobre Derechos Humanos, de respetar bienes jurídicos y libertades reconocidos </w:t>
      </w:r>
      <w:r w:rsidRPr="00CC74EE">
        <w:rPr>
          <w:bCs/>
          <w:sz w:val="28"/>
          <w:szCs w:val="28"/>
        </w:rPr>
        <w:lastRenderedPageBreak/>
        <w:t xml:space="preserve">en ella; que la acción u omisión de cualquier autoridad pública, independientemente de su jerarquía, que implique un incumplimiento de ese deber, constituye un hecho imputable al Estado en su conjunto, que compromete su responsabilidad en los términos previstos por la propia convención (caso Tribunal Constitucional vs. Perú. Fondo, reparaciones y costas. Sentencia de 31 de enero de 2001. Serie C, No. 71, y caso </w:t>
      </w:r>
      <w:proofErr w:type="spellStart"/>
      <w:r w:rsidRPr="00CC74EE">
        <w:rPr>
          <w:bCs/>
          <w:sz w:val="28"/>
          <w:szCs w:val="28"/>
        </w:rPr>
        <w:t>Bámaca</w:t>
      </w:r>
      <w:proofErr w:type="spellEnd"/>
      <w:r w:rsidRPr="00CC74EE">
        <w:rPr>
          <w:bCs/>
          <w:sz w:val="28"/>
          <w:szCs w:val="28"/>
        </w:rPr>
        <w:t xml:space="preserve"> Velásquez va. Guatemala. Fondo. Sentencia de 25 de noviembre de 2000. Serie C, No. 70). Asimismo, que la responsabilidad estatal puede surgir cuando un órgano o funcionario del Estado o de una institución de carácter público afecte Indebidamente, por acción u omisión, algunos de los bienes jurídicos protegidos por dicho instrumento internacional (caso Albán Cornejo y otros Vs. Ecuador. Fondo, reparaciones y costas. Sentencia de 22 de noviembre de 2007. Serie C, No. 171), y que cuando un Estado ha ratificado un tratado internacional como el mencionado, su Jueces, como parte del aparato del Estado, también estar sometidos a él, lo que les obliga a velar por que los efectos de sus disposiciones no se vean mermadas por la aplicación de leyes contrarias a su objeto y fin, las cuales, desde un inicio, carecen de efectos jurídicos [caso </w:t>
      </w:r>
      <w:proofErr w:type="spellStart"/>
      <w:r w:rsidRPr="00CC74EE">
        <w:rPr>
          <w:bCs/>
          <w:sz w:val="28"/>
          <w:szCs w:val="28"/>
        </w:rPr>
        <w:t>Almonacid</w:t>
      </w:r>
      <w:proofErr w:type="spellEnd"/>
      <w:r w:rsidRPr="00CC74EE">
        <w:rPr>
          <w:bCs/>
          <w:sz w:val="28"/>
          <w:szCs w:val="28"/>
        </w:rPr>
        <w:t xml:space="preserve"> Arellano y otros vs. Chile Excepciones preliminares, fondo, reparaciones y costas. Sentencia de 26 de septiembre de 2006. Serie C, No. 154, y caso Trabajadores Cesados del Congreso (Aguado Alfaro y otros) v Perú. Excepciones preliminares, fondo, reparaciones y costa Sentencia de 24 de noviembre de 2006. Serie C, No. 158] Partiendo de lo anterior, como el Estado Mexicano firmó Convención Americana sobre Derechos Humanos, aprobada p el Senado de la República el 18 de diciembre de </w:t>
      </w:r>
      <w:r w:rsidRPr="00CC74EE">
        <w:rPr>
          <w:bCs/>
          <w:sz w:val="28"/>
          <w:szCs w:val="28"/>
        </w:rPr>
        <w:lastRenderedPageBreak/>
        <w:t xml:space="preserve">1980, publicada en el Diario Oficial de la Federación el 7 de mayo de 1981, y por virtud de su artículo 1, numeral 1, en términos de los mencionados artículos 1o y 133 constitucionales, obra a cargo de toda autoridad jurisdiccional nacional, con independencia de su fuero jerarquía, la obligación de respetar los derechos y libertada reconocidos en el referido pacto, así como el deber de garantizar su libre y pleno ejercicio a favor de toda persona sin distinción por motivo de raza, color, sexo, idioma, religión, opiniones políticas o de cualquier otra índole, origen nacional o social, posición económica, nacimiento o cualquier otra condición social, mientras que conforme a su artículo 33, los actos de esas autoridades, como partes del Estado Mexicano, están sometidos a la competencia tanto de la Comisión como de la Corte Interamericana de Derechos Humanos, en lo relativo al cumplimiento de dicha obligación. De ahí que el deber de ejercer, aun de oficio, el control de constitucionalidad y convencionalidad de los actos de que una autoridad tenga conocimiento en el ámbito de sus competencias y facultades, debe asumirse con puntualidad, responsabilidad y eficacia, y no evadirse, menos aún en casos en que expresamente un gobernado solícita su ejercicio, pues soslayarlo refleja gravemente el incumplimiento de la primera obligación impuesta por el orden constitucional interno a todas las autoridades, que a su vez supone el respeto de todos los derechos reconocidos a las personas en la Constitución y en la Convención y dicho incumplimiento compromete la responsabilidad internacional del Estado Mexicano en su conjunto, acorde con el principio básico relativo, recogido en el derecho internacional de los derechos humanos, en el </w:t>
      </w:r>
      <w:r w:rsidRPr="00CC74EE">
        <w:rPr>
          <w:bCs/>
          <w:sz w:val="28"/>
          <w:szCs w:val="28"/>
        </w:rPr>
        <w:lastRenderedPageBreak/>
        <w:t xml:space="preserve">sentido de que todo Estado es </w:t>
      </w:r>
      <w:proofErr w:type="spellStart"/>
      <w:r w:rsidRPr="00CC74EE">
        <w:rPr>
          <w:bCs/>
          <w:sz w:val="28"/>
          <w:szCs w:val="28"/>
        </w:rPr>
        <w:t>intemacionalmente</w:t>
      </w:r>
      <w:proofErr w:type="spellEnd"/>
      <w:r w:rsidRPr="00CC74EE">
        <w:rPr>
          <w:bCs/>
          <w:sz w:val="28"/>
          <w:szCs w:val="28"/>
        </w:rPr>
        <w:t xml:space="preserve"> responsable por actos u omisiones de cualquiera de sus poderes u órganos en violación de los derechos </w:t>
      </w:r>
      <w:proofErr w:type="spellStart"/>
      <w:r w:rsidRPr="00CC74EE">
        <w:rPr>
          <w:bCs/>
          <w:sz w:val="28"/>
          <w:szCs w:val="28"/>
        </w:rPr>
        <w:t>intemacionalmente</w:t>
      </w:r>
      <w:proofErr w:type="spellEnd"/>
      <w:r w:rsidRPr="00CC74EE">
        <w:rPr>
          <w:bCs/>
          <w:sz w:val="28"/>
          <w:szCs w:val="28"/>
        </w:rPr>
        <w:t xml:space="preserve"> consagrados.</w:t>
      </w:r>
      <w:r w:rsidRPr="00CC74EE">
        <w:rPr>
          <w:b/>
          <w:bCs/>
          <w:sz w:val="28"/>
          <w:szCs w:val="28"/>
        </w:rPr>
        <w:t>”</w:t>
      </w:r>
      <w:r w:rsidRPr="00CC74EE">
        <w:rPr>
          <w:bCs/>
          <w:sz w:val="28"/>
          <w:szCs w:val="28"/>
        </w:rPr>
        <w:t xml:space="preserve"> SEGUNDO TRIBUNAL COLEGIADO EN MATERIA ADMINISTRATIVA DEL CUARTO CIRCUITO. Amparo directo 436/2012. Gabriela Salazar González. 16 de mayo de 2013. Unanimidad de votos. Ponente: José Carlos Rodríguez Navarro. Secretario: </w:t>
      </w:r>
      <w:proofErr w:type="spellStart"/>
      <w:r w:rsidRPr="00CC74EE">
        <w:rPr>
          <w:bCs/>
          <w:sz w:val="28"/>
          <w:szCs w:val="28"/>
        </w:rPr>
        <w:t>Eucarío</w:t>
      </w:r>
      <w:proofErr w:type="spellEnd"/>
      <w:r w:rsidRPr="00CC74EE">
        <w:rPr>
          <w:bCs/>
          <w:sz w:val="28"/>
          <w:szCs w:val="28"/>
        </w:rPr>
        <w:t xml:space="preserve"> Adame Pérez. Amparo directo 166/2013. Comercializadora Cantú, S.A. de C. V. 27 de junio de 2013. Unanimidad de votos. Ponente: José Carlos Rodríguez Navarro. Secretario: Miguel Ángel Luna Gracia. Amparo directo 160/2013. Arcos </w:t>
      </w:r>
      <w:proofErr w:type="spellStart"/>
      <w:r w:rsidRPr="00CC74EE">
        <w:rPr>
          <w:bCs/>
          <w:sz w:val="28"/>
          <w:szCs w:val="28"/>
        </w:rPr>
        <w:t>Sercal</w:t>
      </w:r>
      <w:proofErr w:type="spellEnd"/>
      <w:r w:rsidRPr="00CC74EE">
        <w:rPr>
          <w:bCs/>
          <w:sz w:val="28"/>
          <w:szCs w:val="28"/>
        </w:rPr>
        <w:t xml:space="preserve"> Inmobiliaria, S. de R.L. de C. V. 15 de agosto de 2013. Unanimidad de votos. Ponente: Hugo Alejandro Bermúdez Manrique. Secretario: Jesús Alejandro Jiménez </w:t>
      </w:r>
      <w:proofErr w:type="spellStart"/>
      <w:r w:rsidRPr="00CC74EE">
        <w:rPr>
          <w:bCs/>
          <w:sz w:val="28"/>
          <w:szCs w:val="28"/>
        </w:rPr>
        <w:t>Alvarez</w:t>
      </w:r>
      <w:proofErr w:type="spellEnd"/>
      <w:r w:rsidRPr="00CC74EE">
        <w:rPr>
          <w:bCs/>
          <w:sz w:val="28"/>
          <w:szCs w:val="28"/>
        </w:rPr>
        <w:t xml:space="preserve">. Amparo directo 199/2013. Graciela Haro Prieto. 15 de agosto de 2013. Unanimidad de votos. Ponente: José Carlos Rodríguez. </w:t>
      </w:r>
    </w:p>
    <w:p w:rsidR="00913F1E" w:rsidRPr="00CC74EE" w:rsidRDefault="00913F1E" w:rsidP="00913F1E">
      <w:pPr>
        <w:spacing w:line="480" w:lineRule="auto"/>
        <w:ind w:right="39"/>
        <w:jc w:val="both"/>
        <w:rPr>
          <w:bCs/>
          <w:sz w:val="28"/>
          <w:szCs w:val="28"/>
        </w:rPr>
      </w:pPr>
      <w:r w:rsidRPr="00CC74EE">
        <w:rPr>
          <w:bCs/>
          <w:sz w:val="28"/>
          <w:szCs w:val="28"/>
        </w:rPr>
        <w:t xml:space="preserve">Navarro. Secretario: Miguel Ángel Luna Gracia. Amparo directo 225/2013. 15 de agosto de 2013. Unanimidad de votos. Ponente: José Carlos Rodríguez Navarro. Secretan Griselda Tejada </w:t>
      </w:r>
      <w:proofErr w:type="spellStart"/>
      <w:r w:rsidRPr="00CC74EE">
        <w:rPr>
          <w:bCs/>
          <w:sz w:val="28"/>
          <w:szCs w:val="28"/>
        </w:rPr>
        <w:t>Vielma</w:t>
      </w:r>
      <w:proofErr w:type="spellEnd"/>
      <w:r w:rsidRPr="00CC74EE">
        <w:rPr>
          <w:bCs/>
          <w:sz w:val="28"/>
          <w:szCs w:val="28"/>
        </w:rPr>
        <w:t xml:space="preserve">. Nota: Las tesis P. LXVII/2011 (9a.), P. LXVIII/2011 (9a.) y P. LXIX/2011 (9a.) citadas, aparecen publicadas en el Semanario Judicial de la Federación y su Gaceta, Décima Época, Libro III, Tomo I, diciembre de 2011, páginas 535, 551 y 552, con los rubros: “CONTROL DE CONVENCIONALIDAD EX OFFICIO EN UN MODELO DE CONTROL DIFUSO DE CONSTITUCIONALIDAD.” “PARÁMETRO PARA EL CONTROL DE CONVENCIONALIDAD EX OFFICIO EN MATERIA DE DERECHOS HUMANOS.” y “PASOS A SEGUIR EN </w:t>
      </w:r>
      <w:r w:rsidRPr="00CC74EE">
        <w:rPr>
          <w:bCs/>
          <w:sz w:val="28"/>
          <w:szCs w:val="28"/>
        </w:rPr>
        <w:lastRenderedPageBreak/>
        <w:t xml:space="preserve">EL CONTROL DE CONSTITUCIONALIDAD Y CON VENCIONALIDAD EX OFFICIO EN MATERIA DE DERECHOS HUMANOS.” respectivamente. Esta tesis se publicó el viernes 06 de diciembre de 2013 a las 06:00 horas en el Semanario Judicial de la Federación y, por ende, se considera de aplicación obligatoria a partir del lunes 09 de diciembre de 2013, para los efectos previstos en el punto séptimo del Acuerdo General Plenario 19/2013. </w:t>
      </w:r>
      <w:r w:rsidRPr="00BB39D1">
        <w:rPr>
          <w:bCs/>
          <w:sz w:val="28"/>
          <w:szCs w:val="28"/>
        </w:rPr>
        <w:t xml:space="preserve">En el caso que nos ocupa, la lectura que hace la Juez Segundo del Ramo Civil al artículo 940 del Código de Procedimientos Civiles del Estado, de resultar tal y como la realiza, es contraria a los dispuesto por los artículos 14 y 17 constitucionales, por lo que tenía la obligación de </w:t>
      </w:r>
      <w:proofErr w:type="spellStart"/>
      <w:r w:rsidRPr="00BB39D1">
        <w:rPr>
          <w:bCs/>
          <w:sz w:val="28"/>
          <w:szCs w:val="28"/>
        </w:rPr>
        <w:t>inaplicar</w:t>
      </w:r>
      <w:proofErr w:type="spellEnd"/>
      <w:r w:rsidRPr="00BB39D1">
        <w:rPr>
          <w:bCs/>
          <w:sz w:val="28"/>
          <w:szCs w:val="28"/>
        </w:rPr>
        <w:t xml:space="preserve"> el sexto párrafo de dicho precepto, que señala que: “De no formularse los agravios, o no señalarse o exhibirse, en su caso, las referidas constancias por el recurrente, el juez tendrá por no interpuesta la apelación y declarará firme el auto o sentencia impugnados, sin ulterior recurso”</w:t>
      </w:r>
      <w:r w:rsidR="00BB39D1">
        <w:rPr>
          <w:bCs/>
          <w:sz w:val="28"/>
          <w:szCs w:val="28"/>
        </w:rPr>
        <w:t>.</w:t>
      </w:r>
      <w:r w:rsidRPr="00CC74EE">
        <w:rPr>
          <w:b/>
          <w:bCs/>
          <w:sz w:val="28"/>
          <w:szCs w:val="28"/>
        </w:rPr>
        <w:t xml:space="preserve"> </w:t>
      </w:r>
      <w:r w:rsidRPr="00CC74EE">
        <w:rPr>
          <w:bCs/>
          <w:sz w:val="28"/>
          <w:szCs w:val="28"/>
        </w:rPr>
        <w:t xml:space="preserve">En efecto, esto resulta contrario al artículo 14 constitucional; ello, porque no establece la prevención al impugnante para que regularice su recurso y, en cambio, prevé una sanción rigorista y perjudicial por la omisión formal en que incurre el </w:t>
      </w:r>
      <w:proofErr w:type="spellStart"/>
      <w:r w:rsidRPr="00CC74EE">
        <w:rPr>
          <w:bCs/>
          <w:sz w:val="28"/>
          <w:szCs w:val="28"/>
        </w:rPr>
        <w:t>gobernado</w:t>
      </w:r>
      <w:proofErr w:type="spellEnd"/>
      <w:r w:rsidRPr="00CC74EE">
        <w:rPr>
          <w:bCs/>
          <w:sz w:val="28"/>
          <w:szCs w:val="28"/>
        </w:rPr>
        <w:t xml:space="preserve">, al no señalar con precisión las constancias que deban integrar dicho testimonio, como lo es el no tener por interpuesto tal recurso. Así pues, el precepto ordinario citado resulta inconstitucional ya que, por una parte, no contiene ninguna prevención al recurrente para que en un plazo prudente regularice su apelación y, por otra, prevé su </w:t>
      </w:r>
      <w:proofErr w:type="spellStart"/>
      <w:r w:rsidRPr="00CC74EE">
        <w:rPr>
          <w:bCs/>
          <w:sz w:val="28"/>
          <w:szCs w:val="28"/>
        </w:rPr>
        <w:t>desechamiento</w:t>
      </w:r>
      <w:proofErr w:type="spellEnd"/>
      <w:r w:rsidRPr="00CC74EE">
        <w:rPr>
          <w:bCs/>
          <w:sz w:val="28"/>
          <w:szCs w:val="28"/>
        </w:rPr>
        <w:t xml:space="preserve"> de plano por no citarse con precisión las constancias que deban formarlo; cuestión esta última que no obstante que </w:t>
      </w:r>
      <w:r w:rsidRPr="00CC74EE">
        <w:rPr>
          <w:bCs/>
          <w:sz w:val="28"/>
          <w:szCs w:val="28"/>
        </w:rPr>
        <w:lastRenderedPageBreak/>
        <w:t xml:space="preserve">es asesora del recurso, no puede ser subsanada, ocasionando con ello que no se, atienda la cuestión principal a la que sirve; de ahí que el numeral en mención resulte contrario a la garantía de audiencia, en virtud de que se aparta de los principios fundamentales que norman el debido proceso legal, pues rompe el equilibrio procesal entre las partes, al impedir al particular inconforme defenderse en contra de las resoluciones emitidas por el Juez de origen, y así probar la ilegalidad argumentada en la apelación. Además, las exigencias que impone el citado numeral no coinciden con las que establece tanto para el apelante como para el juzgador pues, por una parte, obliga al primero a indicar con exactitud las constancias en comento y, por otra, faculta al </w:t>
      </w:r>
      <w:proofErr w:type="spellStart"/>
      <w:r w:rsidRPr="00CC74EE">
        <w:rPr>
          <w:bCs/>
          <w:sz w:val="28"/>
          <w:szCs w:val="28"/>
        </w:rPr>
        <w:t>resolutor</w:t>
      </w:r>
      <w:proofErr w:type="spellEnd"/>
      <w:r w:rsidRPr="00CC74EE">
        <w:rPr>
          <w:bCs/>
          <w:sz w:val="28"/>
          <w:szCs w:val="28"/>
        </w:rPr>
        <w:t xml:space="preserve"> para remitir al superior aquellas que solamente considere necesarias para el estudio del asunto; motivos por los cuales se considera que el citado numeral, además de inconstitucional, es incongruente. En esta misma tesitura, se privilegia un aspecto meramente formal por encima del fondo de la controversia, por lo cual es también patente la violación al artículo 17 Constitucional. Sin embargo, hay que decirlo, esta inconstitucionalidad quedaría salvada a partir de una interpretación conforme se plantea en la PRIMERA PARTE de esta exposición. Esto es, que si se hace la lectura conforme lo plantea la Juez en el auto que se combate, debe analizarse la constitucionalidad del artículo 940 sexto párrafo del Código de Procedimientos Civiles del Estado en este Recurso de Queja, dada la obligación de este tribunal de hacer un control de constitucionalidad y convencionalidad ex oficio; por el contrario, de determinarse que es correcto el planteamiento formulado por el suscrito en la PRIMERA </w:t>
      </w:r>
      <w:r w:rsidRPr="00CC74EE">
        <w:rPr>
          <w:bCs/>
          <w:sz w:val="28"/>
          <w:szCs w:val="28"/>
        </w:rPr>
        <w:lastRenderedPageBreak/>
        <w:t xml:space="preserve">PARTE de este escrito, resulta innecesario dicho estudio de constitucionalidad, dado que estaríamos frente , a una simple indebida actuación de la Juez Segunda del Ramo Civil, subsanable en esta instancia con una también simple lectura correcta de las normas legales aplicables. </w:t>
      </w:r>
    </w:p>
    <w:p w:rsidR="00913F1E" w:rsidRPr="00CC74EE" w:rsidRDefault="00913F1E" w:rsidP="00913F1E">
      <w:pPr>
        <w:spacing w:line="480" w:lineRule="auto"/>
        <w:ind w:right="39"/>
        <w:jc w:val="both"/>
        <w:rPr>
          <w:rFonts w:ascii="Arial" w:hAnsi="Arial" w:cs="Arial"/>
          <w:bCs/>
          <w:sz w:val="28"/>
          <w:szCs w:val="28"/>
        </w:rPr>
      </w:pPr>
      <w:r w:rsidRPr="00CC74EE">
        <w:rPr>
          <w:rFonts w:ascii="Arial" w:hAnsi="Arial" w:cs="Arial"/>
          <w:sz w:val="28"/>
          <w:szCs w:val="28"/>
        </w:rPr>
        <w:tab/>
      </w:r>
      <w:r w:rsidRPr="00CC74EE">
        <w:rPr>
          <w:rFonts w:ascii="Arial" w:hAnsi="Arial" w:cs="Arial"/>
          <w:sz w:val="28"/>
          <w:szCs w:val="28"/>
        </w:rPr>
        <w:tab/>
      </w:r>
      <w:r w:rsidRPr="00CC74EE">
        <w:rPr>
          <w:rFonts w:ascii="Arial" w:hAnsi="Arial" w:cs="Arial"/>
          <w:b/>
          <w:sz w:val="28"/>
          <w:szCs w:val="28"/>
        </w:rPr>
        <w:t xml:space="preserve">QUINTO: </w:t>
      </w:r>
      <w:r w:rsidRPr="00CC74EE">
        <w:rPr>
          <w:rFonts w:ascii="Arial" w:hAnsi="Arial" w:cs="Arial"/>
          <w:bCs/>
          <w:sz w:val="28"/>
          <w:szCs w:val="28"/>
        </w:rPr>
        <w:t xml:space="preserve">El Juez natural, con fecha 13 trece de mayo pasado, rindió su informe en los siguientes términos: </w:t>
      </w:r>
    </w:p>
    <w:p w:rsidR="00913F1E" w:rsidRPr="00CC74EE" w:rsidRDefault="00913F1E" w:rsidP="00913F1E">
      <w:pPr>
        <w:spacing w:line="480" w:lineRule="auto"/>
        <w:ind w:right="39"/>
        <w:jc w:val="both"/>
        <w:rPr>
          <w:bCs/>
          <w:sz w:val="28"/>
          <w:szCs w:val="28"/>
        </w:rPr>
      </w:pPr>
      <w:r w:rsidRPr="00CC74EE">
        <w:rPr>
          <w:rFonts w:ascii="Arial" w:hAnsi="Arial" w:cs="Arial"/>
          <w:bCs/>
          <w:sz w:val="28"/>
          <w:szCs w:val="28"/>
        </w:rPr>
        <w:tab/>
      </w:r>
      <w:r w:rsidRPr="00CC74EE">
        <w:rPr>
          <w:rFonts w:ascii="Arial" w:hAnsi="Arial" w:cs="Arial"/>
          <w:bCs/>
          <w:sz w:val="28"/>
          <w:szCs w:val="28"/>
        </w:rPr>
        <w:tab/>
        <w:t>“</w:t>
      </w:r>
      <w:r w:rsidRPr="00CC74EE">
        <w:rPr>
          <w:bCs/>
          <w:sz w:val="28"/>
          <w:szCs w:val="28"/>
        </w:rPr>
        <w:t xml:space="preserve">… Se procede a dar contestación respecto del recurso de queja formulado por </w:t>
      </w:r>
      <w:r w:rsidR="002153B3">
        <w:rPr>
          <w:b/>
          <w:bCs/>
          <w:i/>
          <w:sz w:val="28"/>
          <w:szCs w:val="28"/>
        </w:rPr>
        <w:t>ELIMINADO</w:t>
      </w:r>
      <w:r w:rsidRPr="00CC74EE">
        <w:rPr>
          <w:bCs/>
          <w:sz w:val="28"/>
          <w:szCs w:val="28"/>
        </w:rPr>
        <w:t xml:space="preserve"> con escrito presentado ante la Superioridad el tres de septiembre del dos mil veinte en contra del proveído de fecha veintiocho de agosto del dos mil veinte, y con el presente me permito rendir el informe a que se refiere el artículo 973 del Código de Procedimientos Civiles, adjuntando copia certificada de todas y cada una de las constancias que obran en el expediente 1404/2018, relativo al Juicio Extraordinario Civil de tramitación especial, desocupación promovido por </w:t>
      </w:r>
      <w:r w:rsidR="002153B3">
        <w:rPr>
          <w:b/>
          <w:bCs/>
          <w:i/>
          <w:sz w:val="28"/>
          <w:szCs w:val="28"/>
        </w:rPr>
        <w:t>ELIMINADO</w:t>
      </w:r>
      <w:r w:rsidRPr="00CC74EE">
        <w:rPr>
          <w:bCs/>
          <w:sz w:val="28"/>
          <w:szCs w:val="28"/>
        </w:rPr>
        <w:t xml:space="preserve"> en contra de </w:t>
      </w:r>
      <w:r w:rsidR="002153B3">
        <w:rPr>
          <w:b/>
          <w:bCs/>
          <w:i/>
          <w:sz w:val="28"/>
          <w:szCs w:val="28"/>
        </w:rPr>
        <w:t>ELIMINADO</w:t>
      </w:r>
      <w:r w:rsidRPr="00CC74EE">
        <w:rPr>
          <w:bCs/>
          <w:sz w:val="28"/>
          <w:szCs w:val="28"/>
        </w:rPr>
        <w:t xml:space="preserve">, en los siguientes términos: En primer lugar, que si es cierto el acto reclamado, consistente en que se emitió proveído el veintiocho de agosto del dos mil veinte, mediante el cual no se admitió el recurso de apelación que interpuso </w:t>
      </w:r>
      <w:r w:rsidR="002153B3">
        <w:rPr>
          <w:b/>
          <w:bCs/>
          <w:i/>
          <w:sz w:val="28"/>
          <w:szCs w:val="28"/>
        </w:rPr>
        <w:t>ELIMINADO</w:t>
      </w:r>
      <w:r w:rsidRPr="00CC74EE">
        <w:rPr>
          <w:bCs/>
          <w:sz w:val="28"/>
          <w:szCs w:val="28"/>
        </w:rPr>
        <w:t xml:space="preserve">, en virtud de que en su escrito no señaló las constancias que deberían de integrar el testimonio de apelación, tal como lo refiere el artículo 940 en su tercer y sexto párrafo, que textualmente refieren: “...Además, en el propio escrito de referencia se deberá señalar las constancias que deban remitirse al Superior para substanciar la alzada, a las cuales podrán adicionarse las que la parte contraria estime necesarias, y las que el juez considere conducentes. Asimismo, el apelante </w:t>
      </w:r>
      <w:r w:rsidRPr="00CC74EE">
        <w:rPr>
          <w:bCs/>
          <w:sz w:val="28"/>
          <w:szCs w:val="28"/>
        </w:rPr>
        <w:lastRenderedPageBreak/>
        <w:t xml:space="preserve">deberá señalar persona y domicilio para oír notificaciones en el lugar de residencia del tribunal. De no formularse los agravios, o no señalarse o exhibirse, en su caso, las referidas constancias por el recurrente, el juez tendrá por no interpuesta la apelación y declarará firme el auto o sentencia impugnados, sin ulterior recurso.” Por lo anterior, se declaró inadmisible el recurso de apelación que formuló en contra de la sentencia de fecha cinco de agosto del dos mil veinte dictada en el expediente 1404/ 2018 y mediante la cual se declaró que la parte actora acreditó los elementos constitutivos de su acción y el demandado </w:t>
      </w:r>
      <w:r w:rsidR="002153B3">
        <w:rPr>
          <w:b/>
          <w:bCs/>
          <w:i/>
          <w:sz w:val="28"/>
          <w:szCs w:val="28"/>
        </w:rPr>
        <w:t>ELIMINADO</w:t>
      </w:r>
      <w:r w:rsidRPr="00CC74EE">
        <w:rPr>
          <w:bCs/>
          <w:sz w:val="28"/>
          <w:szCs w:val="28"/>
        </w:rPr>
        <w:t xml:space="preserve"> probó parcialmente su excepción de pago. Por lo anterior, el </w:t>
      </w:r>
      <w:r w:rsidR="002153B3">
        <w:rPr>
          <w:b/>
          <w:bCs/>
          <w:i/>
          <w:sz w:val="28"/>
          <w:szCs w:val="28"/>
        </w:rPr>
        <w:t>ELIMINADO</w:t>
      </w:r>
      <w:r w:rsidRPr="00CC74EE">
        <w:rPr>
          <w:bCs/>
          <w:sz w:val="28"/>
          <w:szCs w:val="28"/>
        </w:rPr>
        <w:t xml:space="preserve">, con fecha veintiséis de agosto del dos mil veinte, presentó recurso de apelación, respecto de la sentencia referida en líneas que anteceden, sin embargo, toda vez que de su escrito no daba cabal cumplimiento a lo dispuesto por el artículo 940 del Código de Procedimientos Civiles, no se admitió el recurso de apelación que interpuso, toda vez que no expresaba textualmente las constancias que deberían de integrar el testimonio de apelación a efecto de remitirlo a la Superioridad, como lo establece el dispositivo legal referido en líneas anteriores. Por lo anterior, solicito a Usted se me tenga por dando contestación a lo solicitado en su oficio 959 recibido el veintidós de marzo del dos mil veintiuno; asimismo por dando cabal cumplimiento a lo dispuesto por el artículo 973 del código procesal civil, por rindiendo el informe correspondiente y anexando copia certificada de las constancias anteriormente señaladas que se encuentran en el expediente original 1404/2018, Juicio Extraordinario Civil, de </w:t>
      </w:r>
      <w:r w:rsidRPr="00CC74EE">
        <w:rPr>
          <w:bCs/>
          <w:sz w:val="28"/>
          <w:szCs w:val="28"/>
        </w:rPr>
        <w:lastRenderedPageBreak/>
        <w:t xml:space="preserve">tramitación especial, por desocupación promovido por </w:t>
      </w:r>
      <w:r w:rsidR="002153B3">
        <w:rPr>
          <w:b/>
          <w:bCs/>
          <w:i/>
          <w:sz w:val="28"/>
          <w:szCs w:val="28"/>
        </w:rPr>
        <w:t>ELIMINADO</w:t>
      </w:r>
      <w:r w:rsidRPr="00CC74EE">
        <w:rPr>
          <w:bCs/>
          <w:sz w:val="28"/>
          <w:szCs w:val="28"/>
        </w:rPr>
        <w:t xml:space="preserve"> en contra de </w:t>
      </w:r>
      <w:r w:rsidR="002153B3">
        <w:rPr>
          <w:b/>
          <w:bCs/>
          <w:i/>
          <w:sz w:val="28"/>
          <w:szCs w:val="28"/>
        </w:rPr>
        <w:t>ELIMINADO</w:t>
      </w:r>
      <w:r w:rsidRPr="00CC74EE">
        <w:rPr>
          <w:bCs/>
          <w:sz w:val="28"/>
          <w:szCs w:val="28"/>
        </w:rPr>
        <w:t>.</w:t>
      </w:r>
      <w:r w:rsidRPr="00CC74EE">
        <w:rPr>
          <w:b/>
          <w:bCs/>
          <w:sz w:val="28"/>
          <w:szCs w:val="28"/>
        </w:rPr>
        <w:t>”</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 xml:space="preserve">SEXTO: </w:t>
      </w:r>
      <w:r w:rsidRPr="00CC74EE">
        <w:rPr>
          <w:rFonts w:ascii="Arial" w:hAnsi="Arial" w:cs="Arial"/>
          <w:sz w:val="28"/>
          <w:szCs w:val="28"/>
        </w:rPr>
        <w:t xml:space="preserve">El colitigante, </w:t>
      </w:r>
      <w:r w:rsidR="002153B3">
        <w:rPr>
          <w:rFonts w:ascii="Arial" w:hAnsi="Arial" w:cs="Arial"/>
          <w:b/>
          <w:i/>
          <w:sz w:val="28"/>
          <w:szCs w:val="28"/>
        </w:rPr>
        <w:t>ELIMINADO</w:t>
      </w:r>
      <w:r w:rsidRPr="00CC74EE">
        <w:rPr>
          <w:rFonts w:ascii="Arial" w:hAnsi="Arial" w:cs="Arial"/>
          <w:sz w:val="28"/>
          <w:szCs w:val="28"/>
        </w:rPr>
        <w:t xml:space="preserve"> apoderado general de </w:t>
      </w:r>
      <w:r w:rsidR="002153B3">
        <w:rPr>
          <w:rFonts w:ascii="Arial" w:hAnsi="Arial" w:cs="Arial"/>
          <w:b/>
          <w:i/>
          <w:sz w:val="28"/>
          <w:szCs w:val="28"/>
        </w:rPr>
        <w:t>ELIMINADO</w:t>
      </w:r>
      <w:r w:rsidR="007164C3">
        <w:rPr>
          <w:rFonts w:ascii="Arial" w:hAnsi="Arial" w:cs="Arial"/>
          <w:b/>
          <w:i/>
          <w:sz w:val="28"/>
          <w:szCs w:val="28"/>
        </w:rPr>
        <w:t xml:space="preserve"> </w:t>
      </w:r>
      <w:r w:rsidRPr="00BB39D1">
        <w:rPr>
          <w:rFonts w:ascii="Arial" w:hAnsi="Arial" w:cs="Arial"/>
          <w:sz w:val="28"/>
          <w:szCs w:val="28"/>
        </w:rPr>
        <w:t>compareció en los siguientes términos:</w:t>
      </w:r>
    </w:p>
    <w:p w:rsidR="00913F1E" w:rsidRPr="00CC74EE" w:rsidRDefault="00913F1E" w:rsidP="00913F1E">
      <w:pPr>
        <w:spacing w:line="480" w:lineRule="auto"/>
        <w:jc w:val="both"/>
        <w:rPr>
          <w:rFonts w:ascii="Arial" w:hAnsi="Arial" w:cs="Arial"/>
          <w:b/>
          <w:sz w:val="28"/>
          <w:szCs w:val="28"/>
        </w:rPr>
      </w:pPr>
      <w:r w:rsidRPr="00CC74EE">
        <w:rPr>
          <w:rFonts w:ascii="Arial" w:hAnsi="Arial" w:cs="Arial"/>
          <w:sz w:val="28"/>
          <w:szCs w:val="28"/>
        </w:rPr>
        <w:tab/>
      </w:r>
      <w:r w:rsidRPr="00CC74EE">
        <w:rPr>
          <w:rFonts w:ascii="Arial" w:hAnsi="Arial" w:cs="Arial"/>
          <w:sz w:val="28"/>
          <w:szCs w:val="28"/>
        </w:rPr>
        <w:tab/>
      </w:r>
      <w:r w:rsidRPr="00CC74EE">
        <w:rPr>
          <w:rFonts w:ascii="Arial" w:hAnsi="Arial" w:cs="Arial"/>
          <w:b/>
          <w:sz w:val="28"/>
          <w:szCs w:val="28"/>
        </w:rPr>
        <w:t>“</w:t>
      </w:r>
      <w:r w:rsidRPr="00CC74EE">
        <w:rPr>
          <w:sz w:val="28"/>
          <w:szCs w:val="28"/>
        </w:rPr>
        <w:t xml:space="preserve">En tal virtud, por medio de este escrito y con fundamento en el artículo 974 del CÓDIGO PROCESAL, ocurre mi poderdante a manifestar su inconformidad con la interposición del citado recurso de queja, así como la inoperancia de sus argumentos al tenor de las siguientes: CONSIDERACIONES JURÍDICAS, El recurso promovido por </w:t>
      </w:r>
      <w:r w:rsidR="002153B3">
        <w:rPr>
          <w:i/>
          <w:sz w:val="28"/>
          <w:szCs w:val="28"/>
        </w:rPr>
        <w:t>ELIMINADO</w:t>
      </w:r>
      <w:r w:rsidRPr="00CC74EE">
        <w:rPr>
          <w:sz w:val="28"/>
          <w:szCs w:val="28"/>
        </w:rPr>
        <w:t xml:space="preserve"> tiene dos partes o dos premisas esenciales: i) se duele que el A quo haya desechado el recurso de apelación interpuesto en contra de la sentencia definitiva por no haber señalado el recurrente las constancias que deberían integrar el testimonio de apelación, en razón que según su criterio, </w:t>
      </w:r>
      <w:r w:rsidRPr="00BB39D1">
        <w:rPr>
          <w:sz w:val="28"/>
          <w:szCs w:val="28"/>
        </w:rPr>
        <w:t>dicha carga procesal NO es aplicable cuando la apelación sea en ambos efectos…. (sic) y</w:t>
      </w:r>
      <w:r w:rsidRPr="00CC74EE">
        <w:rPr>
          <w:sz w:val="28"/>
          <w:szCs w:val="28"/>
        </w:rPr>
        <w:t xml:space="preserve"> la aplicación del contenido en el párrafo sexto del artículo 940 del CÓDIGO PROCESAL, </w:t>
      </w:r>
      <w:r w:rsidRPr="00BB39D1">
        <w:rPr>
          <w:sz w:val="28"/>
          <w:szCs w:val="28"/>
        </w:rPr>
        <w:t xml:space="preserve">es violatorio de los artículos 14 y 17 de la CONSTITUCIÓN FEDERAL pues el A quo no estableció una prevención al impugnante para que regularice su recurso y/o subsane la omisión de señalar constancias del testimonio de apelación, y en cambio, prevé una sanción rigurosa y perjudicial por la omisión formal en la que incurre el </w:t>
      </w:r>
      <w:proofErr w:type="spellStart"/>
      <w:r w:rsidRPr="00BB39D1">
        <w:rPr>
          <w:sz w:val="28"/>
          <w:szCs w:val="28"/>
        </w:rPr>
        <w:t>gobernado</w:t>
      </w:r>
      <w:proofErr w:type="spellEnd"/>
      <w:r w:rsidRPr="00BB39D1">
        <w:rPr>
          <w:sz w:val="28"/>
          <w:szCs w:val="28"/>
        </w:rPr>
        <w:t>, violentando así la garantía de audiencia… (sic).</w:t>
      </w:r>
      <w:r w:rsidRPr="00CC74EE">
        <w:rPr>
          <w:sz w:val="28"/>
          <w:szCs w:val="28"/>
        </w:rPr>
        <w:t xml:space="preserve"> Mi poderdante estima que el primer argumento es infundado e inoperante, puesto que el artículo 940 del CÓDIGO PROCESAL prevé una carga procesal para los recurrentes de sentencias definitivas, independientemente si procede en uno o en ambos efectos, la </w:t>
      </w:r>
      <w:r w:rsidRPr="00CC74EE">
        <w:rPr>
          <w:sz w:val="28"/>
          <w:szCs w:val="28"/>
        </w:rPr>
        <w:lastRenderedPageBreak/>
        <w:t xml:space="preserve">cual consiste en señalar las constancias que deberá integrar el testimonio de apelación que deberá remitirse a la alcanzada, y </w:t>
      </w:r>
      <w:r w:rsidR="00BB39D1" w:rsidRPr="00CC74EE">
        <w:rPr>
          <w:sz w:val="28"/>
          <w:szCs w:val="28"/>
        </w:rPr>
        <w:t>que,</w:t>
      </w:r>
      <w:r w:rsidRPr="00CC74EE">
        <w:rPr>
          <w:sz w:val="28"/>
          <w:szCs w:val="28"/>
        </w:rPr>
        <w:t xml:space="preserve"> en caso de no satisfacerse, se tendrá por no interpuesto el recurso. Asimismo, el aquí quejoso pierde de vista que el numeral en mención a una excepción al citado apercibimiento únicamente cuando se trate de sentencias pronunciadas en juicio seguidos en rebeldía, así como los casos en que no fuere notificado personalmente el demandado y cuando se trate de apelación extraordinaria, pero si opera dicha obligación en todos los demás casos, como lo es por ejemplo la impugnación de una sentencia definitiva que resuelve un juicio extraordinario cuya suerte principal excede de $10,000.00 (diez mil pesos 00/100 M.N.). En otras palabras, la sentencia definitiva que </w:t>
      </w:r>
      <w:proofErr w:type="spellStart"/>
      <w:r w:rsidRPr="00CC74EE">
        <w:rPr>
          <w:sz w:val="28"/>
          <w:szCs w:val="28"/>
        </w:rPr>
        <w:t>pretendío</w:t>
      </w:r>
      <w:proofErr w:type="spellEnd"/>
      <w:r w:rsidRPr="00CC74EE">
        <w:rPr>
          <w:sz w:val="28"/>
          <w:szCs w:val="28"/>
        </w:rPr>
        <w:t xml:space="preserve"> recurrir </w:t>
      </w:r>
      <w:r w:rsidR="002153B3">
        <w:rPr>
          <w:i/>
          <w:sz w:val="28"/>
          <w:szCs w:val="28"/>
        </w:rPr>
        <w:t>ELIMINADO</w:t>
      </w:r>
      <w:r w:rsidR="007164C3">
        <w:rPr>
          <w:i/>
          <w:sz w:val="28"/>
          <w:szCs w:val="28"/>
        </w:rPr>
        <w:t xml:space="preserve"> </w:t>
      </w:r>
      <w:r w:rsidRPr="00CC74EE">
        <w:rPr>
          <w:sz w:val="28"/>
          <w:szCs w:val="28"/>
        </w:rPr>
        <w:t xml:space="preserve">no cae dentro de los supuestos de excepción a la prerrogativa contenida en el párrafo sexto del artículo 940 del CÓDIGO PROCESAL, razón por la que era su obligación procesal señalar o exhibir las constancias que debía integrar el testimonio de apelación correspondiente, apercibido </w:t>
      </w:r>
      <w:proofErr w:type="gramStart"/>
      <w:r w:rsidRPr="00CC74EE">
        <w:rPr>
          <w:sz w:val="28"/>
          <w:szCs w:val="28"/>
        </w:rPr>
        <w:t>que</w:t>
      </w:r>
      <w:proofErr w:type="gramEnd"/>
      <w:r w:rsidRPr="00CC74EE">
        <w:rPr>
          <w:sz w:val="28"/>
          <w:szCs w:val="28"/>
        </w:rPr>
        <w:t xml:space="preserve"> en caso contrario, se procedió a su inmediato </w:t>
      </w:r>
      <w:proofErr w:type="spellStart"/>
      <w:r w:rsidRPr="00CC74EE">
        <w:rPr>
          <w:sz w:val="28"/>
          <w:szCs w:val="28"/>
        </w:rPr>
        <w:t>desechamiento</w:t>
      </w:r>
      <w:proofErr w:type="spellEnd"/>
      <w:r w:rsidRPr="00CC74EE">
        <w:rPr>
          <w:sz w:val="28"/>
          <w:szCs w:val="28"/>
        </w:rPr>
        <w:t xml:space="preserve">, como atinada y legalmente dictaminó el A quo. Para mayor claridad, se transcribe la parte conducente del multicitado artículo: ART. 940. “Además, en el propio escrito de referencia se deberá señalar constancia que deban remitirse al superior para substanciar la alzada, a las cuales podrán adicionarse las que la parte contraria estime necesarias, y las que el juez considere conducentes. Asimismo, el aspirante (sic) deberá señalar persona y domicilio para oír notificaciones en el lugar de residencia del tribunal. Si la apelación procediera solo en efecto devolutivo, las partes deberán </w:t>
      </w:r>
      <w:r w:rsidRPr="00CC74EE">
        <w:rPr>
          <w:sz w:val="28"/>
          <w:szCs w:val="28"/>
        </w:rPr>
        <w:lastRenderedPageBreak/>
        <w:t xml:space="preserve">señalar las referidas constancias al interponer el recurso. Bastará la enumeración sencilla que haga la parte de los errores o violaciones de derecho que, en su concepto, se cometieron en su perjuicio, para tener en por expresados los agravios. </w:t>
      </w:r>
      <w:r w:rsidRPr="00CC74EE">
        <w:rPr>
          <w:sz w:val="28"/>
          <w:szCs w:val="28"/>
          <w:u w:val="single"/>
        </w:rPr>
        <w:t>De no formularse los agravios, o no señalarse o exhibirse, en su caso, las referidas constancias por el recurrente, el juez tendrá por no interpuesta la apelación y declarará firme el auto o sentencia impugnados, sin ulterior recurso. Se exceptuará de la norma anterior la apelación contra sentencia pronunciada en juicio seguido en rebeldía, así como los casos en que no fuere notificado personalmente el demandado y cuando se trate de las apelaciones extraordinarias, los cuales se resguardan por las disposiciones específicas consignadas al efecto en este código…</w:t>
      </w:r>
      <w:r w:rsidRPr="00CC74EE">
        <w:rPr>
          <w:sz w:val="28"/>
          <w:szCs w:val="28"/>
        </w:rPr>
        <w:t>” Cobra sustento lo anterior, con la siguiente jurisprudencia que su señoría debe aplicar por analogía de causa: “</w:t>
      </w:r>
      <w:r w:rsidRPr="00CC74EE">
        <w:rPr>
          <w:b/>
          <w:sz w:val="28"/>
          <w:szCs w:val="28"/>
        </w:rPr>
        <w:t xml:space="preserve">APELACIÓN. CUANDO ESE RECURSO PROCEDA EN UN SOLO EFECTO Y EL RECURRENTE NO SEÑALE LAS CONSTANCIAS PARA INTEGRAR EL TESTIMONIO RESPECTIVO, CONFORME A LO PREVISTO EN EL ARTÍCULO 1345 DEL CÓDIGO DE COMERCIO, ES LEGAL SU DESECHAMIENTO POR EL TRIBUNAL DE ALZADA, AUN CUANDO EL JUEZ NATURAL REMITA LAS QUE CONSIDERE NECESARIAS. </w:t>
      </w:r>
      <w:r w:rsidRPr="00CC74EE">
        <w:rPr>
          <w:sz w:val="28"/>
          <w:szCs w:val="28"/>
        </w:rPr>
        <w:t xml:space="preserve">De conformidad con lo dispuesto en el primer párrafo del artículo 1345 del Código de Comercio, cuando la apelación proceda en un solo efecto no se suspenderá la ejecución de la resolución impugnada, caso en el que el recurrente, al interponerla, deberá señalar las constancias para integrar el testimonio respectivo, que podrán ser adicionadas por la contraria y las que el Juez </w:t>
      </w:r>
      <w:r w:rsidRPr="00CC74EE">
        <w:rPr>
          <w:sz w:val="28"/>
          <w:szCs w:val="28"/>
        </w:rPr>
        <w:lastRenderedPageBreak/>
        <w:t xml:space="preserve">estime necesarias, para remitirse al tribunal de alzada, pero, de no señalarlas dicho recurrente, se tendrá por no interpuesta la apelación. Ahora bien, en atención al sentido literal del citado precepto, se concluye que el hecho de que prevea la posibilidad de que el Juez natural pueda adicionar constancias para que el tribunal de alzada esté en aptitud de mejor proveer, no implica que aquél se sustituya en la obligación procesal del apelante, quien debe cumplir con los requisitos de procedencia del recurso que intenta, pues la </w:t>
      </w:r>
      <w:proofErr w:type="spellStart"/>
      <w:r w:rsidRPr="00CC74EE">
        <w:rPr>
          <w:sz w:val="28"/>
          <w:szCs w:val="28"/>
        </w:rPr>
        <w:t>litis</w:t>
      </w:r>
      <w:proofErr w:type="spellEnd"/>
      <w:r w:rsidRPr="00CC74EE">
        <w:rPr>
          <w:sz w:val="28"/>
          <w:szCs w:val="28"/>
        </w:rPr>
        <w:t xml:space="preserve"> en materia mercantil es cerrada y, por ende, es legal que el tribunal de segunda instancia ante quien se tramita ese recurso decrete su </w:t>
      </w:r>
      <w:proofErr w:type="spellStart"/>
      <w:r w:rsidRPr="00CC74EE">
        <w:rPr>
          <w:sz w:val="28"/>
          <w:szCs w:val="28"/>
        </w:rPr>
        <w:t>desechamiento</w:t>
      </w:r>
      <w:proofErr w:type="spellEnd"/>
      <w:r w:rsidRPr="00CC74EE">
        <w:rPr>
          <w:sz w:val="28"/>
          <w:szCs w:val="28"/>
        </w:rPr>
        <w:t xml:space="preserve">.” Por otro lado, mi poderdante afirma que el segundo motivo se disenso es también infundado e inoperante, por virtud que contrario al criterio adoptado por el quejoso, el párrafo sexto del artículo 940 del CÓDIGO PROCESAL NO es inconstitucional y/o violenta los principios de seguridad jurídica, la garantía de audiencia o las reglas del debido proceso, al tenor de los siguientes razonamientos. Sostiene el recurrente que dicha porción normativa contempla una sanción rigorista que NO contiene prevención al apelante para que subsane el recurso en un plazo de tiempo corto, y </w:t>
      </w:r>
      <w:proofErr w:type="gramStart"/>
      <w:r w:rsidRPr="00CC74EE">
        <w:rPr>
          <w:sz w:val="28"/>
          <w:szCs w:val="28"/>
        </w:rPr>
        <w:t>que</w:t>
      </w:r>
      <w:proofErr w:type="gramEnd"/>
      <w:r w:rsidRPr="00CC74EE">
        <w:rPr>
          <w:sz w:val="28"/>
          <w:szCs w:val="28"/>
        </w:rPr>
        <w:t xml:space="preserve"> por ello, rompe el equilibrio procesal al no permitir que el superior analice la cuestión de ilegalidad planteada por el apelante, privilegiando un aspecto meramente formal por encima del fondo de la controversia. Al respecto, debe señalarse a esta alzada que los argumentos anteriores son infundados, toda vez que la carga procesal a la que se obliga al inconforme de una sentencia es como cualquier otra contenida en el CÓDIGO PROCESAL, que debe atenderse previó al análisis de los motivos de </w:t>
      </w:r>
      <w:r w:rsidRPr="00CC74EE">
        <w:rPr>
          <w:sz w:val="28"/>
          <w:szCs w:val="28"/>
        </w:rPr>
        <w:lastRenderedPageBreak/>
        <w:t xml:space="preserve">inconformidad, como un requisito procedimental inexcusable. Esto es, el legislador introdujo dicha obligación a efecto que el Tribunal Superior tenga la certeza de las constancias que debe estudiar para resolver a el fondo del asunto, independientemente que el apelado o el A quo señalen las que consideren necesarias, pues es precisamente el apelante quien debe, a criterio, señalar o exhibir aquella que se le causan personalmente agravio, pues de otra forma, sus Señorías no tendrían la base legal para sentenciar. Lo anterior, debe aclararse, no constituye una violación formal que violenta la CONTINUACIÓN FEDERAL, si no por el contrario, respeta las reglas del debido proceso, pues dispone un medio de defensa ordinario en contra de cualquier resolución de primera instancia que se considere ilegal, y </w:t>
      </w:r>
      <w:proofErr w:type="gramStart"/>
      <w:r w:rsidRPr="00CC74EE">
        <w:rPr>
          <w:sz w:val="28"/>
          <w:szCs w:val="28"/>
        </w:rPr>
        <w:t>que</w:t>
      </w:r>
      <w:proofErr w:type="gramEnd"/>
      <w:r w:rsidRPr="00CC74EE">
        <w:rPr>
          <w:sz w:val="28"/>
          <w:szCs w:val="28"/>
        </w:rPr>
        <w:t xml:space="preserve"> para hacerlo valer, el inconforme únicamente debe satisfacer la pequeña carga procesal de señalar las actuaciones que deben integrar el testimonio de apelación. En ese sentido a </w:t>
      </w:r>
      <w:r w:rsidR="002153B3">
        <w:rPr>
          <w:i/>
          <w:sz w:val="28"/>
          <w:szCs w:val="28"/>
        </w:rPr>
        <w:t>ELIMINADO</w:t>
      </w:r>
      <w:r w:rsidRPr="00CC74EE">
        <w:rPr>
          <w:sz w:val="28"/>
          <w:szCs w:val="28"/>
        </w:rPr>
        <w:t xml:space="preserve"> no le queda claro que la citada obligación NO es desproporcionada o extralimitada, porque su razón de ser es la de facilitar a la Sala del Supremo Tribunal en Turno la emisión pronta y expedita de la sentencia de segunda instancia, </w:t>
      </w:r>
      <w:proofErr w:type="gramStart"/>
      <w:r w:rsidRPr="00CC74EE">
        <w:rPr>
          <w:sz w:val="28"/>
          <w:szCs w:val="28"/>
        </w:rPr>
        <w:t>que</w:t>
      </w:r>
      <w:proofErr w:type="gramEnd"/>
      <w:r w:rsidRPr="00CC74EE">
        <w:rPr>
          <w:sz w:val="28"/>
          <w:szCs w:val="28"/>
        </w:rPr>
        <w:t xml:space="preserve"> sin duda, se tornaría mucho más difícil si NO se señala las constancias que deben estudiarse. Entonces bien, a la luz de los argumentos procedentes, </w:t>
      </w:r>
      <w:proofErr w:type="gramStart"/>
      <w:r w:rsidRPr="00CC74EE">
        <w:rPr>
          <w:sz w:val="28"/>
          <w:szCs w:val="28"/>
        </w:rPr>
        <w:t>su señorías</w:t>
      </w:r>
      <w:proofErr w:type="gramEnd"/>
      <w:r w:rsidRPr="00CC74EE">
        <w:rPr>
          <w:sz w:val="28"/>
          <w:szCs w:val="28"/>
        </w:rPr>
        <w:t xml:space="preserve"> deben declarar infundados los agravios vertidos por </w:t>
      </w:r>
      <w:r w:rsidR="002153B3">
        <w:rPr>
          <w:i/>
          <w:sz w:val="28"/>
          <w:szCs w:val="28"/>
        </w:rPr>
        <w:t>ELIMINADO</w:t>
      </w:r>
      <w:r w:rsidRPr="00CC74EE">
        <w:rPr>
          <w:sz w:val="28"/>
          <w:szCs w:val="28"/>
        </w:rPr>
        <w:t xml:space="preserve">, y en consecuencia, declarar firme el auto dictado el 28 de agosto de 2020, por ser procedente conforme a justicia y a derecho. </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sz w:val="28"/>
          <w:szCs w:val="28"/>
        </w:rPr>
        <w:tab/>
      </w:r>
      <w:r w:rsidRPr="00CC74EE">
        <w:rPr>
          <w:rFonts w:ascii="Arial" w:hAnsi="Arial" w:cs="Arial"/>
          <w:b/>
          <w:sz w:val="28"/>
          <w:szCs w:val="28"/>
        </w:rPr>
        <w:tab/>
        <w:t xml:space="preserve">SEPTIMO: </w:t>
      </w:r>
      <w:r w:rsidRPr="00CC74EE">
        <w:rPr>
          <w:rFonts w:ascii="Arial" w:hAnsi="Arial" w:cs="Arial"/>
          <w:sz w:val="28"/>
          <w:szCs w:val="28"/>
        </w:rPr>
        <w:t xml:space="preserve">El recurso de queja interpuesto por </w:t>
      </w:r>
      <w:r w:rsidR="002153B3">
        <w:rPr>
          <w:rFonts w:ascii="Arial" w:hAnsi="Arial" w:cs="Arial"/>
          <w:b/>
          <w:i/>
          <w:sz w:val="28"/>
          <w:szCs w:val="28"/>
        </w:rPr>
        <w:t>ELIMINADO</w:t>
      </w:r>
      <w:r w:rsidRPr="00CC74EE">
        <w:rPr>
          <w:rFonts w:ascii="Arial" w:hAnsi="Arial" w:cs="Arial"/>
          <w:sz w:val="28"/>
          <w:szCs w:val="28"/>
        </w:rPr>
        <w:t xml:space="preserve"> procede de conformidad con lo dispuesto por el </w:t>
      </w:r>
      <w:r w:rsidRPr="00CC74EE">
        <w:rPr>
          <w:rFonts w:ascii="Arial" w:hAnsi="Arial" w:cs="Arial"/>
          <w:sz w:val="28"/>
          <w:szCs w:val="28"/>
        </w:rPr>
        <w:lastRenderedPageBreak/>
        <w:t xml:space="preserve">artículo 971 fracción III del Código de Procedimientos Civiles del Estado, que dispone: </w:t>
      </w:r>
    </w:p>
    <w:p w:rsidR="00913F1E" w:rsidRPr="00CC74EE" w:rsidRDefault="00913F1E" w:rsidP="00913F1E">
      <w:pPr>
        <w:pStyle w:val="Textoindependiente"/>
        <w:rPr>
          <w:rFonts w:ascii="Arial" w:hAnsi="Arial" w:cs="Arial"/>
          <w:i w:val="0"/>
          <w:szCs w:val="28"/>
        </w:rPr>
      </w:pPr>
      <w:r w:rsidRPr="00CC74EE">
        <w:rPr>
          <w:rFonts w:ascii="Arial" w:hAnsi="Arial" w:cs="Arial"/>
          <w:i w:val="0"/>
          <w:szCs w:val="28"/>
        </w:rPr>
        <w:tab/>
      </w:r>
      <w:r w:rsidRPr="00CC74EE">
        <w:rPr>
          <w:rFonts w:ascii="Arial" w:hAnsi="Arial" w:cs="Arial"/>
          <w:i w:val="0"/>
          <w:szCs w:val="28"/>
        </w:rPr>
        <w:tab/>
      </w:r>
      <w:r w:rsidRPr="00CC74EE">
        <w:rPr>
          <w:rFonts w:ascii="Arial" w:hAnsi="Arial" w:cs="Arial"/>
          <w:b/>
          <w:bCs/>
          <w:i w:val="0"/>
          <w:szCs w:val="28"/>
        </w:rPr>
        <w:t>“A</w:t>
      </w:r>
      <w:r w:rsidRPr="00CC74EE">
        <w:rPr>
          <w:rFonts w:ascii="Arial" w:hAnsi="Arial" w:cs="Arial"/>
          <w:b/>
          <w:bCs/>
          <w:i w:val="0"/>
          <w:iCs w:val="0"/>
          <w:szCs w:val="28"/>
        </w:rPr>
        <w:t>rtículo 971.</w:t>
      </w:r>
      <w:r w:rsidRPr="00CC74EE">
        <w:rPr>
          <w:rFonts w:ascii="Arial" w:hAnsi="Arial" w:cs="Arial"/>
          <w:i w:val="0"/>
          <w:iCs w:val="0"/>
          <w:szCs w:val="28"/>
        </w:rPr>
        <w:t xml:space="preserve">- </w:t>
      </w:r>
      <w:r w:rsidRPr="00CC74EE">
        <w:rPr>
          <w:rFonts w:ascii="Arial" w:hAnsi="Arial" w:cs="Arial"/>
          <w:i w:val="0"/>
          <w:szCs w:val="28"/>
        </w:rPr>
        <w:t xml:space="preserve">El recurso de queja procederá: </w:t>
      </w:r>
      <w:r w:rsidRPr="00CC74EE">
        <w:rPr>
          <w:rFonts w:ascii="Arial" w:hAnsi="Arial" w:cs="Arial"/>
          <w:b/>
          <w:bCs/>
          <w:i w:val="0"/>
          <w:szCs w:val="28"/>
        </w:rPr>
        <w:t>III.-</w:t>
      </w:r>
      <w:r w:rsidRPr="00CC74EE">
        <w:rPr>
          <w:rFonts w:ascii="Arial" w:hAnsi="Arial" w:cs="Arial"/>
          <w:i w:val="0"/>
          <w:szCs w:val="28"/>
        </w:rPr>
        <w:t xml:space="preserve"> Contra la resolución que niegue admitir una apelación.</w:t>
      </w:r>
      <w:r w:rsidRPr="00CC74EE">
        <w:rPr>
          <w:rFonts w:ascii="Arial" w:hAnsi="Arial" w:cs="Arial"/>
          <w:b/>
          <w:bCs/>
          <w:i w:val="0"/>
          <w:szCs w:val="28"/>
        </w:rPr>
        <w:t>”</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 xml:space="preserve">Lo anterior, en virtud de que el auto recurrido en queja, dictado </w:t>
      </w:r>
      <w:r w:rsidRPr="00CC74EE">
        <w:rPr>
          <w:rFonts w:ascii="Arial" w:hAnsi="Arial" w:cs="Arial"/>
          <w:bCs/>
          <w:sz w:val="28"/>
          <w:szCs w:val="28"/>
        </w:rPr>
        <w:t>el 28 veintiocho de agosto de 2020 dos mil veinte</w:t>
      </w:r>
      <w:r w:rsidRPr="00CC74EE">
        <w:rPr>
          <w:rFonts w:ascii="Arial" w:hAnsi="Arial" w:cs="Arial"/>
          <w:sz w:val="28"/>
          <w:szCs w:val="28"/>
        </w:rPr>
        <w:t xml:space="preserve">, </w:t>
      </w:r>
      <w:r w:rsidRPr="00CC74EE">
        <w:rPr>
          <w:rFonts w:ascii="Arial" w:hAnsi="Arial" w:cs="Arial"/>
          <w:bCs/>
          <w:sz w:val="28"/>
          <w:szCs w:val="28"/>
        </w:rPr>
        <w:t xml:space="preserve">negó al quejoso la admisión de un recurso de apelación interpuesto en contra de la sentencia definitiva dictada </w:t>
      </w:r>
      <w:r w:rsidRPr="00CC74EE">
        <w:rPr>
          <w:rFonts w:ascii="Arial" w:hAnsi="Arial" w:cs="Arial"/>
          <w:sz w:val="28"/>
          <w:szCs w:val="28"/>
        </w:rPr>
        <w:t xml:space="preserve">dentro del expediente número </w:t>
      </w:r>
      <w:r w:rsidRPr="00CC74EE">
        <w:rPr>
          <w:rFonts w:ascii="Arial" w:hAnsi="Arial" w:cs="Arial"/>
          <w:b/>
          <w:bCs/>
          <w:sz w:val="28"/>
          <w:szCs w:val="28"/>
        </w:rPr>
        <w:t>1404/2018</w:t>
      </w:r>
      <w:r w:rsidRPr="00CC74EE">
        <w:rPr>
          <w:rFonts w:ascii="Arial" w:hAnsi="Arial" w:cs="Arial"/>
          <w:b/>
          <w:sz w:val="28"/>
          <w:szCs w:val="28"/>
        </w:rPr>
        <w:t xml:space="preserve">, </w:t>
      </w:r>
      <w:r w:rsidRPr="00CC74EE">
        <w:rPr>
          <w:rFonts w:ascii="Arial" w:hAnsi="Arial" w:cs="Arial"/>
          <w:sz w:val="28"/>
          <w:szCs w:val="28"/>
        </w:rPr>
        <w:t>relativo a un juicio extraordinario civil por rescisión de contrato de arrendamiento, promovido por</w:t>
      </w:r>
      <w:r w:rsidRPr="00CC74EE">
        <w:rPr>
          <w:rFonts w:ascii="Arial" w:hAnsi="Arial" w:cs="Arial"/>
          <w:b/>
          <w:sz w:val="28"/>
          <w:szCs w:val="28"/>
        </w:rPr>
        <w:t xml:space="preserve"> </w:t>
      </w:r>
      <w:r w:rsidR="002153B3">
        <w:rPr>
          <w:rFonts w:ascii="Arial" w:hAnsi="Arial" w:cs="Arial"/>
          <w:b/>
          <w:i/>
          <w:sz w:val="28"/>
          <w:szCs w:val="28"/>
        </w:rPr>
        <w:t>ELIMINADO</w:t>
      </w:r>
      <w:r w:rsidRPr="00CC74EE">
        <w:rPr>
          <w:rFonts w:ascii="Arial" w:hAnsi="Arial" w:cs="Arial"/>
          <w:b/>
          <w:sz w:val="28"/>
          <w:szCs w:val="28"/>
        </w:rPr>
        <w:t xml:space="preserve">, </w:t>
      </w:r>
      <w:r w:rsidRPr="00CC74EE">
        <w:rPr>
          <w:rFonts w:ascii="Arial" w:hAnsi="Arial" w:cs="Arial"/>
          <w:sz w:val="28"/>
          <w:szCs w:val="28"/>
        </w:rPr>
        <w:t>en contra del quejoso, bajo el argumento de que el recurrente no señaló las constancias que deberían de integrar el testimonio de apelación.</w:t>
      </w:r>
    </w:p>
    <w:p w:rsidR="00913F1E" w:rsidRPr="00CC74EE" w:rsidRDefault="00913F1E" w:rsidP="00913F1E">
      <w:pPr>
        <w:spacing w:line="480" w:lineRule="auto"/>
        <w:jc w:val="both"/>
        <w:rPr>
          <w:rFonts w:ascii="Arial" w:hAnsi="Arial" w:cs="Arial"/>
          <w:sz w:val="28"/>
          <w:szCs w:val="28"/>
        </w:rPr>
      </w:pPr>
      <w:r w:rsidRPr="00CC74EE">
        <w:rPr>
          <w:rFonts w:ascii="Arial" w:hAnsi="Arial" w:cs="Arial"/>
          <w:b/>
          <w:bCs/>
          <w:sz w:val="28"/>
          <w:szCs w:val="28"/>
        </w:rPr>
        <w:tab/>
      </w:r>
      <w:r w:rsidRPr="00CC74EE">
        <w:rPr>
          <w:rFonts w:ascii="Arial" w:hAnsi="Arial" w:cs="Arial"/>
          <w:b/>
          <w:bCs/>
          <w:sz w:val="28"/>
          <w:szCs w:val="28"/>
        </w:rPr>
        <w:tab/>
        <w:t>OCTAVO:</w:t>
      </w:r>
      <w:r w:rsidRPr="00CC74EE">
        <w:rPr>
          <w:rFonts w:ascii="Arial" w:hAnsi="Arial" w:cs="Arial"/>
          <w:bCs/>
          <w:sz w:val="28"/>
          <w:szCs w:val="28"/>
        </w:rPr>
        <w:t xml:space="preserve"> Es</w:t>
      </w:r>
      <w:r w:rsidRPr="00CC74EE">
        <w:rPr>
          <w:rFonts w:ascii="Arial" w:hAnsi="Arial" w:cs="Arial"/>
          <w:sz w:val="28"/>
          <w:szCs w:val="28"/>
        </w:rPr>
        <w:t xml:space="preserve"> fundado el primero de los agravios propuestos por </w:t>
      </w:r>
      <w:r w:rsidR="002153B3">
        <w:rPr>
          <w:rFonts w:ascii="Arial" w:hAnsi="Arial" w:cs="Arial"/>
          <w:b/>
          <w:i/>
          <w:sz w:val="28"/>
          <w:szCs w:val="28"/>
        </w:rPr>
        <w:t>ELIMINADO</w:t>
      </w:r>
      <w:r w:rsidR="007164C3">
        <w:rPr>
          <w:rFonts w:ascii="Arial" w:hAnsi="Arial" w:cs="Arial"/>
          <w:b/>
          <w:i/>
          <w:sz w:val="28"/>
          <w:szCs w:val="28"/>
        </w:rPr>
        <w:t xml:space="preserve"> </w:t>
      </w:r>
      <w:r w:rsidRPr="00CC74EE">
        <w:rPr>
          <w:rFonts w:ascii="Arial" w:hAnsi="Arial" w:cs="Arial"/>
          <w:sz w:val="28"/>
          <w:szCs w:val="28"/>
        </w:rPr>
        <w:t>y ante ello procedente por estar fundado en derecho el recurso de queja interpuesto.</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 xml:space="preserve">Previo a exponer las razones que sustentan la determinación anterior, y a efecto de fijar la </w:t>
      </w:r>
      <w:proofErr w:type="spellStart"/>
      <w:r w:rsidRPr="00CC74EE">
        <w:rPr>
          <w:rFonts w:ascii="Arial" w:hAnsi="Arial" w:cs="Arial"/>
          <w:sz w:val="28"/>
          <w:szCs w:val="28"/>
        </w:rPr>
        <w:t>litis</w:t>
      </w:r>
      <w:proofErr w:type="spellEnd"/>
      <w:r w:rsidRPr="00CC74EE">
        <w:rPr>
          <w:rFonts w:ascii="Arial" w:hAnsi="Arial" w:cs="Arial"/>
          <w:sz w:val="28"/>
          <w:szCs w:val="28"/>
        </w:rPr>
        <w:t xml:space="preserve"> de este recurso, es pertinente plasmar los antecedentes del caso que se coligen de las copias certificadas del expediente número </w:t>
      </w:r>
      <w:r w:rsidRPr="00CC74EE">
        <w:rPr>
          <w:rFonts w:ascii="Arial" w:hAnsi="Arial" w:cs="Arial"/>
          <w:b/>
          <w:sz w:val="28"/>
          <w:szCs w:val="28"/>
        </w:rPr>
        <w:t>1404/2018</w:t>
      </w:r>
      <w:r w:rsidRPr="00CC74EE">
        <w:rPr>
          <w:rFonts w:ascii="Arial" w:hAnsi="Arial" w:cs="Arial"/>
          <w:sz w:val="28"/>
          <w:szCs w:val="28"/>
        </w:rPr>
        <w:t xml:space="preserve"> relativas al juicio extraordinario civil por rescisión de contrato de arrendamiento, promovido por </w:t>
      </w:r>
      <w:r w:rsidR="002153B3">
        <w:rPr>
          <w:rFonts w:ascii="Arial" w:hAnsi="Arial" w:cs="Arial"/>
          <w:b/>
          <w:i/>
          <w:sz w:val="28"/>
          <w:szCs w:val="28"/>
        </w:rPr>
        <w:t>ELIMINADO</w:t>
      </w:r>
      <w:r w:rsidRPr="00CC74EE">
        <w:rPr>
          <w:rFonts w:ascii="Arial" w:hAnsi="Arial" w:cs="Arial"/>
          <w:b/>
          <w:sz w:val="28"/>
          <w:szCs w:val="28"/>
        </w:rPr>
        <w:t xml:space="preserve">, </w:t>
      </w:r>
      <w:r w:rsidRPr="00CC74EE">
        <w:rPr>
          <w:rFonts w:ascii="Arial" w:hAnsi="Arial" w:cs="Arial"/>
          <w:sz w:val="28"/>
          <w:szCs w:val="28"/>
        </w:rPr>
        <w:t xml:space="preserve">en contra del quejoso, remitidas por el </w:t>
      </w:r>
      <w:r w:rsidRPr="00CC74EE">
        <w:rPr>
          <w:rFonts w:ascii="Arial" w:hAnsi="Arial" w:cs="Arial"/>
          <w:bCs/>
          <w:sz w:val="28"/>
          <w:szCs w:val="28"/>
        </w:rPr>
        <w:t xml:space="preserve">Juez Segundo Civil </w:t>
      </w:r>
      <w:r w:rsidRPr="00CC74EE">
        <w:rPr>
          <w:rFonts w:ascii="Arial" w:hAnsi="Arial" w:cs="Arial"/>
          <w:sz w:val="28"/>
          <w:szCs w:val="28"/>
        </w:rPr>
        <w:t>con su informe que asumen valor pleno en términos de los artículos 323 fracción II y 388 del Código Procesal Civil, y que son los siguientes:</w:t>
      </w:r>
    </w:p>
    <w:p w:rsidR="00913F1E" w:rsidRPr="00CC74EE" w:rsidRDefault="00913F1E" w:rsidP="00913F1E">
      <w:pPr>
        <w:spacing w:line="480" w:lineRule="auto"/>
        <w:jc w:val="both"/>
        <w:rPr>
          <w:sz w:val="28"/>
          <w:szCs w:val="28"/>
        </w:rPr>
      </w:pPr>
      <w:r w:rsidRPr="00CC74EE">
        <w:rPr>
          <w:sz w:val="28"/>
          <w:szCs w:val="28"/>
        </w:rPr>
        <w:lastRenderedPageBreak/>
        <w:tab/>
      </w:r>
      <w:r w:rsidRPr="00CC74EE">
        <w:rPr>
          <w:sz w:val="28"/>
          <w:szCs w:val="28"/>
        </w:rPr>
        <w:tab/>
      </w:r>
      <w:r w:rsidRPr="00CC74EE">
        <w:rPr>
          <w:b/>
          <w:sz w:val="28"/>
          <w:szCs w:val="28"/>
        </w:rPr>
        <w:t>1.</w:t>
      </w:r>
      <w:r w:rsidRPr="00CC74EE">
        <w:rPr>
          <w:sz w:val="28"/>
          <w:szCs w:val="28"/>
        </w:rPr>
        <w:t xml:space="preserve"> Con escrito presentado el 8 ocho de octubre de 2018, ante la Oficialía Común de partes, compareció </w:t>
      </w:r>
      <w:r w:rsidR="002153B3">
        <w:rPr>
          <w:b/>
          <w:i/>
          <w:sz w:val="28"/>
          <w:szCs w:val="28"/>
        </w:rPr>
        <w:t>ELIMINADO</w:t>
      </w:r>
      <w:r w:rsidRPr="00CC74EE">
        <w:rPr>
          <w:b/>
          <w:sz w:val="28"/>
          <w:szCs w:val="28"/>
        </w:rPr>
        <w:t xml:space="preserve">, </w:t>
      </w:r>
      <w:r w:rsidRPr="00CC74EE">
        <w:rPr>
          <w:sz w:val="28"/>
          <w:szCs w:val="28"/>
        </w:rPr>
        <w:t xml:space="preserve">en vía extraordinaria civil a demandar de </w:t>
      </w:r>
      <w:r w:rsidR="002153B3">
        <w:rPr>
          <w:b/>
          <w:i/>
          <w:sz w:val="28"/>
          <w:szCs w:val="28"/>
        </w:rPr>
        <w:t>ELIMINADO</w:t>
      </w:r>
      <w:r w:rsidRPr="00CC74EE">
        <w:rPr>
          <w:sz w:val="28"/>
          <w:szCs w:val="28"/>
        </w:rPr>
        <w:t>, la rescisión del contrato de arrendamiento que en su carácter de arrendadora celebró con el demandado respecto del inmueble ubicado en Rutilo Torres número 455 interior “D” fraccionamiento Central, de esta Ciudad, por la falta de pago de rentas, e incumplimiento de la obligación de contratar un seguro contra incendio, reclamando además el pago de rentas vencidas, intereses ordinarios, la desocupación y entrega material y jurídica del inmueble arrendado, y costas y gastos del juicio.</w:t>
      </w:r>
    </w:p>
    <w:p w:rsidR="00913F1E" w:rsidRPr="00CC74EE" w:rsidRDefault="00913F1E" w:rsidP="00913F1E">
      <w:pPr>
        <w:spacing w:line="480" w:lineRule="auto"/>
        <w:jc w:val="both"/>
        <w:rPr>
          <w:sz w:val="28"/>
          <w:szCs w:val="28"/>
        </w:rPr>
      </w:pPr>
      <w:r w:rsidRPr="00CC74EE">
        <w:rPr>
          <w:sz w:val="28"/>
          <w:szCs w:val="28"/>
        </w:rPr>
        <w:tab/>
      </w:r>
      <w:r w:rsidRPr="00CC74EE">
        <w:rPr>
          <w:sz w:val="28"/>
          <w:szCs w:val="28"/>
        </w:rPr>
        <w:tab/>
      </w:r>
      <w:r w:rsidRPr="00CC74EE">
        <w:rPr>
          <w:b/>
          <w:sz w:val="28"/>
          <w:szCs w:val="28"/>
        </w:rPr>
        <w:t xml:space="preserve">2. </w:t>
      </w:r>
      <w:r w:rsidRPr="00CC74EE">
        <w:rPr>
          <w:sz w:val="28"/>
          <w:szCs w:val="28"/>
        </w:rPr>
        <w:t xml:space="preserve">Mediante proveído de 17 diecisiete de octubre de esa anualidad, el Juez Segundo Civil, a quien por turno correspondió conocer de la demanda, radicó la demanda, y ordenó emplazar al demandado a juicio bajo apercibimiento legal, previos requerimientos y prevenciones de ley, y por auto de 20 veinte de septiembre de 2019 dos mil diecinueve, ante la manifestación del actor de que el inmueble materia de la </w:t>
      </w:r>
      <w:proofErr w:type="spellStart"/>
      <w:r w:rsidRPr="00CC74EE">
        <w:rPr>
          <w:sz w:val="28"/>
          <w:szCs w:val="28"/>
        </w:rPr>
        <w:t>litis</w:t>
      </w:r>
      <w:proofErr w:type="spellEnd"/>
      <w:r w:rsidRPr="00CC74EE">
        <w:rPr>
          <w:sz w:val="28"/>
          <w:szCs w:val="28"/>
        </w:rPr>
        <w:t xml:space="preserve"> estaba desocupado, el A quo ordenó al Actuario que asociado de la actora verificara ello y de ser así la pusiera en inmediata posesión material y jurídica del mismo, diligencia que tuvo lugar el 23 veintitrés de octubre de esa anualidad, y en la cual, se puso a la actora en posesión del mismo al encontrarse desocupado.</w:t>
      </w:r>
    </w:p>
    <w:p w:rsidR="00913F1E" w:rsidRPr="00CC74EE" w:rsidRDefault="00913F1E" w:rsidP="00913F1E">
      <w:pPr>
        <w:spacing w:line="480" w:lineRule="auto"/>
        <w:jc w:val="both"/>
        <w:rPr>
          <w:sz w:val="28"/>
          <w:szCs w:val="28"/>
        </w:rPr>
      </w:pPr>
      <w:r w:rsidRPr="00CC74EE">
        <w:rPr>
          <w:sz w:val="28"/>
          <w:szCs w:val="28"/>
        </w:rPr>
        <w:tab/>
      </w:r>
      <w:r w:rsidRPr="00CC74EE">
        <w:rPr>
          <w:sz w:val="28"/>
          <w:szCs w:val="28"/>
        </w:rPr>
        <w:tab/>
      </w:r>
      <w:r w:rsidRPr="00CC74EE">
        <w:rPr>
          <w:b/>
          <w:sz w:val="28"/>
          <w:szCs w:val="28"/>
        </w:rPr>
        <w:t xml:space="preserve">3. </w:t>
      </w:r>
      <w:r w:rsidRPr="00CC74EE">
        <w:rPr>
          <w:sz w:val="28"/>
          <w:szCs w:val="28"/>
        </w:rPr>
        <w:t xml:space="preserve">Con fecha 21 de enero de 2020 dos mil veinte, se emplazó a juicio al demandado, y por auto de 28 veintiocho del mismo mes y año, se le tuvo por contestando la demanda y se mandó abrir el juicio a prueba, seguido el juicio por sus etapas correspondiente, con fecha 5 cinco de </w:t>
      </w:r>
      <w:r w:rsidRPr="00CC74EE">
        <w:rPr>
          <w:sz w:val="28"/>
          <w:szCs w:val="28"/>
        </w:rPr>
        <w:lastRenderedPageBreak/>
        <w:t>agosto del mismo año, se dictó resolución bajo los siguientes puntos resolutivos:</w:t>
      </w:r>
    </w:p>
    <w:p w:rsidR="00913F1E" w:rsidRPr="00CC74EE" w:rsidRDefault="00913F1E" w:rsidP="00913F1E">
      <w:pPr>
        <w:spacing w:line="480" w:lineRule="auto"/>
        <w:ind w:left="708" w:firstLine="702"/>
        <w:jc w:val="both"/>
        <w:rPr>
          <w:sz w:val="28"/>
          <w:szCs w:val="28"/>
        </w:rPr>
      </w:pPr>
      <w:r w:rsidRPr="00CC74EE">
        <w:rPr>
          <w:b/>
          <w:sz w:val="28"/>
          <w:szCs w:val="28"/>
        </w:rPr>
        <w:t>PRIMERO:</w:t>
      </w:r>
      <w:r w:rsidRPr="00CC74EE">
        <w:rPr>
          <w:sz w:val="28"/>
          <w:szCs w:val="28"/>
        </w:rPr>
        <w:t xml:space="preserve"> Este Juzgado fue competente para conocer del presente juicio.</w:t>
      </w:r>
    </w:p>
    <w:p w:rsidR="00913F1E" w:rsidRPr="00CC74EE" w:rsidRDefault="00913F1E" w:rsidP="00913F1E">
      <w:pPr>
        <w:spacing w:line="480" w:lineRule="auto"/>
        <w:ind w:left="708" w:firstLine="702"/>
        <w:jc w:val="both"/>
        <w:rPr>
          <w:sz w:val="28"/>
          <w:szCs w:val="28"/>
        </w:rPr>
      </w:pPr>
      <w:r w:rsidRPr="00CC74EE">
        <w:rPr>
          <w:b/>
          <w:sz w:val="28"/>
          <w:szCs w:val="28"/>
        </w:rPr>
        <w:t>SEGUNDO:</w:t>
      </w:r>
      <w:r w:rsidRPr="00CC74EE">
        <w:rPr>
          <w:sz w:val="28"/>
          <w:szCs w:val="28"/>
        </w:rPr>
        <w:t xml:space="preserve"> La vía Extraordinaria Civil seguida por la parte actora resultó procedente.</w:t>
      </w:r>
    </w:p>
    <w:p w:rsidR="00913F1E" w:rsidRPr="00CC74EE" w:rsidRDefault="00913F1E" w:rsidP="00913F1E">
      <w:pPr>
        <w:spacing w:line="480" w:lineRule="auto"/>
        <w:ind w:left="708" w:firstLine="702"/>
        <w:jc w:val="both"/>
        <w:rPr>
          <w:sz w:val="28"/>
          <w:szCs w:val="28"/>
        </w:rPr>
      </w:pPr>
      <w:r w:rsidRPr="00CC74EE">
        <w:rPr>
          <w:b/>
          <w:sz w:val="28"/>
          <w:szCs w:val="28"/>
        </w:rPr>
        <w:t>TERCERO:</w:t>
      </w:r>
      <w:r w:rsidRPr="00CC74EE">
        <w:rPr>
          <w:sz w:val="28"/>
          <w:szCs w:val="28"/>
        </w:rPr>
        <w:t xml:space="preserve"> La actora </w:t>
      </w:r>
      <w:r w:rsidR="002153B3">
        <w:rPr>
          <w:b/>
          <w:i/>
          <w:sz w:val="28"/>
          <w:szCs w:val="28"/>
        </w:rPr>
        <w:t>ELIMINADO</w:t>
      </w:r>
      <w:r w:rsidRPr="00CC74EE">
        <w:rPr>
          <w:sz w:val="28"/>
          <w:szCs w:val="28"/>
        </w:rPr>
        <w:t xml:space="preserve"> acreditó los elementos constitutivos de su acción, y el demandado </w:t>
      </w:r>
      <w:r w:rsidR="002153B3">
        <w:rPr>
          <w:b/>
          <w:i/>
          <w:sz w:val="28"/>
          <w:szCs w:val="28"/>
        </w:rPr>
        <w:t>ELIMINADO</w:t>
      </w:r>
      <w:r w:rsidRPr="00CC74EE">
        <w:rPr>
          <w:sz w:val="28"/>
          <w:szCs w:val="28"/>
        </w:rPr>
        <w:t xml:space="preserve">, probó parcialmente su excepción de pago, esto es, probó que pagó en </w:t>
      </w:r>
      <w:bookmarkStart w:id="0" w:name="_GoBack"/>
      <w:bookmarkEnd w:id="0"/>
      <w:r w:rsidRPr="00CC74EE">
        <w:rPr>
          <w:sz w:val="28"/>
          <w:szCs w:val="28"/>
        </w:rPr>
        <w:t>forma extemporánea las rentas de los meses de mayo a septiembre del dos mil dieciocho, y no probó sus demás excepciones y defensas.</w:t>
      </w:r>
    </w:p>
    <w:p w:rsidR="00913F1E" w:rsidRPr="00CC74EE" w:rsidRDefault="00913F1E" w:rsidP="00913F1E">
      <w:pPr>
        <w:spacing w:line="480" w:lineRule="auto"/>
        <w:ind w:left="708" w:firstLine="702"/>
        <w:jc w:val="both"/>
        <w:rPr>
          <w:sz w:val="28"/>
          <w:szCs w:val="28"/>
        </w:rPr>
      </w:pPr>
      <w:r w:rsidRPr="00CC74EE">
        <w:rPr>
          <w:b/>
          <w:sz w:val="28"/>
          <w:szCs w:val="28"/>
        </w:rPr>
        <w:t>CUARTO:</w:t>
      </w:r>
      <w:r w:rsidRPr="00CC74EE">
        <w:rPr>
          <w:sz w:val="28"/>
          <w:szCs w:val="28"/>
        </w:rPr>
        <w:t xml:space="preserve"> Se declara rescindido el contrato de arrendamiento celebrado entre las partes el día treinta de octubre del dos mil diecisiete, respecto del inmueble consistente en el local comercial ubicado en la calle </w:t>
      </w:r>
      <w:r w:rsidR="002153B3">
        <w:rPr>
          <w:i/>
          <w:sz w:val="28"/>
          <w:szCs w:val="28"/>
        </w:rPr>
        <w:t>ELIMINADO</w:t>
      </w:r>
      <w:r w:rsidRPr="00CC74EE">
        <w:rPr>
          <w:sz w:val="28"/>
          <w:szCs w:val="28"/>
        </w:rPr>
        <w:t xml:space="preserve"> de esta ciudad de San Luis Potosí.</w:t>
      </w:r>
    </w:p>
    <w:p w:rsidR="00913F1E" w:rsidRPr="00CC74EE" w:rsidRDefault="00913F1E" w:rsidP="00913F1E">
      <w:pPr>
        <w:spacing w:line="480" w:lineRule="auto"/>
        <w:ind w:left="708" w:firstLine="702"/>
        <w:jc w:val="both"/>
        <w:rPr>
          <w:sz w:val="28"/>
          <w:szCs w:val="28"/>
          <w:u w:val="single"/>
        </w:rPr>
      </w:pPr>
      <w:r w:rsidRPr="00CC74EE">
        <w:rPr>
          <w:b/>
          <w:sz w:val="28"/>
          <w:szCs w:val="28"/>
        </w:rPr>
        <w:t>QUINTO:</w:t>
      </w:r>
      <w:r w:rsidRPr="00CC74EE">
        <w:rPr>
          <w:sz w:val="28"/>
          <w:szCs w:val="28"/>
        </w:rPr>
        <w:t xml:space="preserve"> En virtud de que mediante actuación de fecha veintiséis de octubre del dos mil diecinueve, se dio fe que el inmueble arrendado se encontraba desocupado, se dio posesión material y jurídica del mismo a la actora, </w:t>
      </w:r>
      <w:r w:rsidRPr="00CC74EE">
        <w:rPr>
          <w:sz w:val="28"/>
          <w:szCs w:val="28"/>
          <w:u w:val="single"/>
        </w:rPr>
        <w:t>en consecuencia, no se decreta la desocupación y entregas del bien material del contrato.</w:t>
      </w:r>
    </w:p>
    <w:p w:rsidR="00913F1E" w:rsidRPr="00CC74EE" w:rsidRDefault="00913F1E" w:rsidP="00913F1E">
      <w:pPr>
        <w:spacing w:line="480" w:lineRule="auto"/>
        <w:ind w:left="708" w:firstLine="702"/>
        <w:jc w:val="both"/>
        <w:rPr>
          <w:sz w:val="28"/>
          <w:szCs w:val="28"/>
        </w:rPr>
      </w:pPr>
      <w:r w:rsidRPr="00CC74EE">
        <w:rPr>
          <w:b/>
          <w:sz w:val="28"/>
          <w:szCs w:val="28"/>
        </w:rPr>
        <w:t>SEXTO:</w:t>
      </w:r>
      <w:r w:rsidRPr="00CC74EE">
        <w:rPr>
          <w:sz w:val="28"/>
          <w:szCs w:val="28"/>
        </w:rPr>
        <w:t xml:space="preserve"> Se condena al demandado a pagar a la parte actora la cantidad que resulte por concepto de las pensiones </w:t>
      </w:r>
      <w:proofErr w:type="spellStart"/>
      <w:r w:rsidRPr="00CC74EE">
        <w:rPr>
          <w:sz w:val="28"/>
          <w:szCs w:val="28"/>
        </w:rPr>
        <w:t>rentisticas</w:t>
      </w:r>
      <w:proofErr w:type="spellEnd"/>
      <w:r w:rsidRPr="00CC74EE">
        <w:rPr>
          <w:sz w:val="28"/>
          <w:szCs w:val="28"/>
        </w:rPr>
        <w:t xml:space="preserve"> adeudadas correspondientes a los meses de octubre del dos mil </w:t>
      </w:r>
      <w:r w:rsidRPr="00CC74EE">
        <w:rPr>
          <w:sz w:val="28"/>
          <w:szCs w:val="28"/>
        </w:rPr>
        <w:lastRenderedPageBreak/>
        <w:t>dieciocho al mes de octubre del dos mil diecinueve, mes en que se tuvo en posesión material y jurídica a la actora del inmueble arrendado, lo anterior a razón de $12,000.00 (DOCE MIL PESOS 00/100 M.N), mensuales, previa regulación conforme a Derecho.</w:t>
      </w:r>
    </w:p>
    <w:p w:rsidR="00913F1E" w:rsidRPr="00CC74EE" w:rsidRDefault="00913F1E" w:rsidP="00913F1E">
      <w:pPr>
        <w:spacing w:line="480" w:lineRule="auto"/>
        <w:ind w:left="708" w:firstLine="702"/>
        <w:jc w:val="both"/>
        <w:rPr>
          <w:sz w:val="28"/>
          <w:szCs w:val="28"/>
        </w:rPr>
      </w:pPr>
      <w:r w:rsidRPr="00CC74EE">
        <w:rPr>
          <w:b/>
          <w:sz w:val="28"/>
          <w:szCs w:val="28"/>
        </w:rPr>
        <w:t>SÉPTIMO:</w:t>
      </w:r>
      <w:r w:rsidRPr="00CC74EE">
        <w:rPr>
          <w:sz w:val="28"/>
          <w:szCs w:val="28"/>
        </w:rPr>
        <w:t xml:space="preserve"> Se condena al demandado a pagar a la actora los intereses generados mensualmente al tipo legal del 9% nueve por ciento anual con fundamentos en el artículo 2224 del Código Civil, generado desde el momento en que se incumplió la obligación de pago, esto es, desde el mes de octubre del dos mil dieciocho hasta la total solución del presente caso, los cuales se cuantifica en ejecución de sentencia.</w:t>
      </w:r>
    </w:p>
    <w:p w:rsidR="00913F1E" w:rsidRPr="00CC74EE" w:rsidRDefault="00913F1E" w:rsidP="00913F1E">
      <w:pPr>
        <w:spacing w:line="480" w:lineRule="auto"/>
        <w:ind w:left="708" w:firstLine="702"/>
        <w:jc w:val="both"/>
        <w:rPr>
          <w:sz w:val="28"/>
          <w:szCs w:val="28"/>
        </w:rPr>
      </w:pPr>
      <w:r w:rsidRPr="00CC74EE">
        <w:rPr>
          <w:b/>
          <w:sz w:val="28"/>
          <w:szCs w:val="28"/>
        </w:rPr>
        <w:t>OCTAVO:</w:t>
      </w:r>
      <w:r w:rsidRPr="00CC74EE">
        <w:rPr>
          <w:sz w:val="28"/>
          <w:szCs w:val="28"/>
        </w:rPr>
        <w:t xml:space="preserve"> Se absuelve al demandado de la comprobación de encontrarse al corriente al pago de los servicios contratados en el inmueble objeto del arrendamiento (energía eléctrica, agua potable, teléfono, televisión por cable, internet, gas, alarma, etc.), que reclama la actora en el inciso VII) de Prestaciones de su demanda, por la razón asentada en el considerando respectivo.</w:t>
      </w:r>
    </w:p>
    <w:p w:rsidR="00913F1E" w:rsidRPr="00CC74EE" w:rsidRDefault="00913F1E" w:rsidP="00913F1E">
      <w:pPr>
        <w:spacing w:line="480" w:lineRule="auto"/>
        <w:ind w:left="708" w:firstLine="702"/>
        <w:jc w:val="both"/>
        <w:rPr>
          <w:sz w:val="28"/>
          <w:szCs w:val="28"/>
        </w:rPr>
      </w:pPr>
      <w:r w:rsidRPr="00CC74EE">
        <w:rPr>
          <w:b/>
          <w:sz w:val="28"/>
          <w:szCs w:val="28"/>
        </w:rPr>
        <w:t>NOVENO:</w:t>
      </w:r>
      <w:r w:rsidRPr="00CC74EE">
        <w:rPr>
          <w:sz w:val="28"/>
          <w:szCs w:val="28"/>
        </w:rPr>
        <w:t xml:space="preserve"> Se condena al demandado a pagar a la parte actora las costas del presente juicio, previa su regulación conforme a derecho.</w:t>
      </w:r>
    </w:p>
    <w:p w:rsidR="00913F1E" w:rsidRPr="00CC74EE" w:rsidRDefault="00913F1E" w:rsidP="00913F1E">
      <w:pPr>
        <w:spacing w:line="480" w:lineRule="auto"/>
        <w:jc w:val="both"/>
        <w:rPr>
          <w:b/>
          <w:sz w:val="28"/>
          <w:szCs w:val="28"/>
        </w:rPr>
      </w:pPr>
      <w:r w:rsidRPr="00CC74EE">
        <w:rPr>
          <w:sz w:val="28"/>
          <w:szCs w:val="28"/>
        </w:rPr>
        <w:tab/>
      </w:r>
      <w:r w:rsidRPr="00CC74EE">
        <w:rPr>
          <w:sz w:val="28"/>
          <w:szCs w:val="28"/>
        </w:rPr>
        <w:tab/>
      </w:r>
      <w:r w:rsidRPr="00CC74EE">
        <w:rPr>
          <w:b/>
          <w:sz w:val="28"/>
          <w:szCs w:val="28"/>
        </w:rPr>
        <w:t>DÉCIMO:</w:t>
      </w:r>
      <w:r w:rsidRPr="00CC74EE">
        <w:rPr>
          <w:sz w:val="28"/>
          <w:szCs w:val="28"/>
        </w:rPr>
        <w:t xml:space="preserve"> Notifíquese personalmente.</w:t>
      </w:r>
      <w:r w:rsidRPr="00CC74EE">
        <w:rPr>
          <w:b/>
          <w:sz w:val="28"/>
          <w:szCs w:val="28"/>
        </w:rPr>
        <w:t>”</w:t>
      </w:r>
    </w:p>
    <w:p w:rsidR="00913F1E" w:rsidRPr="00CC74EE" w:rsidRDefault="00913F1E" w:rsidP="00913F1E">
      <w:pPr>
        <w:spacing w:line="480" w:lineRule="auto"/>
        <w:jc w:val="both"/>
        <w:rPr>
          <w:sz w:val="28"/>
          <w:szCs w:val="28"/>
        </w:rPr>
      </w:pPr>
      <w:r w:rsidRPr="00CC74EE">
        <w:rPr>
          <w:sz w:val="28"/>
          <w:szCs w:val="28"/>
        </w:rPr>
        <w:tab/>
      </w:r>
      <w:r w:rsidRPr="00CC74EE">
        <w:rPr>
          <w:sz w:val="28"/>
          <w:szCs w:val="28"/>
        </w:rPr>
        <w:tab/>
      </w:r>
      <w:r w:rsidRPr="00CC74EE">
        <w:rPr>
          <w:b/>
          <w:sz w:val="28"/>
          <w:szCs w:val="28"/>
        </w:rPr>
        <w:t xml:space="preserve">4. </w:t>
      </w:r>
      <w:r w:rsidRPr="00CC74EE">
        <w:rPr>
          <w:sz w:val="28"/>
          <w:szCs w:val="28"/>
        </w:rPr>
        <w:t xml:space="preserve">Inconforme con la resolución de primera instancia, </w:t>
      </w:r>
      <w:r w:rsidR="002153B3">
        <w:rPr>
          <w:b/>
          <w:i/>
          <w:sz w:val="28"/>
          <w:szCs w:val="28"/>
        </w:rPr>
        <w:t>ELIMINADO</w:t>
      </w:r>
      <w:r w:rsidRPr="00CC74EE">
        <w:rPr>
          <w:sz w:val="28"/>
          <w:szCs w:val="28"/>
        </w:rPr>
        <w:t xml:space="preserve">, compareció con escrito presentado el 26 veintiséis de agosto de 2020 dos mil veinte, a interponer recurso de apelación y expresar agravios, el cual no le fue admitido según auto de 28 veintiocho </w:t>
      </w:r>
      <w:r w:rsidRPr="00CC74EE">
        <w:rPr>
          <w:sz w:val="28"/>
          <w:szCs w:val="28"/>
        </w:rPr>
        <w:lastRenderedPageBreak/>
        <w:t>de agosto pasado, bajo el argumento de que a</w:t>
      </w:r>
      <w:r w:rsidRPr="00CC74EE">
        <w:rPr>
          <w:iCs/>
          <w:sz w:val="28"/>
          <w:szCs w:val="28"/>
        </w:rPr>
        <w:t xml:space="preserve">l no señalar las constancias para integrar el testimonio de apelación, se declaraba inadmisible el recurso de apelación promovido contra la sentencia de fecha cinco de agosto del dos mil veinte, quedando firme la misma para los efectos legales a que haya lugar, </w:t>
      </w:r>
      <w:r w:rsidRPr="00CC74EE">
        <w:rPr>
          <w:sz w:val="28"/>
          <w:szCs w:val="28"/>
        </w:rPr>
        <w:t>esto e</w:t>
      </w:r>
      <w:r w:rsidRPr="00CC74EE">
        <w:rPr>
          <w:iCs/>
          <w:sz w:val="28"/>
          <w:szCs w:val="28"/>
        </w:rPr>
        <w:t>n atención a lo establecido por el artículo 940 del Código de Procedimientos Civiles, en su tercer y sexto párrafos, los que disponen que: “...Además, en el propio escrito de referencia se deberá señalar las constancias que deban remitirse al Superior para substanciar la alzada, a las cuales podrán adicionarse las que la parte contraria estime necesarias, y las que el juez considere conducentes. Asimismo, el apelante deberá señalar persona y domicilio para oír notificaciones en el lugar de residencia del tribunal... De no formularse los agravios, o no señalarse o exhibirse, en su caso, las referidas constancias por el recurrente, el juez tendrá por no interpuesta la apelación y declarará firme el auto o sentencia impugnados, sin ulterior recurso.”.</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 xml:space="preserve">Determinación está última que constituye la materia del presente recurso, siendo la </w:t>
      </w:r>
      <w:proofErr w:type="spellStart"/>
      <w:r w:rsidRPr="00CC74EE">
        <w:rPr>
          <w:rFonts w:ascii="Arial" w:hAnsi="Arial" w:cs="Arial"/>
          <w:sz w:val="28"/>
          <w:szCs w:val="28"/>
        </w:rPr>
        <w:t>litis</w:t>
      </w:r>
      <w:proofErr w:type="spellEnd"/>
      <w:r w:rsidRPr="00CC74EE">
        <w:rPr>
          <w:rFonts w:ascii="Arial" w:hAnsi="Arial" w:cs="Arial"/>
          <w:sz w:val="28"/>
          <w:szCs w:val="28"/>
        </w:rPr>
        <w:t xml:space="preserve"> en esta Alzada, determinar a la luz de los agravios esgrimidos, si fue correcta o incorrecta la determinación del Juzgador, inmersa en el auto de 28 veintiocho de agosto pasado, al negar la admisión del recurso de apelación interpuesto por el quejoso</w:t>
      </w:r>
      <w:r w:rsidR="007164C3">
        <w:rPr>
          <w:rFonts w:ascii="Arial" w:hAnsi="Arial" w:cs="Arial"/>
          <w:sz w:val="28"/>
          <w:szCs w:val="28"/>
        </w:rPr>
        <w:t xml:space="preserve"> </w:t>
      </w:r>
      <w:r w:rsidR="002153B3">
        <w:rPr>
          <w:rFonts w:ascii="Arial" w:hAnsi="Arial" w:cs="Arial"/>
          <w:b/>
          <w:i/>
          <w:sz w:val="28"/>
          <w:szCs w:val="28"/>
        </w:rPr>
        <w:t>ELIMINADO</w:t>
      </w:r>
      <w:r w:rsidR="007164C3">
        <w:rPr>
          <w:rFonts w:ascii="Arial" w:hAnsi="Arial" w:cs="Arial"/>
          <w:b/>
          <w:i/>
          <w:sz w:val="28"/>
          <w:szCs w:val="28"/>
        </w:rPr>
        <w:t xml:space="preserve">. </w:t>
      </w:r>
      <w:r w:rsidRPr="00CC74EE">
        <w:rPr>
          <w:rFonts w:ascii="Arial" w:hAnsi="Arial" w:cs="Arial"/>
          <w:sz w:val="28"/>
          <w:szCs w:val="28"/>
        </w:rPr>
        <w:t xml:space="preserve">En este contexto, como se adelantó es fundado el primer agravio propuesto, dado que del examen del escrito de queja y atendiendo al principio de mayor beneficio en favor del justiciable en el estudio de sus agravios, es cierto que el auto recurrido adolece de una debida fundamentación </w:t>
      </w:r>
      <w:r w:rsidRPr="00CC74EE">
        <w:rPr>
          <w:rFonts w:ascii="Arial" w:hAnsi="Arial" w:cs="Arial"/>
          <w:sz w:val="28"/>
          <w:szCs w:val="28"/>
        </w:rPr>
        <w:lastRenderedPageBreak/>
        <w:t xml:space="preserve">y motivación,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 </w:t>
      </w:r>
    </w:p>
    <w:p w:rsidR="00913F1E" w:rsidRPr="00CC74EE" w:rsidRDefault="00913F1E" w:rsidP="00913F1E">
      <w:pPr>
        <w:spacing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Lo anterior es así, en razón de que como lo aduce el quejoso, el artículo 945 del Código de Procedimientos Civiles del Estado determina en su primer párrafo que: “</w:t>
      </w:r>
      <w:r w:rsidRPr="00CC74EE">
        <w:rPr>
          <w:rFonts w:ascii="Arial" w:hAnsi="Arial" w:cs="Arial"/>
          <w:sz w:val="28"/>
          <w:szCs w:val="28"/>
          <w:u w:val="single"/>
        </w:rPr>
        <w:t xml:space="preserve">Las sentencias definitivas pronunciadas en negocios cuya suerte principal exceda de diez mil pesos, y en aquéllos en que el interés no sea susceptible de valorarse en dinero, serán apelables en </w:t>
      </w:r>
      <w:r w:rsidRPr="00CC74EE">
        <w:rPr>
          <w:rFonts w:ascii="Arial" w:hAnsi="Arial" w:cs="Arial"/>
          <w:b/>
          <w:sz w:val="28"/>
          <w:szCs w:val="28"/>
          <w:u w:val="single"/>
        </w:rPr>
        <w:t>ambos efectos</w:t>
      </w:r>
      <w:r w:rsidRPr="00CC74EE">
        <w:rPr>
          <w:rFonts w:ascii="Arial" w:hAnsi="Arial" w:cs="Arial"/>
          <w:sz w:val="28"/>
          <w:szCs w:val="28"/>
          <w:u w:val="single"/>
        </w:rPr>
        <w:t>, salvo los casos expresamente exceptuados”,</w:t>
      </w:r>
      <w:r w:rsidRPr="00CC74EE">
        <w:rPr>
          <w:rFonts w:ascii="Arial" w:hAnsi="Arial" w:cs="Arial"/>
          <w:sz w:val="28"/>
          <w:szCs w:val="28"/>
        </w:rPr>
        <w:t xml:space="preserve"> y en la especie, la sentencia impugnada de 5 cinco de agosto de 2020 dos mil veinte, concluyó en primera instancia el juicio extraordinario civil por rescisión de contrato de arrendamiento, y en términos de su resolutivo sexto supera la cuantía a que se refiere el artículo transcrito, y al no ordenar lanzamiento alguno como se colige de su resolutivo quinto, </w:t>
      </w:r>
      <w:r w:rsidRPr="00CC74EE">
        <w:rPr>
          <w:rFonts w:ascii="Arial" w:hAnsi="Arial" w:cs="Arial"/>
          <w:b/>
          <w:sz w:val="28"/>
          <w:szCs w:val="28"/>
        </w:rPr>
        <w:t>torna tal resolución apelable en ambos efectos,</w:t>
      </w:r>
      <w:r w:rsidRPr="00CC74EE">
        <w:rPr>
          <w:rFonts w:ascii="Arial" w:hAnsi="Arial" w:cs="Arial"/>
          <w:sz w:val="28"/>
          <w:szCs w:val="28"/>
        </w:rPr>
        <w:t xml:space="preserve"> lo que hace inaplicable el diverso artículo 455 del Código de Procedimientos Civiles del Estado,</w:t>
      </w:r>
      <w:r w:rsidRPr="00CC74EE">
        <w:rPr>
          <w:rStyle w:val="Refdenotaalpie"/>
          <w:rFonts w:ascii="Arial" w:hAnsi="Arial" w:cs="Arial"/>
          <w:sz w:val="28"/>
          <w:szCs w:val="28"/>
        </w:rPr>
        <w:footnoteReference w:id="1"/>
      </w:r>
      <w:r w:rsidRPr="00CC74EE">
        <w:rPr>
          <w:rFonts w:ascii="Arial" w:hAnsi="Arial" w:cs="Arial"/>
          <w:sz w:val="28"/>
          <w:szCs w:val="28"/>
        </w:rPr>
        <w:t xml:space="preserve"> en cuanto al efecto de la </w:t>
      </w:r>
      <w:r w:rsidRPr="00CC74EE">
        <w:rPr>
          <w:rFonts w:ascii="Arial" w:hAnsi="Arial" w:cs="Arial"/>
          <w:sz w:val="28"/>
          <w:szCs w:val="28"/>
        </w:rPr>
        <w:lastRenderedPageBreak/>
        <w:t>apelación, debiendo estarse a la regla general del artículo 945 del Código de Procedimientos Civiles del Estado, en su primer párrafo.</w:t>
      </w:r>
    </w:p>
    <w:p w:rsidR="00913F1E" w:rsidRPr="00CC74EE" w:rsidRDefault="00913F1E" w:rsidP="00913F1E">
      <w:pPr>
        <w:pStyle w:val="NormalWeb"/>
        <w:spacing w:after="240" w:afterAutospacing="0" w:line="480" w:lineRule="auto"/>
        <w:jc w:val="both"/>
        <w:rPr>
          <w:rFonts w:ascii="Arial" w:hAnsi="Arial" w:cs="Arial"/>
          <w:sz w:val="28"/>
          <w:szCs w:val="28"/>
          <w:lang w:val="es-ES_tradnl"/>
        </w:rPr>
      </w:pPr>
      <w:r w:rsidRPr="00CC74EE">
        <w:rPr>
          <w:rFonts w:ascii="Arial" w:hAnsi="Arial" w:cs="Arial"/>
          <w:sz w:val="28"/>
          <w:szCs w:val="28"/>
        </w:rPr>
        <w:tab/>
      </w:r>
      <w:r w:rsidRPr="00CC74EE">
        <w:rPr>
          <w:rFonts w:ascii="Arial" w:hAnsi="Arial" w:cs="Arial"/>
          <w:sz w:val="28"/>
          <w:szCs w:val="28"/>
        </w:rPr>
        <w:tab/>
        <w:t xml:space="preserve">En este orden, como lo refiere el inconforme en su disenso, y como se pronunció este Tribunal en autos de los tocas 154/2020 y 214/2020, resueltos en sesión de 25 veinticinco de febrero pasado, </w:t>
      </w:r>
      <w:r w:rsidR="00BB39D1">
        <w:rPr>
          <w:rFonts w:ascii="Arial" w:hAnsi="Arial" w:cs="Arial"/>
          <w:sz w:val="28"/>
          <w:szCs w:val="28"/>
        </w:rPr>
        <w:t xml:space="preserve">que motivó las tesis </w:t>
      </w:r>
      <w:r w:rsidR="00060F37">
        <w:rPr>
          <w:rFonts w:ascii="Arial" w:hAnsi="Arial" w:cs="Arial"/>
          <w:sz w:val="28"/>
          <w:szCs w:val="28"/>
        </w:rPr>
        <w:t xml:space="preserve">y Jurisprudencia respectivamente </w:t>
      </w:r>
      <w:r w:rsidR="00BB39D1">
        <w:rPr>
          <w:rFonts w:ascii="Arial" w:hAnsi="Arial" w:cs="Arial"/>
          <w:sz w:val="28"/>
          <w:szCs w:val="28"/>
        </w:rPr>
        <w:t>con los rubros “</w:t>
      </w:r>
      <w:r w:rsidR="00BB39D1">
        <w:rPr>
          <w:rFonts w:ascii="Arial" w:hAnsi="Arial" w:cs="Arial"/>
          <w:b/>
          <w:sz w:val="28"/>
          <w:szCs w:val="28"/>
        </w:rPr>
        <w:t>RECURSO DE QUEJA. EN TRÁTANDOSE DEL AUTO DENEGATORIO A ADMITIR UNA APELACIÓN QUE SE TRAMITA EN AMBOS EFECTOS, PROCEDE EL.”</w:t>
      </w:r>
      <w:r w:rsidR="00BB39D1">
        <w:rPr>
          <w:rFonts w:ascii="Arial" w:hAnsi="Arial" w:cs="Arial"/>
          <w:sz w:val="28"/>
          <w:szCs w:val="28"/>
        </w:rPr>
        <w:t xml:space="preserve"> </w:t>
      </w:r>
      <w:r w:rsidR="00E311D8">
        <w:rPr>
          <w:rStyle w:val="Refdenotaalpie"/>
          <w:rFonts w:ascii="Arial" w:hAnsi="Arial" w:cs="Arial"/>
          <w:sz w:val="28"/>
          <w:szCs w:val="28"/>
        </w:rPr>
        <w:footnoteReference w:id="2"/>
      </w:r>
      <w:r w:rsidR="001F5F66">
        <w:rPr>
          <w:rFonts w:ascii="Arial" w:hAnsi="Arial" w:cs="Arial"/>
          <w:sz w:val="28"/>
          <w:szCs w:val="28"/>
        </w:rPr>
        <w:t xml:space="preserve"> y “</w:t>
      </w:r>
      <w:r w:rsidR="001F5F66">
        <w:rPr>
          <w:rFonts w:ascii="Arial" w:hAnsi="Arial" w:cs="Arial"/>
          <w:b/>
          <w:sz w:val="28"/>
          <w:szCs w:val="28"/>
        </w:rPr>
        <w:t>RECURSO DE QUEJA A QUE SE REFIERE EL ARTÍCULO 971, FRACCIÓN III, DEL CÓDIGO DE PROCEDIMIENTOS CIVILES DEL ESTADO. PROCEDE EN TRATÁNDOSE DE LA NEGATIVA A ADMITIR UNA APELACIÓN QUE DEBA TRAMITARSE EN AMBOS EFECTOS.”</w:t>
      </w:r>
      <w:r w:rsidR="004E5D87">
        <w:rPr>
          <w:rStyle w:val="Refdenotaalpie"/>
          <w:rFonts w:ascii="Arial" w:hAnsi="Arial" w:cs="Arial"/>
          <w:b/>
          <w:sz w:val="28"/>
          <w:szCs w:val="28"/>
        </w:rPr>
        <w:footnoteReference w:id="3"/>
      </w:r>
      <w:r w:rsidR="004E5D87">
        <w:rPr>
          <w:rFonts w:ascii="Arial" w:hAnsi="Arial" w:cs="Arial"/>
          <w:b/>
          <w:sz w:val="28"/>
          <w:szCs w:val="28"/>
        </w:rPr>
        <w:t xml:space="preserve">; </w:t>
      </w:r>
      <w:r w:rsidRPr="00CC74EE">
        <w:rPr>
          <w:rFonts w:ascii="Arial" w:hAnsi="Arial" w:cs="Arial"/>
          <w:sz w:val="28"/>
          <w:szCs w:val="28"/>
        </w:rPr>
        <w:t>no obstante la posibilidad de acudir a un método</w:t>
      </w:r>
      <w:r w:rsidRPr="00CC74EE">
        <w:rPr>
          <w:rFonts w:ascii="Arial" w:hAnsi="Arial" w:cs="Arial"/>
          <w:sz w:val="28"/>
          <w:szCs w:val="28"/>
          <w:lang w:val="es-ES_tradnl"/>
        </w:rPr>
        <w:t xml:space="preserve"> de interpretación conforme de la norma, en el caso que nos ocupa a fin de garantizar y respetar los derechos fundamentales del quejoso, basta realizar una interpretación teleológica y armónica de </w:t>
      </w:r>
      <w:r w:rsidRPr="00CC74EE">
        <w:rPr>
          <w:rFonts w:ascii="Arial" w:hAnsi="Arial" w:cs="Arial"/>
          <w:bCs/>
          <w:sz w:val="28"/>
          <w:szCs w:val="28"/>
          <w:lang w:val="es-ES_tradnl"/>
        </w:rPr>
        <w:t>los artículos 940, 942, tercer párrafo, 943, 945, 951, segundo párrafo, del Código de Procedimientos Civiles vigente en el Estado, que en su orden disponen:</w:t>
      </w:r>
      <w:r w:rsidRPr="00CC74EE">
        <w:rPr>
          <w:rFonts w:ascii="Arial" w:hAnsi="Arial" w:cs="Arial"/>
          <w:sz w:val="28"/>
          <w:szCs w:val="28"/>
          <w:lang w:val="es-ES_tradnl"/>
        </w:rPr>
        <w:t xml:space="preserve"> </w:t>
      </w:r>
    </w:p>
    <w:p w:rsidR="00913F1E" w:rsidRPr="00CC74EE" w:rsidRDefault="00913F1E" w:rsidP="00913F1E">
      <w:pPr>
        <w:pStyle w:val="NormalWeb"/>
        <w:spacing w:after="240" w:afterAutospacing="0" w:line="480" w:lineRule="auto"/>
        <w:jc w:val="both"/>
        <w:rPr>
          <w:sz w:val="28"/>
          <w:szCs w:val="28"/>
          <w:lang w:val="es-ES_tradnl"/>
        </w:rPr>
      </w:pPr>
      <w:r w:rsidRPr="00CC74EE">
        <w:rPr>
          <w:sz w:val="28"/>
          <w:szCs w:val="28"/>
          <w:lang w:val="es-ES_tradnl"/>
        </w:rPr>
        <w:lastRenderedPageBreak/>
        <w:t>(REFORMADO, P.O. 24 DE MAYO DE 2016)</w:t>
      </w:r>
    </w:p>
    <w:p w:rsidR="00913F1E" w:rsidRPr="004E5D87" w:rsidRDefault="00913F1E" w:rsidP="00913F1E">
      <w:pPr>
        <w:pStyle w:val="NormalWeb"/>
        <w:spacing w:after="240" w:afterAutospacing="0" w:line="480" w:lineRule="auto"/>
        <w:jc w:val="both"/>
        <w:rPr>
          <w:lang w:val="es-ES_tradnl"/>
        </w:rPr>
      </w:pPr>
      <w:r w:rsidRPr="00CC74EE">
        <w:rPr>
          <w:sz w:val="28"/>
          <w:szCs w:val="28"/>
          <w:lang w:val="es-ES_tradnl"/>
        </w:rPr>
        <w:tab/>
      </w:r>
      <w:r w:rsidRPr="00CC74EE">
        <w:rPr>
          <w:sz w:val="28"/>
          <w:szCs w:val="28"/>
          <w:lang w:val="es-ES_tradnl"/>
        </w:rPr>
        <w:tab/>
      </w:r>
      <w:r w:rsidRPr="004E5D87">
        <w:rPr>
          <w:b/>
          <w:bCs/>
          <w:lang w:val="es-ES_tradnl"/>
        </w:rPr>
        <w:t xml:space="preserve">“Artículo </w:t>
      </w:r>
      <w:r w:rsidRPr="004E5D87">
        <w:rPr>
          <w:b/>
          <w:lang w:val="es-ES_tradnl"/>
        </w:rPr>
        <w:t>940</w:t>
      </w:r>
      <w:r w:rsidRPr="004E5D87">
        <w:rPr>
          <w:lang w:val="es-ES_tradnl"/>
        </w:rPr>
        <w:t>. La apelación debe interponerse por escrito ante el juez que pronunció la sentencia o el auto recurridos, dentro de nueve días improrrogables, sí la sentencia fuere definitiva, o dentro de seis si fuere interlocutoria, o auto, y en el mismo escrito se expresarán por el apelante los correspondientes motivos de agravio, debiendo exhibirse copia de dicho ocurso a efecto de que se corra traslado con la misma a la parte contraria.</w:t>
      </w:r>
    </w:p>
    <w:p w:rsidR="00913F1E" w:rsidRPr="004E5D87" w:rsidRDefault="00913F1E" w:rsidP="00913F1E">
      <w:pPr>
        <w:pStyle w:val="NormalWeb"/>
        <w:spacing w:after="240" w:afterAutospacing="0" w:line="480" w:lineRule="auto"/>
        <w:jc w:val="both"/>
        <w:rPr>
          <w:lang w:val="es-ES_tradnl"/>
        </w:rPr>
      </w:pPr>
      <w:r w:rsidRPr="004E5D87">
        <w:rPr>
          <w:lang w:val="es-ES_tradnl"/>
        </w:rPr>
        <w:tab/>
      </w:r>
      <w:r w:rsidRPr="004E5D87">
        <w:rPr>
          <w:lang w:val="es-ES_tradnl"/>
        </w:rPr>
        <w:tab/>
        <w:t>Si no se acompañara la copia de traslado, se prevendrá al apelante para que dentro del término de tres días subsane tal omisión, y si no lo hiciere, se tendrá por no interpuesto el recurso.</w:t>
      </w:r>
    </w:p>
    <w:p w:rsidR="00913F1E" w:rsidRPr="004E5D87" w:rsidRDefault="00913F1E" w:rsidP="00913F1E">
      <w:pPr>
        <w:pStyle w:val="NormalWeb"/>
        <w:spacing w:after="240" w:line="480" w:lineRule="auto"/>
        <w:jc w:val="both"/>
        <w:rPr>
          <w:lang w:val="es-ES_tradnl"/>
        </w:rPr>
      </w:pPr>
      <w:r w:rsidRPr="004E5D87">
        <w:rPr>
          <w:lang w:val="es-ES_tradnl"/>
        </w:rPr>
        <w:tab/>
      </w:r>
      <w:r w:rsidRPr="004E5D87">
        <w:rPr>
          <w:lang w:val="es-ES_tradnl"/>
        </w:rPr>
        <w:tab/>
        <w:t xml:space="preserve">Además, en el propio escrito de referencia se deberán señalar las constancias que deban remitirse al superior para substanciar la alzada, a las cuales podrán adicionarse las que la parte contraria estime necesarias, y las que el juez considere conducentes. Asimismo, el apelante deberá señalar persona y domicilio para oír notificaciones en el lugar de residencia del tribunal. </w:t>
      </w:r>
    </w:p>
    <w:p w:rsidR="00913F1E" w:rsidRPr="004E5D87" w:rsidRDefault="00913F1E" w:rsidP="00913F1E">
      <w:pPr>
        <w:pStyle w:val="NormalWeb"/>
        <w:spacing w:after="240" w:line="480" w:lineRule="auto"/>
        <w:jc w:val="both"/>
        <w:rPr>
          <w:lang w:val="es-ES_tradnl"/>
        </w:rPr>
      </w:pPr>
      <w:r w:rsidRPr="004E5D87">
        <w:rPr>
          <w:lang w:val="es-ES_tradnl"/>
        </w:rPr>
        <w:t>(REFORMADO, P.O. 23 DE JUNIO DE 2016)</w:t>
      </w:r>
    </w:p>
    <w:p w:rsidR="00913F1E" w:rsidRPr="004E5D87" w:rsidRDefault="00913F1E" w:rsidP="00913F1E">
      <w:pPr>
        <w:pStyle w:val="NormalWeb"/>
        <w:spacing w:after="240" w:line="480" w:lineRule="auto"/>
        <w:jc w:val="both"/>
        <w:rPr>
          <w:lang w:val="es-ES_tradnl"/>
        </w:rPr>
      </w:pPr>
      <w:r w:rsidRPr="004E5D87">
        <w:rPr>
          <w:lang w:val="es-ES_tradnl"/>
        </w:rPr>
        <w:tab/>
      </w:r>
      <w:r w:rsidRPr="004E5D87">
        <w:rPr>
          <w:lang w:val="es-ES_tradnl"/>
        </w:rPr>
        <w:tab/>
        <w:t>Si la apelación procediere sólo en efecto devolutivo, las partes deberán señalar las referidas constancias al interponer el recurso.</w:t>
      </w:r>
      <w:r w:rsidRPr="004E5D87">
        <w:rPr>
          <w:lang w:val="es-ES_tradnl"/>
        </w:rPr>
        <w:tab/>
      </w:r>
      <w:r w:rsidRPr="004E5D87">
        <w:rPr>
          <w:lang w:val="es-ES_tradnl"/>
        </w:rPr>
        <w:tab/>
        <w:t>Bastará la enumeración sencilla que haga la parte de los errores o violaciones de derecho que, en su concepto, se cometieron en su perjuicio, para tener por expresados los agravios.</w:t>
      </w:r>
    </w:p>
    <w:p w:rsidR="00913F1E" w:rsidRPr="004E5D87" w:rsidRDefault="00913F1E" w:rsidP="00913F1E">
      <w:pPr>
        <w:pStyle w:val="NormalWeb"/>
        <w:spacing w:after="240" w:line="480" w:lineRule="auto"/>
        <w:jc w:val="both"/>
        <w:rPr>
          <w:lang w:val="es-ES_tradnl"/>
        </w:rPr>
      </w:pPr>
      <w:r w:rsidRPr="004E5D87">
        <w:rPr>
          <w:lang w:val="es-ES_tradnl"/>
        </w:rPr>
        <w:tab/>
      </w:r>
      <w:r w:rsidRPr="004E5D87">
        <w:rPr>
          <w:lang w:val="es-ES_tradnl"/>
        </w:rPr>
        <w:tab/>
        <w:t>De no formularse los agravios, o no señalarse o exhibirse, en su caso, las referidas constancias por el recurrente, el juez tendrá por no interpuesta la apelación y declarará firme el auto o sentencia impugnados, sin ulterior recurso.</w:t>
      </w:r>
    </w:p>
    <w:p w:rsidR="00913F1E" w:rsidRPr="004E5D87" w:rsidRDefault="00913F1E" w:rsidP="00913F1E">
      <w:pPr>
        <w:pStyle w:val="NormalWeb"/>
        <w:spacing w:after="240" w:line="480" w:lineRule="auto"/>
        <w:jc w:val="both"/>
        <w:rPr>
          <w:b/>
          <w:lang w:val="es-ES_tradnl"/>
        </w:rPr>
      </w:pPr>
      <w:r w:rsidRPr="004E5D87">
        <w:rPr>
          <w:lang w:val="es-ES_tradnl"/>
        </w:rPr>
        <w:tab/>
      </w:r>
      <w:r w:rsidRPr="004E5D87">
        <w:rPr>
          <w:lang w:val="es-ES_tradnl"/>
        </w:rPr>
        <w:tab/>
        <w:t xml:space="preserve">Se exceptúan de la norma anterior la apelación contra sentencias pronunciadas en juicios seguidos en rebeldía, así como los casos en que no fuere </w:t>
      </w:r>
      <w:r w:rsidRPr="004E5D87">
        <w:rPr>
          <w:lang w:val="es-ES_tradnl"/>
        </w:rPr>
        <w:lastRenderedPageBreak/>
        <w:t>notificado personalmente el demandado y cuando se trate de la apelación extraordinaria, los cuales se regularán por las disposiciones específicas consignadas al efecto en este código.</w:t>
      </w:r>
      <w:r w:rsidRPr="004E5D87">
        <w:rPr>
          <w:b/>
          <w:lang w:val="es-ES_tradnl"/>
        </w:rPr>
        <w:t>”</w:t>
      </w:r>
    </w:p>
    <w:p w:rsidR="00913F1E" w:rsidRPr="004E5D87" w:rsidRDefault="00913F1E" w:rsidP="00913F1E">
      <w:pPr>
        <w:pStyle w:val="NormalWeb"/>
        <w:spacing w:after="240" w:line="480" w:lineRule="auto"/>
        <w:jc w:val="both"/>
        <w:rPr>
          <w:lang w:val="es-ES_tradnl"/>
        </w:rPr>
      </w:pPr>
      <w:r w:rsidRPr="004E5D87">
        <w:rPr>
          <w:lang w:val="es-ES_tradnl"/>
        </w:rPr>
        <w:t>REFORMADO, P.O. 24 DE MAYO DE 2016)</w:t>
      </w:r>
    </w:p>
    <w:p w:rsidR="00913F1E" w:rsidRPr="004E5D87" w:rsidRDefault="00913F1E" w:rsidP="00913F1E">
      <w:pPr>
        <w:pStyle w:val="NormalWeb"/>
        <w:spacing w:after="240" w:line="480" w:lineRule="auto"/>
        <w:jc w:val="both"/>
        <w:rPr>
          <w:b/>
          <w:lang w:val="es-ES_tradnl"/>
        </w:rPr>
      </w:pPr>
      <w:r w:rsidRPr="004E5D87">
        <w:rPr>
          <w:lang w:val="es-ES_tradnl"/>
        </w:rPr>
        <w:tab/>
      </w:r>
      <w:r w:rsidRPr="004E5D87">
        <w:rPr>
          <w:lang w:val="es-ES_tradnl"/>
        </w:rPr>
        <w:tab/>
      </w:r>
      <w:r w:rsidRPr="004E5D87">
        <w:rPr>
          <w:b/>
          <w:lang w:val="es-ES_tradnl"/>
        </w:rPr>
        <w:t>“Artículo. 942.</w:t>
      </w:r>
      <w:r w:rsidRPr="004E5D87">
        <w:rPr>
          <w:lang w:val="es-ES_tradnl"/>
        </w:rPr>
        <w:t>- Transcurrido dicho término, desahogada o no la vista, el juez ordenará la revisión de los autos o del testimonio de apelación correspondientes a la superioridad dentro de tres días, remitiendo siempre el original del escrito de expresión de agravios y, en su caso, de contestación a los mismos. El incumplimiento a lo anterior será causa de responsabilidad administrativa. Si las partes no señalaren domicilio para oír notificaciones en el lugar de residencia del tribunal, las notificaciones respectivas se les harán en la puerta del mismo, por medio de lista o cédula.</w:t>
      </w:r>
      <w:r w:rsidRPr="004E5D87">
        <w:rPr>
          <w:b/>
          <w:lang w:val="es-ES_tradnl"/>
        </w:rPr>
        <w:t>”</w:t>
      </w:r>
    </w:p>
    <w:p w:rsidR="00913F1E" w:rsidRPr="004E5D87" w:rsidRDefault="00913F1E" w:rsidP="00913F1E">
      <w:pPr>
        <w:pStyle w:val="NormalWeb"/>
        <w:spacing w:after="240" w:line="480" w:lineRule="auto"/>
        <w:jc w:val="both"/>
        <w:rPr>
          <w:b/>
          <w:lang w:val="es-ES_tradnl"/>
        </w:rPr>
      </w:pPr>
      <w:r w:rsidRPr="004E5D87">
        <w:rPr>
          <w:b/>
          <w:lang w:val="es-ES_tradnl"/>
        </w:rPr>
        <w:tab/>
      </w:r>
      <w:r w:rsidRPr="004E5D87">
        <w:rPr>
          <w:b/>
          <w:lang w:val="es-ES_tradnl"/>
        </w:rPr>
        <w:tab/>
        <w:t xml:space="preserve">“Artículo 943.- </w:t>
      </w:r>
      <w:r w:rsidRPr="004E5D87">
        <w:rPr>
          <w:lang w:val="es-ES_tradnl"/>
        </w:rPr>
        <w:t>La apelación admitida en ambos efectos suspende desde luego la ejecución de la sentencia o del auto hasta que éstos causen ejecutoria, y, entretanto, sólo podrán dictarse las resoluciones que se refieran a administración, custodia o conservación de bienes embargados o intervenidos judicialmente, siempre que la apelación no verse sobre alguno de esos puntos.</w:t>
      </w:r>
      <w:r w:rsidRPr="004E5D87">
        <w:rPr>
          <w:b/>
          <w:lang w:val="es-ES_tradnl"/>
        </w:rPr>
        <w:t>”</w:t>
      </w:r>
    </w:p>
    <w:p w:rsidR="00913F1E" w:rsidRPr="004E5D87" w:rsidRDefault="00913F1E" w:rsidP="00913F1E">
      <w:pPr>
        <w:pStyle w:val="NormalWeb"/>
        <w:spacing w:after="240" w:line="480" w:lineRule="auto"/>
        <w:jc w:val="both"/>
        <w:rPr>
          <w:lang w:val="es-ES_tradnl"/>
        </w:rPr>
      </w:pPr>
      <w:r w:rsidRPr="004E5D87">
        <w:rPr>
          <w:lang w:val="es-ES_tradnl"/>
        </w:rPr>
        <w:t>(REFORMADO, P.O. 24 DE MAYO DE 2016)</w:t>
      </w:r>
    </w:p>
    <w:p w:rsidR="00913F1E" w:rsidRPr="004E5D87" w:rsidRDefault="00913F1E" w:rsidP="00913F1E">
      <w:pPr>
        <w:pStyle w:val="NormalWeb"/>
        <w:spacing w:after="240" w:line="480" w:lineRule="auto"/>
        <w:jc w:val="both"/>
        <w:rPr>
          <w:lang w:val="es-ES_tradnl"/>
        </w:rPr>
      </w:pPr>
      <w:r w:rsidRPr="004E5D87">
        <w:rPr>
          <w:b/>
          <w:lang w:val="es-ES_tradnl"/>
        </w:rPr>
        <w:tab/>
      </w:r>
      <w:r w:rsidRPr="004E5D87">
        <w:rPr>
          <w:b/>
          <w:lang w:val="es-ES_tradnl"/>
        </w:rPr>
        <w:tab/>
        <w:t>“Artículo. 945.-</w:t>
      </w:r>
      <w:r w:rsidRPr="004E5D87">
        <w:rPr>
          <w:lang w:val="es-ES_tradnl"/>
        </w:rPr>
        <w:t xml:space="preserve"> Las sentencias definitivas pronunciadas en negocios cuya suerte principal exceda de diez mil pesos, y en aquéllos en que el interés no sea susceptible de valorarse en dinero, serán apelables en ambos efectos, salvo los casos expresamente exceptuados.</w:t>
      </w:r>
    </w:p>
    <w:p w:rsidR="00913F1E" w:rsidRPr="004E5D87" w:rsidRDefault="00913F1E" w:rsidP="00913F1E">
      <w:pPr>
        <w:pStyle w:val="NormalWeb"/>
        <w:spacing w:after="240" w:line="480" w:lineRule="auto"/>
        <w:jc w:val="both"/>
        <w:rPr>
          <w:b/>
          <w:lang w:val="es-ES_tradnl"/>
        </w:rPr>
      </w:pPr>
      <w:r w:rsidRPr="004E5D87">
        <w:rPr>
          <w:lang w:val="es-ES_tradnl"/>
        </w:rPr>
        <w:tab/>
      </w:r>
      <w:r w:rsidRPr="004E5D87">
        <w:rPr>
          <w:lang w:val="es-ES_tradnl"/>
        </w:rPr>
        <w:tab/>
        <w:t>Las sentencias definitivas dictadas en juicios cuya suerte principal sea inferior a diez mil pesos, no admitirán recurso alguno.</w:t>
      </w:r>
      <w:r w:rsidRPr="004E5D87">
        <w:rPr>
          <w:b/>
          <w:lang w:val="es-ES_tradnl"/>
        </w:rPr>
        <w:t>”</w:t>
      </w:r>
    </w:p>
    <w:p w:rsidR="00913F1E" w:rsidRPr="004E5D87" w:rsidRDefault="00913F1E" w:rsidP="00913F1E">
      <w:pPr>
        <w:pStyle w:val="NormalWeb"/>
        <w:spacing w:after="240" w:line="480" w:lineRule="auto"/>
        <w:jc w:val="both"/>
        <w:rPr>
          <w:lang w:val="es-ES_tradnl"/>
        </w:rPr>
      </w:pPr>
      <w:r w:rsidRPr="004E5D87">
        <w:rPr>
          <w:lang w:val="es-ES_tradnl"/>
        </w:rPr>
        <w:t>(REFORMADO, P.O. 24 DE MAYO DE 2016)</w:t>
      </w:r>
    </w:p>
    <w:p w:rsidR="00913F1E" w:rsidRPr="004E5D87" w:rsidRDefault="00913F1E" w:rsidP="00913F1E">
      <w:pPr>
        <w:pStyle w:val="NormalWeb"/>
        <w:spacing w:after="240" w:line="480" w:lineRule="auto"/>
        <w:jc w:val="both"/>
        <w:rPr>
          <w:lang w:val="es-ES_tradnl"/>
        </w:rPr>
      </w:pPr>
      <w:r w:rsidRPr="004E5D87">
        <w:rPr>
          <w:b/>
          <w:lang w:val="es-ES_tradnl"/>
        </w:rPr>
        <w:lastRenderedPageBreak/>
        <w:tab/>
      </w:r>
      <w:r w:rsidRPr="004E5D87">
        <w:rPr>
          <w:b/>
          <w:lang w:val="es-ES_tradnl"/>
        </w:rPr>
        <w:tab/>
        <w:t xml:space="preserve">“Artículo. 951.- </w:t>
      </w:r>
      <w:r w:rsidRPr="004E5D87">
        <w:rPr>
          <w:lang w:val="es-ES_tradnl"/>
        </w:rPr>
        <w:t>Si la apelación admitida sólo en el efecto devolutivo se declara admisible en ambos efectos y no se hubieren remitido los autos, se prevendrá al Juzgado que conoció del negocio para que los envié dentro del término de tres días.</w:t>
      </w:r>
    </w:p>
    <w:p w:rsidR="00913F1E" w:rsidRPr="004E5D87" w:rsidRDefault="00913F1E" w:rsidP="00913F1E">
      <w:pPr>
        <w:pStyle w:val="NormalWeb"/>
        <w:spacing w:after="240" w:line="480" w:lineRule="auto"/>
        <w:jc w:val="both"/>
        <w:rPr>
          <w:lang w:val="es-ES_tradnl"/>
        </w:rPr>
      </w:pPr>
      <w:r w:rsidRPr="004E5D87">
        <w:rPr>
          <w:b/>
          <w:lang w:val="es-ES_tradnl"/>
        </w:rPr>
        <w:tab/>
      </w:r>
      <w:r w:rsidRPr="004E5D87">
        <w:rPr>
          <w:b/>
          <w:lang w:val="es-ES_tradnl"/>
        </w:rPr>
        <w:tab/>
      </w:r>
      <w:r w:rsidRPr="004E5D87">
        <w:rPr>
          <w:lang w:val="es-ES_tradnl"/>
        </w:rPr>
        <w:t>Cuando la apelación admitida en ambos efectos se declare admisible sólo en el devolutivo, si la resolución recurrida fuere sentencia, se enviará al Juzgado de procedencia la copia a que se refiere el artículo 944 de este Código; si fuere auto, se devolverán los originales, dejándose en el tribunal copia certificada de las constancias que las partes señalen y exhiban dentro de los tres días siguientes a la notificación del auto respectivo.</w:t>
      </w:r>
    </w:p>
    <w:p w:rsidR="00913F1E" w:rsidRPr="00CC74EE" w:rsidRDefault="00913F1E" w:rsidP="00913F1E">
      <w:pPr>
        <w:pStyle w:val="NormalWeb"/>
        <w:spacing w:after="240" w:afterAutospacing="0" w:line="480" w:lineRule="auto"/>
        <w:jc w:val="both"/>
        <w:rPr>
          <w:rFonts w:ascii="Arial" w:hAnsi="Arial" w:cs="Arial"/>
          <w:sz w:val="28"/>
          <w:szCs w:val="28"/>
          <w:lang w:val="es-ES_tradnl"/>
        </w:rPr>
      </w:pPr>
      <w:r w:rsidRPr="00CC74EE">
        <w:rPr>
          <w:rFonts w:ascii="Arial" w:hAnsi="Arial" w:cs="Arial"/>
          <w:sz w:val="28"/>
          <w:szCs w:val="28"/>
          <w:lang w:val="es-ES_tradnl"/>
        </w:rPr>
        <w:tab/>
      </w:r>
      <w:r w:rsidRPr="00CC74EE">
        <w:rPr>
          <w:rFonts w:ascii="Arial" w:hAnsi="Arial" w:cs="Arial"/>
          <w:sz w:val="28"/>
          <w:szCs w:val="28"/>
          <w:lang w:val="es-ES_tradnl"/>
        </w:rPr>
        <w:tab/>
        <w:t>Para sostener, que tratándose de apelaciones que deban admitirse en ambos efectos, el recurrente no tiene la carga procesal de señalar constancias para integrar el testimonio correspondiente, como lo consideró el A quo en la determinación recurrida en queja, y que por ende queda excluida la regla especial establecida por el párrafo sexto del artículo 940 del Código Procesal Civil, que sanciona al apelante ante la falta de señalamiento de constancias con la no interposición del recurso, y con la declaración de firmeza del auto o sentencia impugnada sin ulterior recurso.</w:t>
      </w:r>
    </w:p>
    <w:p w:rsidR="00913F1E" w:rsidRPr="00CC74EE" w:rsidRDefault="00913F1E" w:rsidP="00913F1E">
      <w:pPr>
        <w:pStyle w:val="NormalWeb"/>
        <w:spacing w:after="240" w:afterAutospacing="0" w:line="480" w:lineRule="auto"/>
        <w:jc w:val="both"/>
        <w:rPr>
          <w:rFonts w:ascii="Arial" w:hAnsi="Arial" w:cs="Arial"/>
          <w:sz w:val="28"/>
          <w:szCs w:val="28"/>
          <w:lang w:val="es-ES_tradnl"/>
        </w:rPr>
      </w:pPr>
      <w:r w:rsidRPr="00CC74EE">
        <w:rPr>
          <w:rFonts w:ascii="Arial" w:hAnsi="Arial" w:cs="Arial"/>
          <w:sz w:val="28"/>
          <w:szCs w:val="28"/>
          <w:lang w:val="es-ES_tradnl"/>
        </w:rPr>
        <w:tab/>
      </w:r>
      <w:r w:rsidRPr="00CC74EE">
        <w:rPr>
          <w:rFonts w:ascii="Arial" w:hAnsi="Arial" w:cs="Arial"/>
          <w:sz w:val="28"/>
          <w:szCs w:val="28"/>
          <w:lang w:val="es-ES_tradnl"/>
        </w:rPr>
        <w:tab/>
        <w:t>Justamente, este Pleno al resolver el Toca 214/2020, sostuvo:</w:t>
      </w:r>
    </w:p>
    <w:p w:rsidR="00913F1E" w:rsidRPr="00CC74EE" w:rsidRDefault="00913F1E" w:rsidP="00913F1E">
      <w:pPr>
        <w:pStyle w:val="NormalWeb"/>
        <w:spacing w:after="240" w:line="480" w:lineRule="auto"/>
        <w:ind w:left="708" w:firstLine="702"/>
        <w:jc w:val="both"/>
        <w:rPr>
          <w:sz w:val="28"/>
          <w:szCs w:val="28"/>
          <w:lang w:val="es-ES_tradnl"/>
        </w:rPr>
      </w:pPr>
      <w:r w:rsidRPr="00CC74EE">
        <w:rPr>
          <w:sz w:val="28"/>
          <w:szCs w:val="28"/>
          <w:lang w:val="es-ES_tradnl"/>
        </w:rPr>
        <w:t xml:space="preserve">“En efecto, el sistema de interpretación teleológico es aquel que, más allá del texto expreso de las proposiciones normativas, </w:t>
      </w:r>
      <w:r w:rsidRPr="00CC74EE">
        <w:rPr>
          <w:sz w:val="28"/>
          <w:szCs w:val="28"/>
          <w:lang w:val="es-ES_tradnl"/>
        </w:rPr>
        <w:lastRenderedPageBreak/>
        <w:t xml:space="preserve">considera el objeto, motivo o fin razonable de la ley, por lo que, de la exposición de motivos se advierte que la principal razón de la enmienda del 24 veinticuatro de mayo de 2016 dos mil dieciséis, publicada bajo el decreto 0216, en el Periódico Oficial “Plan de San Luis”, del citado numeral 940 de la Ley Adjetiva Civil, fue con el objeto de acelerar el trámite y resolución del recurso de apelación y, subsanar además, la imprecisión que prevalecía, respecto a que se constriña a las partes a exhibir las constancias necesarias para la resolución del recurso de apelación, cuando proceda en un solo efecto; razones de las que se advierte que el espíritu del legislador fue el de establecer en la Codificación Procesal Civil, una condicionante de procedencia para el recurrente respecto de la apelación que deba ser admitida en efecto devolutivo, ello con el fin de que en dicha hipótesis la parte disconforme señale y exhiba las constancias relativas para formar el cuaderno respectivo y/o las que el Juez considere conducentes. </w:t>
      </w:r>
    </w:p>
    <w:p w:rsidR="00913F1E" w:rsidRPr="00CC74EE" w:rsidRDefault="00913F1E" w:rsidP="00913F1E">
      <w:pPr>
        <w:pStyle w:val="NormalWeb"/>
        <w:spacing w:after="240" w:line="480" w:lineRule="auto"/>
        <w:ind w:left="708" w:firstLine="702"/>
        <w:jc w:val="both"/>
        <w:rPr>
          <w:sz w:val="28"/>
          <w:szCs w:val="28"/>
          <w:lang w:val="es-ES_tradnl"/>
        </w:rPr>
      </w:pPr>
      <w:r w:rsidRPr="00CC74EE">
        <w:rPr>
          <w:sz w:val="28"/>
          <w:szCs w:val="28"/>
          <w:lang w:val="es-ES_tradnl"/>
        </w:rPr>
        <w:t xml:space="preserve">Ahora bien, respecto de la segunda interpretación armónica o sistemática, es aquélla que busca extraer del texto de la norma un enunciado cuyo sentido sea acorde con el contenido general del ordenamiento al que pertenece. Procura el significado atendiendo al conjunto de normas o sistema del que forma parte. Por lo tanto, de los citados numerales 940, 942, tercer párrafo, 943, 951, segundo párrafo, del Código de Procedimientos Civiles vigente en el Estado, se advierte que la apelación puede admitirse en ambos efectos o </w:t>
      </w:r>
      <w:r w:rsidRPr="00CC74EE">
        <w:rPr>
          <w:sz w:val="28"/>
          <w:szCs w:val="28"/>
          <w:lang w:val="es-ES_tradnl"/>
        </w:rPr>
        <w:lastRenderedPageBreak/>
        <w:t xml:space="preserve">sólo en el devolutivo; en el primer supuesto, suspende la ejecución de la resolución recurrida y se da cuando el medio de impugnación referido se interpone en contra de sentencias definitivas o interlocutorias y autos que pongan término al juicio, cualquiera que sea la naturaleza de éste; y la apelación cuando se admite sólo con efecto devolutivo, no suspende la ejecución de la resolución impugnada, por lo que, cuando la apelación únicamente procede en un sólo efecto (devolutivo), el recurrente al interponerla deberá señalar las constancias para integrar el testimonio de la apelación y de no hacerlo se tendrá por no interpuesto el recurso. </w:t>
      </w:r>
    </w:p>
    <w:p w:rsidR="00913F1E" w:rsidRPr="00CC74EE" w:rsidRDefault="00913F1E" w:rsidP="00913F1E">
      <w:pPr>
        <w:pStyle w:val="NormalWeb"/>
        <w:spacing w:after="240" w:line="480" w:lineRule="auto"/>
        <w:ind w:left="708" w:firstLine="702"/>
        <w:jc w:val="both"/>
        <w:rPr>
          <w:sz w:val="28"/>
          <w:szCs w:val="28"/>
          <w:lang w:val="es-ES_tradnl"/>
        </w:rPr>
      </w:pPr>
      <w:r w:rsidRPr="00CC74EE">
        <w:rPr>
          <w:sz w:val="28"/>
          <w:szCs w:val="28"/>
          <w:lang w:val="es-ES_tradnl"/>
        </w:rPr>
        <w:t xml:space="preserve">Así, en tratándose de apelaciones contra sentencias definitivas, o interlocutorias y autos que pongan término al juicio, el apelante no tiene por qué señalar constancias, ello, de conformidad en lo dispuesto por el referido numeral 951 de la Ley Adjetiva Civil, en el que incluso la norma le impone una carga oficiosa a la apelación de que, en caso de que dicho recurso tenga que admitirse en ambos efectos, si el juez no envió los autos el Tribunal de Alzada debe requerirlo, actuación oficiosa de la cual se concluye que el apelante no tiene por qué señalar constancias, ya que atendiendo a la lógica ya la razonabilidad no tendría ningún efecto positivo que el apelante señalara las constancias cuando llegada la apelación al Superior, éste advierta que debieron remitirse los autos originales y oficiosamente requiera al A quo. </w:t>
      </w:r>
    </w:p>
    <w:p w:rsidR="00913F1E" w:rsidRPr="00CC74EE" w:rsidRDefault="00913F1E" w:rsidP="00913F1E">
      <w:pPr>
        <w:pStyle w:val="NormalWeb"/>
        <w:spacing w:after="240" w:line="480" w:lineRule="auto"/>
        <w:ind w:left="708" w:firstLine="702"/>
        <w:jc w:val="both"/>
        <w:rPr>
          <w:sz w:val="28"/>
          <w:szCs w:val="28"/>
          <w:lang w:val="es-ES_tradnl"/>
        </w:rPr>
      </w:pPr>
      <w:r w:rsidRPr="00CC74EE">
        <w:rPr>
          <w:sz w:val="28"/>
          <w:szCs w:val="28"/>
          <w:lang w:val="es-ES_tradnl"/>
        </w:rPr>
        <w:lastRenderedPageBreak/>
        <w:t>Luego, a fin de evitar una violación al derecho humano de acceso a la justicia y garantizar el derecho fundamental de tutela jurisdiccional efectiva contenido en el artículo 17 de la Constitución Federal, este Órgano Colegiado arriba a la conclusión de que en tratándose del recurso de apelación que proceda en ambos efectos no se impone obligación alguna al inconforme de señalar constancias para integrar el testimonio de apelación, pues deben remitirse los autos originales al Tribunal Superior, y ser la Alzada quien tiene la plena jurisdicción del mismo.”</w:t>
      </w:r>
    </w:p>
    <w:p w:rsidR="00913F1E" w:rsidRPr="00CC74EE" w:rsidRDefault="00913F1E" w:rsidP="00913F1E">
      <w:pPr>
        <w:pStyle w:val="NormalWeb"/>
        <w:spacing w:after="240" w:line="480" w:lineRule="auto"/>
        <w:jc w:val="both"/>
        <w:rPr>
          <w:rFonts w:ascii="Arial" w:hAnsi="Arial" w:cs="Arial"/>
          <w:sz w:val="28"/>
          <w:szCs w:val="28"/>
        </w:rPr>
      </w:pPr>
      <w:r w:rsidRPr="00CC74EE">
        <w:rPr>
          <w:sz w:val="28"/>
          <w:szCs w:val="28"/>
          <w:lang w:val="es-ES_tradnl"/>
        </w:rPr>
        <w:tab/>
      </w:r>
      <w:r w:rsidRPr="00CC74EE">
        <w:rPr>
          <w:sz w:val="28"/>
          <w:szCs w:val="28"/>
          <w:lang w:val="es-ES_tradnl"/>
        </w:rPr>
        <w:tab/>
      </w:r>
      <w:r w:rsidRPr="00CC74EE">
        <w:rPr>
          <w:rFonts w:ascii="Arial" w:hAnsi="Arial" w:cs="Arial"/>
          <w:sz w:val="28"/>
          <w:szCs w:val="28"/>
          <w:lang w:val="es-ES_tradnl"/>
        </w:rPr>
        <w:t xml:space="preserve">Similar criterio sostuvo este Tribunal en Pleno, en la queja 154/2020, en la cual se reiteró que de la exposición de motivos contenida en el decreto 0216, publicado en el Periódico Oficial “Plan de San Luis”, en relación a la reforma del artículo 940 de la Ley Adjetiva Civil, se desprendía que el supuesto bajo el cual se constriñe al apelante a exhibir o señalar constancias para que se integren y envíen a la alzada, sancionándolo para el caso de ser omiso con tener por no interpuesta la apelación y declarar firme el auto o sentencia impugnada sin ulterior recurso, fue con la finalidad de dar celeridad al trámite en primera instancia y la substanciación en la alzada, pero únicamente en tratándose de apelaciones que procedan en efecto devolutivo, y no cuando dicho medio de impugnación proceda en ambos efectos, </w:t>
      </w:r>
      <w:r w:rsidRPr="00CC74EE">
        <w:rPr>
          <w:rFonts w:ascii="Arial" w:hAnsi="Arial" w:cs="Arial"/>
          <w:sz w:val="28"/>
          <w:szCs w:val="28"/>
        </w:rPr>
        <w:t xml:space="preserve">cuyo trámite y tratamiento es distinto, si se atiende que en este último supuesto es el original del expediente el que envía el juzgador al Tribunal de </w:t>
      </w:r>
      <w:r w:rsidRPr="00CC74EE">
        <w:rPr>
          <w:rFonts w:ascii="Arial" w:hAnsi="Arial" w:cs="Arial"/>
          <w:sz w:val="28"/>
          <w:szCs w:val="28"/>
        </w:rPr>
        <w:lastRenderedPageBreak/>
        <w:t>apelación, para la substanciación de la alzada y en cuyo caso no puede surtirse la hipótesis del párrafo sexto del artículo 940 en cita.</w:t>
      </w:r>
    </w:p>
    <w:p w:rsidR="00913F1E" w:rsidRPr="00CC74EE" w:rsidRDefault="00913F1E" w:rsidP="00913F1E">
      <w:pPr>
        <w:pStyle w:val="NormalWeb"/>
        <w:spacing w:after="240" w:line="480" w:lineRule="auto"/>
        <w:jc w:val="both"/>
        <w:rPr>
          <w:rFonts w:ascii="Arial" w:hAnsi="Arial" w:cs="Arial"/>
          <w:sz w:val="28"/>
          <w:szCs w:val="28"/>
        </w:rPr>
      </w:pPr>
      <w:r w:rsidRPr="00CC74EE">
        <w:rPr>
          <w:rFonts w:ascii="Arial" w:hAnsi="Arial" w:cs="Arial"/>
          <w:sz w:val="28"/>
          <w:szCs w:val="28"/>
        </w:rPr>
        <w:tab/>
      </w:r>
      <w:r w:rsidRPr="00CC74EE">
        <w:rPr>
          <w:rFonts w:ascii="Arial" w:hAnsi="Arial" w:cs="Arial"/>
          <w:sz w:val="28"/>
          <w:szCs w:val="28"/>
        </w:rPr>
        <w:tab/>
        <w:t>Consecuentemente, si en el caso que nos ocupa, el r</w:t>
      </w:r>
      <w:proofErr w:type="spellStart"/>
      <w:r w:rsidRPr="00CC74EE">
        <w:rPr>
          <w:rFonts w:ascii="Arial" w:hAnsi="Arial" w:cs="Arial"/>
          <w:sz w:val="28"/>
          <w:szCs w:val="28"/>
          <w:lang w:val="es-ES_tradnl"/>
        </w:rPr>
        <w:t>ecurso</w:t>
      </w:r>
      <w:proofErr w:type="spellEnd"/>
      <w:r w:rsidRPr="00CC74EE">
        <w:rPr>
          <w:rFonts w:ascii="Arial" w:hAnsi="Arial" w:cs="Arial"/>
          <w:sz w:val="28"/>
          <w:szCs w:val="28"/>
          <w:lang w:val="es-ES_tradnl"/>
        </w:rPr>
        <w:t xml:space="preserve"> de apelación que hizo valer el quejoso lo interpuso contra la sentencia definitiva de 5 cinco de agosto de 2020 dos mil veinte, dictada dentro del juicio extraordinario civil por rescisión de contrato de arrendamiento, en la cual no se decretó lanzamiento, no cobra aplicación </w:t>
      </w:r>
      <w:r w:rsidRPr="00CC74EE">
        <w:rPr>
          <w:rFonts w:ascii="Arial" w:hAnsi="Arial" w:cs="Arial"/>
          <w:sz w:val="28"/>
          <w:szCs w:val="28"/>
        </w:rPr>
        <w:t>el artículo 455 del Código de Procedimientos Civiles del Estado,</w:t>
      </w:r>
      <w:r w:rsidRPr="00CC74EE">
        <w:rPr>
          <w:rStyle w:val="Refdenotaalpie"/>
          <w:rFonts w:ascii="Arial" w:hAnsi="Arial" w:cs="Arial"/>
          <w:sz w:val="28"/>
          <w:szCs w:val="28"/>
        </w:rPr>
        <w:footnoteReference w:id="4"/>
      </w:r>
      <w:r w:rsidRPr="00CC74EE">
        <w:rPr>
          <w:rFonts w:ascii="Arial" w:hAnsi="Arial" w:cs="Arial"/>
          <w:sz w:val="28"/>
          <w:szCs w:val="28"/>
        </w:rPr>
        <w:t xml:space="preserve"> en cuanto al efecto de la apelación, sino que debe estarse a la regla general del artículo 945 del Código de Procedimientos Civiles del Estado, en su primer párrafo, que determina que se trata de una </w:t>
      </w:r>
      <w:r w:rsidRPr="00CC74EE">
        <w:rPr>
          <w:rFonts w:ascii="Arial" w:hAnsi="Arial" w:cs="Arial"/>
          <w:sz w:val="28"/>
          <w:szCs w:val="28"/>
          <w:u w:val="single"/>
        </w:rPr>
        <w:t xml:space="preserve">sentencias definitiva apelable en </w:t>
      </w:r>
      <w:r w:rsidRPr="00CC74EE">
        <w:rPr>
          <w:rFonts w:ascii="Arial" w:hAnsi="Arial" w:cs="Arial"/>
          <w:b/>
          <w:sz w:val="28"/>
          <w:szCs w:val="28"/>
          <w:u w:val="single"/>
        </w:rPr>
        <w:t>ambos efectos</w:t>
      </w:r>
      <w:r w:rsidRPr="00CC74EE">
        <w:rPr>
          <w:rFonts w:ascii="Arial" w:hAnsi="Arial" w:cs="Arial"/>
          <w:sz w:val="28"/>
          <w:szCs w:val="28"/>
          <w:u w:val="single"/>
        </w:rPr>
        <w:t xml:space="preserve">, al </w:t>
      </w:r>
      <w:proofErr w:type="spellStart"/>
      <w:r w:rsidRPr="00CC74EE">
        <w:rPr>
          <w:rFonts w:ascii="Arial" w:hAnsi="Arial" w:cs="Arial"/>
          <w:sz w:val="28"/>
          <w:szCs w:val="28"/>
        </w:rPr>
        <w:t>concluír</w:t>
      </w:r>
      <w:proofErr w:type="spellEnd"/>
      <w:r w:rsidRPr="00CC74EE">
        <w:rPr>
          <w:rFonts w:ascii="Arial" w:hAnsi="Arial" w:cs="Arial"/>
          <w:sz w:val="28"/>
          <w:szCs w:val="28"/>
        </w:rPr>
        <w:t xml:space="preserve"> la instancia, superar la cuantía a que se refiere esa norma, y ello hacía </w:t>
      </w:r>
      <w:r w:rsidRPr="00CC74EE">
        <w:rPr>
          <w:rFonts w:ascii="Arial" w:hAnsi="Arial" w:cs="Arial"/>
          <w:sz w:val="28"/>
          <w:szCs w:val="28"/>
          <w:lang w:val="es-ES_tradnl"/>
        </w:rPr>
        <w:t xml:space="preserve">innecesario que el apelante señalara las constancias necesarias para dar trámite a dicho recurso, pues como ya se asentó, es inconcuso que ello sólo procede cuando las resoluciones apeladas son autos o interlocutorias, que deban ser admitidas en efecto devolutivo, ya que cuando se trata de resoluciones apelables en ambos efectos el A quo debe enviar al Ad </w:t>
      </w:r>
      <w:proofErr w:type="spellStart"/>
      <w:r w:rsidRPr="00CC74EE">
        <w:rPr>
          <w:rFonts w:ascii="Arial" w:hAnsi="Arial" w:cs="Arial"/>
          <w:sz w:val="28"/>
          <w:szCs w:val="28"/>
          <w:lang w:val="es-ES_tradnl"/>
        </w:rPr>
        <w:t>quem</w:t>
      </w:r>
      <w:proofErr w:type="spellEnd"/>
      <w:r w:rsidRPr="00CC74EE">
        <w:rPr>
          <w:rFonts w:ascii="Arial" w:hAnsi="Arial" w:cs="Arial"/>
          <w:sz w:val="28"/>
          <w:szCs w:val="28"/>
          <w:lang w:val="es-ES_tradnl"/>
        </w:rPr>
        <w:t xml:space="preserve"> los autos originales, </w:t>
      </w:r>
      <w:r w:rsidRPr="00CC74EE">
        <w:rPr>
          <w:rFonts w:ascii="Arial" w:hAnsi="Arial" w:cs="Arial"/>
          <w:sz w:val="28"/>
          <w:szCs w:val="28"/>
        </w:rPr>
        <w:t xml:space="preserve">dado que, por su propia naturaleza , la jurisdicción del juez de primera instancia queda suspendida en tanto se resuelve la apelación, por </w:t>
      </w:r>
      <w:r w:rsidRPr="00CC74EE">
        <w:rPr>
          <w:rFonts w:ascii="Arial" w:hAnsi="Arial" w:cs="Arial"/>
          <w:sz w:val="28"/>
          <w:szCs w:val="28"/>
        </w:rPr>
        <w:lastRenderedPageBreak/>
        <w:t xml:space="preserve">lo cual es un trámite inútil el señalamiento de constancias, que infringe incluso el derecho de acceso a la tutela jurisdiccional del estado. </w:t>
      </w:r>
    </w:p>
    <w:p w:rsidR="00913F1E" w:rsidRPr="00CC74EE" w:rsidRDefault="00913F1E" w:rsidP="00913F1E">
      <w:pPr>
        <w:pStyle w:val="NormalWeb"/>
        <w:spacing w:after="240" w:line="480" w:lineRule="auto"/>
        <w:jc w:val="both"/>
        <w:rPr>
          <w:rFonts w:ascii="Arial" w:hAnsi="Arial" w:cs="Arial"/>
          <w:sz w:val="28"/>
          <w:szCs w:val="28"/>
        </w:rPr>
      </w:pPr>
      <w:r w:rsidRPr="00CC74EE">
        <w:rPr>
          <w:rFonts w:ascii="Arial" w:hAnsi="Arial" w:cs="Arial"/>
          <w:sz w:val="28"/>
          <w:szCs w:val="28"/>
          <w:lang w:val="es-ES_tradnl"/>
        </w:rPr>
        <w:tab/>
      </w:r>
      <w:r w:rsidRPr="00CC74EE">
        <w:rPr>
          <w:rFonts w:ascii="Arial" w:hAnsi="Arial" w:cs="Arial"/>
          <w:sz w:val="28"/>
          <w:szCs w:val="28"/>
          <w:lang w:val="es-ES_tradnl"/>
        </w:rPr>
        <w:tab/>
        <w:t xml:space="preserve">En tal virtud, es que le asiste la razón al quejoso al sostener que el auto combatido en queja de </w:t>
      </w:r>
      <w:r w:rsidRPr="00CC74EE">
        <w:rPr>
          <w:rFonts w:ascii="Arial" w:hAnsi="Arial" w:cs="Arial"/>
          <w:sz w:val="28"/>
          <w:szCs w:val="28"/>
        </w:rPr>
        <w:t xml:space="preserve">28 veintiocho de agosto pasado, que con fundamento en </w:t>
      </w:r>
      <w:r w:rsidRPr="00CC74EE">
        <w:rPr>
          <w:rFonts w:ascii="Arial" w:hAnsi="Arial" w:cs="Arial"/>
          <w:iCs/>
          <w:sz w:val="28"/>
          <w:szCs w:val="28"/>
        </w:rPr>
        <w:t xml:space="preserve">artículo 940, párrafos tercero y sexto del Código de Procedimientos Civiles, </w:t>
      </w:r>
      <w:r w:rsidRPr="00CC74EE">
        <w:rPr>
          <w:rFonts w:ascii="Arial" w:hAnsi="Arial" w:cs="Arial"/>
          <w:sz w:val="28"/>
          <w:szCs w:val="28"/>
        </w:rPr>
        <w:t xml:space="preserve">le negó la interposición del recurso de apelación que promovió en contra de la sentencia </w:t>
      </w:r>
      <w:r w:rsidRPr="00CC74EE">
        <w:rPr>
          <w:rFonts w:ascii="Arial" w:hAnsi="Arial" w:cs="Arial"/>
          <w:sz w:val="28"/>
          <w:szCs w:val="28"/>
          <w:lang w:val="es-ES_tradnl"/>
        </w:rPr>
        <w:t xml:space="preserve">definitiva de 5 cinco de agosto de 2020 dos mil veinte, dictada dentro del juicio extraordinario civil por rescisión de contrato de arrendamiento y en la cual no se decretó lanzamiento, </w:t>
      </w:r>
      <w:r w:rsidRPr="00CC74EE">
        <w:rPr>
          <w:rFonts w:ascii="Arial" w:hAnsi="Arial" w:cs="Arial"/>
          <w:sz w:val="28"/>
          <w:szCs w:val="28"/>
        </w:rPr>
        <w:t xml:space="preserve">bajo el argumento de que al no señalar el apelante las constancias </w:t>
      </w:r>
      <w:r w:rsidRPr="00CC74EE">
        <w:rPr>
          <w:rFonts w:ascii="Arial" w:hAnsi="Arial" w:cs="Arial"/>
          <w:iCs/>
          <w:sz w:val="28"/>
          <w:szCs w:val="28"/>
        </w:rPr>
        <w:t xml:space="preserve">que debían remitirse al Superior para substanciar la alzada, lo conducente era tener por no interpuesta la apelación y declarar firme el auto o sentencia impugnados sin ulterior recurso; adolece de una debida fundamentación y motivación e infringe lo dispuesto por </w:t>
      </w:r>
      <w:r w:rsidRPr="00CC74EE">
        <w:rPr>
          <w:rFonts w:ascii="Arial" w:hAnsi="Arial" w:cs="Arial"/>
          <w:sz w:val="28"/>
          <w:szCs w:val="28"/>
        </w:rPr>
        <w:t xml:space="preserve">los artículos 16 Constitucional y 78 fracción II del Código de Procedimientos Civiles del Estado, </w:t>
      </w:r>
      <w:r w:rsidRPr="00CC74EE">
        <w:rPr>
          <w:rFonts w:ascii="Arial" w:hAnsi="Arial" w:cs="Arial"/>
          <w:iCs/>
          <w:sz w:val="28"/>
          <w:szCs w:val="28"/>
        </w:rPr>
        <w:t xml:space="preserve">dado que por tratarse de una </w:t>
      </w:r>
      <w:r w:rsidRPr="00CC74EE">
        <w:rPr>
          <w:rFonts w:ascii="Arial" w:hAnsi="Arial" w:cs="Arial"/>
          <w:sz w:val="28"/>
          <w:szCs w:val="28"/>
        </w:rPr>
        <w:t xml:space="preserve">apelación admisible en ambos efectos, no es necesario hacer el señalamiento de constancias </w:t>
      </w:r>
      <w:r w:rsidRPr="00CC74EE">
        <w:rPr>
          <w:rFonts w:ascii="Arial" w:hAnsi="Arial" w:cs="Arial"/>
          <w:sz w:val="28"/>
          <w:szCs w:val="28"/>
          <w:lang w:val="es-ES_tradnl"/>
        </w:rPr>
        <w:t>a que aludió el Juez de la causa a</w:t>
      </w:r>
      <w:r w:rsidRPr="00CC74EE">
        <w:rPr>
          <w:rFonts w:ascii="Arial" w:hAnsi="Arial" w:cs="Arial"/>
          <w:sz w:val="28"/>
          <w:szCs w:val="28"/>
        </w:rPr>
        <w:t xml:space="preserve">l interponer el recurso, pues en términos del artículo 951 del Código Procesal Civil, se colige que en primer término corresponde al A quo de forma oficiosa la obligación de enviar los autos al superior, quien está facultado para requerirlo en caso de no hacerlo, </w:t>
      </w:r>
      <w:r w:rsidRPr="00CC74EE">
        <w:rPr>
          <w:rFonts w:ascii="Arial" w:hAnsi="Arial" w:cs="Arial"/>
          <w:sz w:val="28"/>
          <w:szCs w:val="28"/>
          <w:lang w:val="es-ES_tradnl"/>
        </w:rPr>
        <w:t xml:space="preserve">por </w:t>
      </w:r>
      <w:r w:rsidRPr="00CC74EE">
        <w:rPr>
          <w:rFonts w:ascii="Arial" w:hAnsi="Arial" w:cs="Arial"/>
          <w:sz w:val="28"/>
          <w:szCs w:val="28"/>
          <w:lang w:val="es-ES_tradnl"/>
        </w:rPr>
        <w:lastRenderedPageBreak/>
        <w:t xml:space="preserve">tratarse de una apelación admisible en ambos efectos en términos del </w:t>
      </w:r>
      <w:r w:rsidRPr="00CC74EE">
        <w:rPr>
          <w:rFonts w:ascii="Arial" w:hAnsi="Arial" w:cs="Arial"/>
          <w:sz w:val="28"/>
          <w:szCs w:val="28"/>
        </w:rPr>
        <w:t xml:space="preserve">artículo 945 del Código en cita. </w:t>
      </w:r>
    </w:p>
    <w:p w:rsidR="00913F1E" w:rsidRPr="00CC74EE" w:rsidRDefault="00913F1E" w:rsidP="00913F1E">
      <w:pPr>
        <w:pStyle w:val="NormalWeb"/>
        <w:spacing w:after="240" w:line="480" w:lineRule="auto"/>
        <w:jc w:val="both"/>
        <w:rPr>
          <w:rFonts w:ascii="Arial" w:hAnsi="Arial" w:cs="Arial"/>
          <w:sz w:val="28"/>
          <w:szCs w:val="28"/>
          <w:lang w:val="es-ES_tradnl"/>
        </w:rPr>
      </w:pPr>
      <w:r w:rsidRPr="00CC74EE">
        <w:rPr>
          <w:rFonts w:ascii="Arial" w:hAnsi="Arial" w:cs="Arial"/>
          <w:sz w:val="28"/>
          <w:szCs w:val="28"/>
          <w:lang w:val="es-ES_tradnl"/>
        </w:rPr>
        <w:tab/>
      </w:r>
      <w:r w:rsidRPr="00CC74EE">
        <w:rPr>
          <w:rFonts w:ascii="Arial" w:hAnsi="Arial" w:cs="Arial"/>
          <w:sz w:val="28"/>
          <w:szCs w:val="28"/>
          <w:lang w:val="es-ES_tradnl"/>
        </w:rPr>
        <w:tab/>
      </w:r>
      <w:r w:rsidR="00600F22">
        <w:rPr>
          <w:rFonts w:ascii="Arial" w:hAnsi="Arial" w:cs="Arial"/>
          <w:sz w:val="28"/>
          <w:szCs w:val="28"/>
          <w:lang w:val="es-ES_tradnl"/>
        </w:rPr>
        <w:t>Es ilustrativa</w:t>
      </w:r>
      <w:r w:rsidRPr="00CC74EE">
        <w:rPr>
          <w:rFonts w:ascii="Arial" w:hAnsi="Arial" w:cs="Arial"/>
          <w:sz w:val="28"/>
          <w:szCs w:val="28"/>
          <w:lang w:val="es-ES_tradnl"/>
        </w:rPr>
        <w:t xml:space="preserve"> la Jurisprudencia lII.3o.C. J/17, sustentada por el Tercer Tribunal Colegiado en Materia Civil del Tercer Circuito, visible a fojas 963, del Tomo VIII, </w:t>
      </w:r>
      <w:proofErr w:type="gramStart"/>
      <w:r w:rsidRPr="00CC74EE">
        <w:rPr>
          <w:rFonts w:ascii="Arial" w:hAnsi="Arial" w:cs="Arial"/>
          <w:sz w:val="28"/>
          <w:szCs w:val="28"/>
          <w:lang w:val="es-ES_tradnl"/>
        </w:rPr>
        <w:t>Octubre</w:t>
      </w:r>
      <w:proofErr w:type="gramEnd"/>
      <w:r w:rsidRPr="00CC74EE">
        <w:rPr>
          <w:rFonts w:ascii="Arial" w:hAnsi="Arial" w:cs="Arial"/>
          <w:sz w:val="28"/>
          <w:szCs w:val="28"/>
          <w:lang w:val="es-ES_tradnl"/>
        </w:rPr>
        <w:t xml:space="preserve"> de 1998, Semanario Judicial de la Federación y su Gaceta, Novena Época, de texto y rubro siguiente:</w:t>
      </w:r>
    </w:p>
    <w:p w:rsidR="00913F1E" w:rsidRPr="00CC74EE" w:rsidRDefault="00913F1E" w:rsidP="00913F1E">
      <w:pPr>
        <w:pStyle w:val="NormalWeb"/>
        <w:spacing w:after="240" w:afterAutospacing="0" w:line="480" w:lineRule="auto"/>
        <w:jc w:val="both"/>
        <w:rPr>
          <w:rFonts w:ascii="Arial" w:hAnsi="Arial" w:cs="Arial"/>
          <w:sz w:val="28"/>
          <w:szCs w:val="28"/>
          <w:lang w:val="es-ES_tradnl"/>
        </w:rPr>
      </w:pPr>
      <w:r w:rsidRPr="00CC74EE">
        <w:rPr>
          <w:rFonts w:ascii="Arial" w:hAnsi="Arial" w:cs="Arial"/>
          <w:sz w:val="28"/>
          <w:szCs w:val="28"/>
          <w:lang w:val="es-ES_tradnl"/>
        </w:rPr>
        <w:tab/>
      </w:r>
      <w:r w:rsidRPr="00CC74EE">
        <w:rPr>
          <w:rFonts w:ascii="Arial" w:hAnsi="Arial" w:cs="Arial"/>
          <w:sz w:val="28"/>
          <w:szCs w:val="28"/>
          <w:lang w:val="es-ES_tradnl"/>
        </w:rPr>
        <w:tab/>
        <w:t>“</w:t>
      </w:r>
      <w:r w:rsidRPr="00CC74EE">
        <w:rPr>
          <w:rFonts w:ascii="Arial" w:hAnsi="Arial" w:cs="Arial"/>
          <w:b/>
          <w:bCs/>
          <w:sz w:val="28"/>
          <w:szCs w:val="28"/>
          <w:lang w:val="es-ES_tradnl"/>
        </w:rPr>
        <w:t>APELACIÓN RECURSO DE. SUPUESTO EN QUE NO SE REQUIERE APORTAR CONSTANCIAS NECESARIAS PARA SU TRÁMITE (LEGISLACIÓN DEL ESTADO DE JALISCO</w:t>
      </w:r>
      <w:r w:rsidRPr="00CC74EE">
        <w:rPr>
          <w:rFonts w:ascii="Arial" w:hAnsi="Arial" w:cs="Arial"/>
          <w:bCs/>
          <w:sz w:val="28"/>
          <w:szCs w:val="28"/>
          <w:lang w:val="es-ES_tradnl"/>
        </w:rPr>
        <w:t xml:space="preserve">). Del contenido de los artículos </w:t>
      </w:r>
      <w:r w:rsidRPr="00CC74EE">
        <w:rPr>
          <w:rFonts w:ascii="Arial" w:hAnsi="Arial" w:cs="Arial"/>
          <w:sz w:val="28"/>
          <w:szCs w:val="28"/>
          <w:lang w:val="es-ES_tradnl"/>
        </w:rPr>
        <w:t xml:space="preserve">438, 442 y </w:t>
      </w:r>
      <w:r w:rsidRPr="00CC74EE">
        <w:rPr>
          <w:rFonts w:ascii="Arial" w:hAnsi="Arial" w:cs="Arial"/>
          <w:bCs/>
          <w:sz w:val="28"/>
          <w:szCs w:val="28"/>
          <w:lang w:val="es-ES_tradnl"/>
        </w:rPr>
        <w:t xml:space="preserve">639 del reformado Código de Procedimientos Civiles de </w:t>
      </w:r>
      <w:r w:rsidRPr="00CC74EE">
        <w:rPr>
          <w:rFonts w:ascii="Arial" w:hAnsi="Arial" w:cs="Arial"/>
          <w:sz w:val="28"/>
          <w:szCs w:val="28"/>
          <w:lang w:val="es-ES_tradnl"/>
        </w:rPr>
        <w:t xml:space="preserve">Jalisco, se deduce que para la sustanciación del recurso de apelación es importante distinguir si se interpone contra sentencia definitiva, interlocutoria o auto; porque en la primera hipótesis, aun en el caso de los juicios sumarios hipotecarios, como tal recurso se admite únicamente en el efecto devolutivo, el recurrente no está obligado a aportar las constancias a que alude la fracción III del artículo 427 del ordenamiento invocado, ya que, de cualquier forma siempre será obligación del Juez enviar tanto el original del expediente como el escrito de agravios, por tratarse precisamente de resoluciones definitivas, lo que no ocurre en los restantes supuestos, en los que es obligación del inconforme aportar las constancias conducentes, para que junto con los mencionados agravios y los que en su caso </w:t>
      </w:r>
      <w:r w:rsidRPr="00CC74EE">
        <w:rPr>
          <w:rFonts w:ascii="Arial" w:hAnsi="Arial" w:cs="Arial"/>
          <w:sz w:val="28"/>
          <w:szCs w:val="28"/>
          <w:lang w:val="es-ES_tradnl"/>
        </w:rPr>
        <w:lastRenderedPageBreak/>
        <w:t>el Juez estime pertinente o la contraria necesario, se remitan al superior.”</w:t>
      </w:r>
    </w:p>
    <w:p w:rsidR="00913F1E" w:rsidRPr="00CC74EE" w:rsidRDefault="00913F1E" w:rsidP="00913F1E">
      <w:pPr>
        <w:spacing w:line="480" w:lineRule="auto"/>
        <w:jc w:val="both"/>
        <w:rPr>
          <w:rFonts w:ascii="Arial" w:hAnsi="Arial" w:cs="Arial"/>
          <w:sz w:val="28"/>
          <w:szCs w:val="28"/>
        </w:rPr>
      </w:pPr>
      <w:r w:rsidRPr="00CC74EE">
        <w:rPr>
          <w:rFonts w:cs="Arial"/>
          <w:bCs/>
          <w:sz w:val="28"/>
          <w:szCs w:val="28"/>
        </w:rPr>
        <w:tab/>
      </w:r>
      <w:r w:rsidRPr="00CC74EE">
        <w:rPr>
          <w:rFonts w:cs="Arial"/>
          <w:bCs/>
          <w:sz w:val="28"/>
          <w:szCs w:val="28"/>
        </w:rPr>
        <w:tab/>
      </w:r>
      <w:r w:rsidRPr="00CC74EE">
        <w:rPr>
          <w:rFonts w:ascii="Arial" w:hAnsi="Arial" w:cs="Arial"/>
          <w:bCs/>
          <w:sz w:val="28"/>
          <w:szCs w:val="28"/>
        </w:rPr>
        <w:t xml:space="preserve">Motivos por los cuales, lo expuesto por el colitigante al desahogar la vista ordenada es inoperante, dado lo resuelto en esta Instancia, en lo atinente a que el párrafo sexto del artículo 940 del Código de Procedimientos Civiles, únicamente será aplicable cuando el apelante tratándose de apelaciones que deban admitirse en efecto devolutivo, sea omiso en señalar constancias para integrar el testimonio de apelación, y no tratándose de apelaciones admisibles en ambos efectos, en cuyo caso </w:t>
      </w:r>
      <w:r w:rsidRPr="00CC74EE">
        <w:rPr>
          <w:rFonts w:ascii="Arial" w:hAnsi="Arial" w:cs="Arial"/>
          <w:sz w:val="28"/>
          <w:szCs w:val="28"/>
        </w:rPr>
        <w:t xml:space="preserve">no será necesario hacer el señalamiento de constancias </w:t>
      </w:r>
      <w:r w:rsidRPr="00CC74EE">
        <w:rPr>
          <w:rFonts w:ascii="Arial" w:hAnsi="Arial" w:cs="Arial"/>
          <w:sz w:val="28"/>
          <w:szCs w:val="28"/>
          <w:lang w:val="es-ES_tradnl"/>
        </w:rPr>
        <w:t>a que aludió el Juez de la causa a</w:t>
      </w:r>
      <w:r w:rsidRPr="00CC74EE">
        <w:rPr>
          <w:rFonts w:ascii="Arial" w:hAnsi="Arial" w:cs="Arial"/>
          <w:sz w:val="28"/>
          <w:szCs w:val="28"/>
        </w:rPr>
        <w:t xml:space="preserve">l interponer el recurso, dado que, por su propia naturaleza , la jurisdicción del juez de primera instancia queda suspendida en tanto se resuelve la apelación, por lo cual es un trámite inútil el señalamiento de constancias, ya que en términos del artículo 951 del Código Procesal Civil, se colige que en primer término corresponde al A quo de forma oficiosa la obligación de enviar los autos al superior, quien está facultado para requerirlo en caso de no hacerlo, </w:t>
      </w:r>
      <w:r w:rsidRPr="00CC74EE">
        <w:rPr>
          <w:rFonts w:ascii="Arial" w:hAnsi="Arial" w:cs="Arial"/>
          <w:sz w:val="28"/>
          <w:szCs w:val="28"/>
          <w:lang w:val="es-ES_tradnl"/>
        </w:rPr>
        <w:t xml:space="preserve">por tratarse de una apelación admisible en ambos efectos en términos del </w:t>
      </w:r>
      <w:r w:rsidRPr="00CC74EE">
        <w:rPr>
          <w:rFonts w:ascii="Arial" w:hAnsi="Arial" w:cs="Arial"/>
          <w:sz w:val="28"/>
          <w:szCs w:val="28"/>
        </w:rPr>
        <w:t xml:space="preserve">artículo 945 del Código en cita. </w:t>
      </w:r>
    </w:p>
    <w:p w:rsidR="00913F1E" w:rsidRPr="00CC74EE" w:rsidRDefault="00913F1E" w:rsidP="00913F1E">
      <w:pPr>
        <w:pStyle w:val="NormalWeb"/>
        <w:spacing w:after="240" w:afterAutospacing="0" w:line="480" w:lineRule="auto"/>
        <w:jc w:val="both"/>
        <w:rPr>
          <w:rFonts w:ascii="Arial" w:hAnsi="Arial" w:cs="Arial"/>
          <w:sz w:val="28"/>
          <w:szCs w:val="28"/>
          <w:lang w:val="es-ES_tradnl"/>
        </w:rPr>
      </w:pPr>
      <w:r w:rsidRPr="00CC74EE">
        <w:rPr>
          <w:rFonts w:ascii="Arial" w:hAnsi="Arial" w:cs="Arial"/>
          <w:sz w:val="28"/>
          <w:szCs w:val="28"/>
          <w:lang w:val="es-ES_tradnl"/>
        </w:rPr>
        <w:tab/>
      </w:r>
      <w:r w:rsidRPr="00CC74EE">
        <w:rPr>
          <w:rFonts w:ascii="Arial" w:hAnsi="Arial" w:cs="Arial"/>
          <w:sz w:val="28"/>
          <w:szCs w:val="28"/>
          <w:lang w:val="es-ES_tradnl"/>
        </w:rPr>
        <w:tab/>
        <w:t xml:space="preserve">Consecuentemente, por encontrarse fundado en derecho el recurso de queja interpuesto por </w:t>
      </w:r>
      <w:r w:rsidR="002153B3">
        <w:rPr>
          <w:rFonts w:ascii="Arial" w:hAnsi="Arial" w:cs="Arial"/>
          <w:b/>
          <w:i/>
          <w:sz w:val="28"/>
          <w:szCs w:val="28"/>
          <w:lang w:val="es-ES_tradnl"/>
        </w:rPr>
        <w:t>ELIMINADO</w:t>
      </w:r>
      <w:r w:rsidR="007164C3">
        <w:rPr>
          <w:rFonts w:ascii="Arial" w:hAnsi="Arial" w:cs="Arial"/>
          <w:b/>
          <w:i/>
          <w:sz w:val="28"/>
          <w:szCs w:val="28"/>
          <w:lang w:val="es-ES_tradnl"/>
        </w:rPr>
        <w:t xml:space="preserve"> </w:t>
      </w:r>
      <w:r w:rsidRPr="00CC74EE">
        <w:rPr>
          <w:rFonts w:ascii="Arial" w:hAnsi="Arial" w:cs="Arial"/>
          <w:sz w:val="28"/>
          <w:szCs w:val="28"/>
          <w:lang w:val="es-ES_tradnl"/>
        </w:rPr>
        <w:t xml:space="preserve">se declara insubsistente </w:t>
      </w:r>
      <w:r w:rsidRPr="00CC74EE">
        <w:rPr>
          <w:rFonts w:ascii="Arial" w:hAnsi="Arial" w:cs="Arial"/>
          <w:sz w:val="28"/>
          <w:szCs w:val="28"/>
        </w:rPr>
        <w:t xml:space="preserve">el auto dictado por </w:t>
      </w:r>
      <w:r w:rsidRPr="00CC74EE">
        <w:rPr>
          <w:rFonts w:ascii="Arial" w:hAnsi="Arial" w:cs="Arial"/>
          <w:b/>
          <w:bCs/>
          <w:sz w:val="28"/>
          <w:szCs w:val="28"/>
        </w:rPr>
        <w:t xml:space="preserve">Juez Segundo Civil, </w:t>
      </w:r>
      <w:r w:rsidRPr="00CC74EE">
        <w:rPr>
          <w:rFonts w:ascii="Arial" w:hAnsi="Arial" w:cs="Arial"/>
          <w:bCs/>
          <w:sz w:val="28"/>
          <w:szCs w:val="28"/>
        </w:rPr>
        <w:t>el</w:t>
      </w:r>
      <w:r w:rsidRPr="00CC74EE">
        <w:rPr>
          <w:rFonts w:ascii="Arial" w:hAnsi="Arial" w:cs="Arial"/>
          <w:sz w:val="28"/>
          <w:szCs w:val="28"/>
        </w:rPr>
        <w:t xml:space="preserve"> </w:t>
      </w:r>
      <w:r w:rsidRPr="00CC74EE">
        <w:rPr>
          <w:rFonts w:ascii="Arial" w:hAnsi="Arial" w:cs="Arial"/>
          <w:bCs/>
          <w:sz w:val="28"/>
          <w:szCs w:val="28"/>
        </w:rPr>
        <w:t>28 veintiocho de agosto de 2020 dos mil veinte</w:t>
      </w:r>
      <w:r w:rsidRPr="00CC74EE">
        <w:rPr>
          <w:rFonts w:ascii="Arial" w:hAnsi="Arial" w:cs="Arial"/>
          <w:sz w:val="28"/>
          <w:szCs w:val="28"/>
        </w:rPr>
        <w:t xml:space="preserve">, </w:t>
      </w:r>
      <w:r w:rsidRPr="00CC74EE">
        <w:rPr>
          <w:rFonts w:ascii="Arial" w:hAnsi="Arial" w:cs="Arial"/>
          <w:b/>
          <w:bCs/>
          <w:sz w:val="28"/>
          <w:szCs w:val="28"/>
        </w:rPr>
        <w:t xml:space="preserve">que le negó la </w:t>
      </w:r>
      <w:r w:rsidRPr="00CC74EE">
        <w:rPr>
          <w:rFonts w:ascii="Arial" w:hAnsi="Arial" w:cs="Arial"/>
          <w:b/>
          <w:bCs/>
          <w:sz w:val="28"/>
          <w:szCs w:val="28"/>
        </w:rPr>
        <w:lastRenderedPageBreak/>
        <w:t xml:space="preserve">admisión de un recurso de apelación </w:t>
      </w:r>
      <w:r w:rsidRPr="00CC74EE">
        <w:rPr>
          <w:rFonts w:ascii="Arial" w:hAnsi="Arial" w:cs="Arial"/>
          <w:sz w:val="28"/>
          <w:szCs w:val="28"/>
        </w:rPr>
        <w:t xml:space="preserve">dentro del expediente número </w:t>
      </w:r>
      <w:r w:rsidRPr="00CC74EE">
        <w:rPr>
          <w:rFonts w:ascii="Arial" w:hAnsi="Arial" w:cs="Arial"/>
          <w:b/>
          <w:bCs/>
          <w:sz w:val="28"/>
          <w:szCs w:val="28"/>
        </w:rPr>
        <w:t>1404/2018</w:t>
      </w:r>
      <w:r w:rsidRPr="00CC74EE">
        <w:rPr>
          <w:rFonts w:ascii="Arial" w:hAnsi="Arial" w:cs="Arial"/>
          <w:sz w:val="28"/>
          <w:szCs w:val="28"/>
        </w:rPr>
        <w:t xml:space="preserve">, relativo a un juicio extraordinario civil por rescisión de contrato de arrendamiento, promovido por </w:t>
      </w:r>
      <w:r w:rsidR="002153B3">
        <w:rPr>
          <w:rFonts w:ascii="Arial" w:hAnsi="Arial" w:cs="Arial"/>
          <w:b/>
          <w:i/>
          <w:sz w:val="28"/>
          <w:szCs w:val="28"/>
        </w:rPr>
        <w:t>ELIMINADO</w:t>
      </w:r>
      <w:r w:rsidRPr="00CC74EE">
        <w:rPr>
          <w:rFonts w:ascii="Arial" w:hAnsi="Arial" w:cs="Arial"/>
          <w:sz w:val="28"/>
          <w:szCs w:val="28"/>
        </w:rPr>
        <w:t>, en contra del quejoso, y</w:t>
      </w:r>
      <w:r w:rsidRPr="00CC74EE">
        <w:rPr>
          <w:rFonts w:ascii="Arial" w:hAnsi="Arial" w:cs="Arial"/>
          <w:sz w:val="28"/>
          <w:szCs w:val="28"/>
          <w:lang w:val="es-ES_tradnl"/>
        </w:rPr>
        <w:t xml:space="preserve"> se le ordena que en su lugar pronuncie otro en el que, en caso de no existir distinta causa de inadmisión, provea la admisión de la apelación interpuesta por </w:t>
      </w:r>
      <w:r w:rsidR="002153B3">
        <w:rPr>
          <w:rFonts w:ascii="Arial" w:hAnsi="Arial" w:cs="Arial"/>
          <w:b/>
          <w:i/>
          <w:sz w:val="28"/>
          <w:szCs w:val="28"/>
          <w:lang w:val="es-ES_tradnl"/>
        </w:rPr>
        <w:t>ELIMINADO</w:t>
      </w:r>
      <w:r w:rsidR="007164C3">
        <w:rPr>
          <w:rFonts w:ascii="Arial" w:hAnsi="Arial" w:cs="Arial"/>
          <w:b/>
          <w:i/>
          <w:sz w:val="28"/>
          <w:szCs w:val="28"/>
          <w:lang w:val="es-ES_tradnl"/>
        </w:rPr>
        <w:t xml:space="preserve"> </w:t>
      </w:r>
      <w:r w:rsidRPr="00CC74EE">
        <w:rPr>
          <w:rFonts w:ascii="Arial" w:hAnsi="Arial" w:cs="Arial"/>
          <w:sz w:val="28"/>
          <w:szCs w:val="28"/>
          <w:lang w:val="es-ES_tradnl"/>
        </w:rPr>
        <w:t>dándole el trámite que conforme a la ley corresponde.</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OCTAVO.</w:t>
      </w:r>
      <w:r w:rsidRPr="00CC74EE">
        <w:rPr>
          <w:rFonts w:ascii="Arial" w:hAnsi="Arial" w:cs="Arial"/>
          <w:bCs/>
          <w:sz w:val="28"/>
          <w:szCs w:val="28"/>
        </w:rPr>
        <w:t xml:space="preserve">- </w:t>
      </w:r>
      <w:r w:rsidRPr="00CC74EE">
        <w:rPr>
          <w:rFonts w:ascii="Arial" w:hAnsi="Arial" w:cs="Arial"/>
          <w:sz w:val="28"/>
          <w:szCs w:val="28"/>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w:t>
      </w:r>
      <w:r w:rsidRPr="00CC74EE">
        <w:rPr>
          <w:rFonts w:ascii="Arial" w:hAnsi="Arial" w:cs="Arial"/>
          <w:sz w:val="28"/>
          <w:szCs w:val="28"/>
        </w:rPr>
        <w:lastRenderedPageBreak/>
        <w:t>Nacional de Procedimientos Penales, 168 del Código de Comercio y 121 del Código de Procedimientos Civiles para el estado de San Luis Potosí, se publicarán el nombre y apellido completos de los interesados en los asuntos jurisdiccionales que se mandan notificar por edictos, estrados, lista, así como en la página de internet del Poder Judicial del estado de San Luis Potosí.</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bCs/>
          <w:sz w:val="28"/>
          <w:szCs w:val="28"/>
        </w:rPr>
        <w:tab/>
      </w:r>
      <w:r w:rsidRPr="00CC74EE">
        <w:rPr>
          <w:rFonts w:ascii="Arial" w:hAnsi="Arial" w:cs="Arial"/>
          <w:bCs/>
          <w:sz w:val="28"/>
          <w:szCs w:val="28"/>
        </w:rPr>
        <w:tab/>
        <w:t xml:space="preserve">Por lo anteriormente expuesto y fundado, se resuelve: </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PRIMERO:</w:t>
      </w:r>
      <w:r w:rsidRPr="00CC74EE">
        <w:rPr>
          <w:rFonts w:ascii="Arial" w:hAnsi="Arial" w:cs="Arial"/>
          <w:bCs/>
          <w:sz w:val="28"/>
          <w:szCs w:val="28"/>
        </w:rPr>
        <w:t xml:space="preserve"> Este Tribunal en Pleno resultó competente para conocer de la queja interpuesta y la substanciación a dicho medio de impugnación fue ajustado a derecho.</w:t>
      </w:r>
    </w:p>
    <w:p w:rsidR="007164C3" w:rsidRDefault="00913F1E" w:rsidP="00913F1E">
      <w:pPr>
        <w:spacing w:line="480" w:lineRule="auto"/>
        <w:jc w:val="both"/>
        <w:rPr>
          <w:rFonts w:ascii="Arial" w:hAnsi="Arial" w:cs="Arial"/>
          <w:b/>
          <w:i/>
          <w:sz w:val="28"/>
          <w:szCs w:val="28"/>
          <w:lang w:val="es-ES_tradnl"/>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SEGUNDO:</w:t>
      </w:r>
      <w:r w:rsidRPr="00CC74EE">
        <w:rPr>
          <w:rFonts w:ascii="Arial" w:hAnsi="Arial" w:cs="Arial"/>
          <w:bCs/>
          <w:sz w:val="28"/>
          <w:szCs w:val="28"/>
        </w:rPr>
        <w:t xml:space="preserve"> Resultó fundado el recurso de queja interpuesto por</w:t>
      </w:r>
      <w:r w:rsidRPr="00CC74EE">
        <w:rPr>
          <w:rFonts w:ascii="Arial" w:hAnsi="Arial" w:cs="Arial"/>
          <w:sz w:val="28"/>
          <w:szCs w:val="28"/>
        </w:rPr>
        <w:t xml:space="preserve"> </w:t>
      </w:r>
      <w:r w:rsidR="002153B3">
        <w:rPr>
          <w:rFonts w:ascii="Arial" w:hAnsi="Arial" w:cs="Arial"/>
          <w:b/>
          <w:i/>
          <w:sz w:val="28"/>
          <w:szCs w:val="28"/>
          <w:lang w:val="es-ES_tradnl"/>
        </w:rPr>
        <w:t>ELIMINADO</w:t>
      </w:r>
    </w:p>
    <w:p w:rsidR="00913F1E" w:rsidRPr="00CC74EE" w:rsidRDefault="007164C3" w:rsidP="00913F1E">
      <w:pPr>
        <w:spacing w:line="480" w:lineRule="auto"/>
        <w:jc w:val="both"/>
        <w:rPr>
          <w:rFonts w:ascii="Arial" w:hAnsi="Arial" w:cs="Arial"/>
          <w:bCs/>
          <w:sz w:val="28"/>
          <w:szCs w:val="28"/>
        </w:rPr>
      </w:pPr>
      <w:r>
        <w:rPr>
          <w:rFonts w:ascii="Arial" w:hAnsi="Arial" w:cs="Arial"/>
          <w:b/>
          <w:i/>
          <w:sz w:val="28"/>
          <w:szCs w:val="28"/>
          <w:lang w:val="es-ES_tradnl"/>
        </w:rPr>
        <w:tab/>
      </w:r>
      <w:r>
        <w:rPr>
          <w:rFonts w:ascii="Arial" w:hAnsi="Arial" w:cs="Arial"/>
          <w:b/>
          <w:i/>
          <w:sz w:val="28"/>
          <w:szCs w:val="28"/>
          <w:lang w:val="es-ES_tradnl"/>
        </w:rPr>
        <w:tab/>
      </w:r>
      <w:r w:rsidR="00913F1E" w:rsidRPr="00CC74EE">
        <w:rPr>
          <w:rFonts w:ascii="Arial" w:hAnsi="Arial" w:cs="Arial"/>
          <w:b/>
          <w:bCs/>
          <w:sz w:val="28"/>
          <w:szCs w:val="28"/>
        </w:rPr>
        <w:t>TERCERO:</w:t>
      </w:r>
      <w:r w:rsidR="00913F1E" w:rsidRPr="00CC74EE">
        <w:rPr>
          <w:rFonts w:ascii="Arial" w:hAnsi="Arial" w:cs="Arial"/>
          <w:bCs/>
          <w:sz w:val="28"/>
          <w:szCs w:val="28"/>
        </w:rPr>
        <w:t xml:space="preserve"> En consecuencia, se deja sin efecto el proveído recurrido de 28 veintiocho de agosto de 2020 dos mil veinte</w:t>
      </w:r>
      <w:r w:rsidR="00913F1E" w:rsidRPr="00CC74EE">
        <w:rPr>
          <w:rFonts w:ascii="Arial" w:hAnsi="Arial" w:cs="Arial"/>
          <w:sz w:val="28"/>
          <w:szCs w:val="28"/>
        </w:rPr>
        <w:t xml:space="preserve">, </w:t>
      </w:r>
      <w:r w:rsidR="00913F1E" w:rsidRPr="00CC74EE">
        <w:rPr>
          <w:rFonts w:ascii="Arial" w:hAnsi="Arial" w:cs="Arial"/>
          <w:bCs/>
          <w:sz w:val="28"/>
          <w:szCs w:val="28"/>
        </w:rPr>
        <w:t xml:space="preserve">y se ordena al juzgador emita otro en el que, en caso de no haber diversa causa de </w:t>
      </w:r>
      <w:proofErr w:type="spellStart"/>
      <w:r w:rsidR="00913F1E" w:rsidRPr="00CC74EE">
        <w:rPr>
          <w:rFonts w:ascii="Arial" w:hAnsi="Arial" w:cs="Arial"/>
          <w:bCs/>
          <w:sz w:val="28"/>
          <w:szCs w:val="28"/>
        </w:rPr>
        <w:t>desechamiento</w:t>
      </w:r>
      <w:proofErr w:type="spellEnd"/>
      <w:r w:rsidR="00913F1E" w:rsidRPr="00CC74EE">
        <w:rPr>
          <w:rFonts w:ascii="Arial" w:hAnsi="Arial" w:cs="Arial"/>
          <w:bCs/>
          <w:sz w:val="28"/>
          <w:szCs w:val="28"/>
        </w:rPr>
        <w:t>, provea sobre la admisión del recurso de apelación interpuesto por</w:t>
      </w:r>
      <w:r w:rsidR="00913F1E" w:rsidRPr="00CC74EE">
        <w:rPr>
          <w:rFonts w:ascii="Arial" w:hAnsi="Arial" w:cs="Arial"/>
          <w:sz w:val="28"/>
          <w:szCs w:val="28"/>
        </w:rPr>
        <w:t xml:space="preserve"> </w:t>
      </w:r>
      <w:r w:rsidR="002153B3">
        <w:rPr>
          <w:rFonts w:ascii="Arial" w:hAnsi="Arial" w:cs="Arial"/>
          <w:b/>
          <w:i/>
          <w:sz w:val="28"/>
          <w:szCs w:val="28"/>
          <w:lang w:val="es-ES_tradnl"/>
        </w:rPr>
        <w:t>ELIMINADO</w:t>
      </w:r>
      <w:r w:rsidR="00913F1E" w:rsidRPr="00CC74EE">
        <w:rPr>
          <w:rFonts w:ascii="Arial" w:hAnsi="Arial" w:cs="Arial"/>
          <w:bCs/>
          <w:sz w:val="28"/>
          <w:szCs w:val="28"/>
        </w:rPr>
        <w:t>dándose el trámite que conforme a la ley corresponda y acorde a lo resuelto en el considerando séptimo de esta sentencia.</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CUARTO:</w:t>
      </w:r>
      <w:r w:rsidRPr="00CC74EE">
        <w:rPr>
          <w:rFonts w:ascii="Arial" w:hAnsi="Arial" w:cs="Arial"/>
          <w:bCs/>
          <w:sz w:val="28"/>
          <w:szCs w:val="28"/>
        </w:rPr>
        <w:t xml:space="preserve"> Envíese copia certificada de esta resolución al Juez Segundo Civil, para su conocimiento y efectos legales a que haya lugar, y en su oportunidad, archívese el Toca donde corresponda.</w:t>
      </w:r>
    </w:p>
    <w:p w:rsidR="00913F1E" w:rsidRPr="00CC74EE" w:rsidRDefault="00913F1E" w:rsidP="00913F1E">
      <w:pPr>
        <w:spacing w:line="480" w:lineRule="auto"/>
        <w:jc w:val="both"/>
        <w:rPr>
          <w:rFonts w:ascii="Arial" w:hAnsi="Arial" w:cs="Arial"/>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QUINTO:</w:t>
      </w:r>
      <w:r w:rsidRPr="00CC74EE">
        <w:rPr>
          <w:rFonts w:ascii="Arial" w:hAnsi="Arial" w:cs="Arial"/>
          <w:bCs/>
          <w:sz w:val="28"/>
          <w:szCs w:val="28"/>
        </w:rPr>
        <w:t xml:space="preserve"> Conforme </w:t>
      </w:r>
      <w:r w:rsidRPr="00CC74EE">
        <w:rPr>
          <w:rFonts w:ascii="Arial" w:hAnsi="Arial" w:cs="Arial"/>
          <w:sz w:val="28"/>
          <w:szCs w:val="28"/>
        </w:rPr>
        <w:t xml:space="preserve">al artículo 73, fracción II, de la Ley General de Transparencia y Acceso a la Información Pública, 87, </w:t>
      </w:r>
      <w:r w:rsidRPr="00CC74EE">
        <w:rPr>
          <w:rFonts w:ascii="Arial" w:hAnsi="Arial" w:cs="Arial"/>
          <w:sz w:val="28"/>
          <w:szCs w:val="28"/>
        </w:rPr>
        <w:lastRenderedPageBreak/>
        <w:t>fracción III, de la Ley de Transparencia y Acceso a la Información Pública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p>
    <w:p w:rsidR="00913F1E" w:rsidRPr="00CC74EE" w:rsidRDefault="00913F1E" w:rsidP="00913F1E">
      <w:pPr>
        <w:spacing w:line="480" w:lineRule="auto"/>
        <w:jc w:val="both"/>
        <w:rPr>
          <w:rFonts w:ascii="Arial" w:hAnsi="Arial" w:cs="Arial"/>
          <w:bCs/>
          <w:sz w:val="28"/>
          <w:szCs w:val="28"/>
        </w:rPr>
      </w:pPr>
      <w:r w:rsidRPr="00CC74EE">
        <w:rPr>
          <w:rFonts w:ascii="Arial" w:hAnsi="Arial" w:cs="Arial"/>
          <w:bCs/>
          <w:sz w:val="28"/>
          <w:szCs w:val="28"/>
        </w:rPr>
        <w:tab/>
      </w:r>
      <w:r w:rsidRPr="00CC74EE">
        <w:rPr>
          <w:rFonts w:ascii="Arial" w:hAnsi="Arial" w:cs="Arial"/>
          <w:bCs/>
          <w:sz w:val="28"/>
          <w:szCs w:val="28"/>
        </w:rPr>
        <w:tab/>
      </w:r>
      <w:r w:rsidRPr="00CC74EE">
        <w:rPr>
          <w:rFonts w:ascii="Arial" w:hAnsi="Arial" w:cs="Arial"/>
          <w:b/>
          <w:bCs/>
          <w:sz w:val="28"/>
          <w:szCs w:val="28"/>
        </w:rPr>
        <w:t>SEXTO:</w:t>
      </w:r>
      <w:r w:rsidRPr="00CC74EE">
        <w:rPr>
          <w:rFonts w:ascii="Arial" w:hAnsi="Arial" w:cs="Arial"/>
          <w:bCs/>
          <w:sz w:val="28"/>
          <w:szCs w:val="28"/>
        </w:rPr>
        <w:t xml:space="preserve"> Notifíquese personalmente, comuníquese y cúmplase.</w:t>
      </w:r>
    </w:p>
    <w:p w:rsidR="00913F1E" w:rsidRPr="00CC74EE" w:rsidRDefault="00913F1E" w:rsidP="00913F1E">
      <w:pPr>
        <w:spacing w:line="480" w:lineRule="auto"/>
        <w:jc w:val="both"/>
        <w:rPr>
          <w:rFonts w:ascii="Arial" w:eastAsia="Arial Unicode MS" w:hAnsi="Arial" w:cs="Arial"/>
          <w:sz w:val="28"/>
          <w:szCs w:val="28"/>
          <w:lang w:val="es-MX"/>
        </w:rPr>
      </w:pPr>
      <w:r w:rsidRPr="00CC74EE">
        <w:rPr>
          <w:rFonts w:ascii="Arial" w:eastAsia="Arial Unicode MS" w:hAnsi="Arial" w:cs="Arial"/>
          <w:b/>
          <w:sz w:val="28"/>
          <w:szCs w:val="28"/>
        </w:rPr>
        <w:tab/>
      </w:r>
      <w:r w:rsidRPr="00CC74EE">
        <w:rPr>
          <w:rFonts w:ascii="Arial" w:eastAsia="Arial Unicode MS" w:hAnsi="Arial" w:cs="Arial"/>
          <w:b/>
          <w:sz w:val="28"/>
          <w:szCs w:val="28"/>
        </w:rPr>
        <w:tab/>
      </w:r>
      <w:r w:rsidRPr="00CC74EE">
        <w:rPr>
          <w:rFonts w:ascii="Arial" w:eastAsia="Arial Unicode MS" w:hAnsi="Arial" w:cs="Arial"/>
          <w:sz w:val="28"/>
          <w:szCs w:val="28"/>
        </w:rPr>
        <w:t xml:space="preserve">Así, </w:t>
      </w:r>
      <w:r w:rsidR="00335415">
        <w:rPr>
          <w:rFonts w:ascii="Arial" w:eastAsia="Arial Unicode MS" w:hAnsi="Arial" w:cs="Arial"/>
          <w:sz w:val="28"/>
          <w:szCs w:val="28"/>
        </w:rPr>
        <w:t xml:space="preserve">por unanimidad </w:t>
      </w:r>
      <w:r w:rsidRPr="00CC74EE">
        <w:rPr>
          <w:rFonts w:ascii="Arial" w:eastAsia="Arial Unicode MS" w:hAnsi="Arial" w:cs="Arial"/>
          <w:sz w:val="28"/>
          <w:szCs w:val="28"/>
        </w:rPr>
        <w:t xml:space="preserve">de votos de los presentes, lo resolvieron y firman los Magistrados </w:t>
      </w:r>
      <w:r w:rsidR="00A26820" w:rsidRPr="009D06EB">
        <w:rPr>
          <w:rFonts w:ascii="Arial" w:eastAsia="Arial Unicode MS" w:hAnsi="Arial" w:cs="Arial"/>
          <w:color w:val="000000"/>
          <w:sz w:val="28"/>
          <w:szCs w:val="28"/>
          <w:lang w:val="es-MX"/>
        </w:rPr>
        <w:t xml:space="preserve">Olga Regina García López, </w:t>
      </w:r>
      <w:r w:rsidR="00A26820">
        <w:rPr>
          <w:rFonts w:ascii="Arial" w:eastAsia="Arial Unicode MS" w:hAnsi="Arial" w:cs="Arial"/>
          <w:color w:val="000000"/>
          <w:sz w:val="28"/>
          <w:szCs w:val="28"/>
          <w:lang w:val="es-MX"/>
        </w:rPr>
        <w:t xml:space="preserve">Ma. Guadalupe Orozco Santiago, </w:t>
      </w:r>
      <w:r w:rsidR="00A26820" w:rsidRPr="009D06EB">
        <w:rPr>
          <w:rFonts w:ascii="Arial" w:eastAsia="Arial Unicode MS" w:hAnsi="Arial" w:cs="Arial"/>
          <w:color w:val="000000"/>
          <w:sz w:val="28"/>
          <w:szCs w:val="28"/>
          <w:lang w:val="es-MX"/>
        </w:rPr>
        <w:t xml:space="preserve">José Armando Martínez Vázquez, Carlos Alejandro Robledo Zapata, </w:t>
      </w:r>
      <w:r w:rsidR="00A26820">
        <w:rPr>
          <w:rFonts w:ascii="Arial" w:eastAsia="Arial Unicode MS" w:hAnsi="Arial" w:cs="Arial"/>
          <w:color w:val="000000"/>
          <w:sz w:val="28"/>
          <w:szCs w:val="28"/>
          <w:lang w:val="es-MX"/>
        </w:rPr>
        <w:t xml:space="preserve">Luz María Enriqueta Cabrero Romero, Rebeca </w:t>
      </w:r>
      <w:proofErr w:type="spellStart"/>
      <w:r w:rsidR="00A26820">
        <w:rPr>
          <w:rFonts w:ascii="Arial" w:eastAsia="Arial Unicode MS" w:hAnsi="Arial" w:cs="Arial"/>
          <w:color w:val="000000"/>
          <w:sz w:val="28"/>
          <w:szCs w:val="28"/>
          <w:lang w:val="es-MX"/>
        </w:rPr>
        <w:t>Anastac</w:t>
      </w:r>
      <w:r w:rsidR="00A26820" w:rsidRPr="009D06EB">
        <w:rPr>
          <w:rFonts w:ascii="Arial" w:eastAsia="Arial Unicode MS" w:hAnsi="Arial" w:cs="Arial"/>
          <w:color w:val="000000"/>
          <w:sz w:val="28"/>
          <w:szCs w:val="28"/>
          <w:lang w:val="es-MX"/>
        </w:rPr>
        <w:t>ia</w:t>
      </w:r>
      <w:proofErr w:type="spellEnd"/>
      <w:r w:rsidR="00A26820" w:rsidRPr="009D06EB">
        <w:rPr>
          <w:rFonts w:ascii="Arial" w:eastAsia="Arial Unicode MS" w:hAnsi="Arial" w:cs="Arial"/>
          <w:color w:val="000000"/>
          <w:sz w:val="28"/>
          <w:szCs w:val="28"/>
          <w:lang w:val="es-MX"/>
        </w:rPr>
        <w:t xml:space="preserve"> Medina García, Juan Paulo Almazán </w:t>
      </w:r>
      <w:proofErr w:type="spellStart"/>
      <w:r w:rsidR="00A26820" w:rsidRPr="009D06EB">
        <w:rPr>
          <w:rFonts w:ascii="Arial" w:eastAsia="Arial Unicode MS" w:hAnsi="Arial" w:cs="Arial"/>
          <w:color w:val="000000"/>
          <w:sz w:val="28"/>
          <w:szCs w:val="28"/>
          <w:lang w:val="es-MX"/>
        </w:rPr>
        <w:t>Cue</w:t>
      </w:r>
      <w:proofErr w:type="spellEnd"/>
      <w:r w:rsidR="00A26820" w:rsidRPr="009D06EB">
        <w:rPr>
          <w:rFonts w:ascii="Arial" w:eastAsia="Arial Unicode MS" w:hAnsi="Arial" w:cs="Arial"/>
          <w:color w:val="000000"/>
          <w:sz w:val="28"/>
          <w:szCs w:val="28"/>
          <w:lang w:val="es-MX"/>
        </w:rPr>
        <w:t xml:space="preserve">, María Manuela García Cázares, </w:t>
      </w:r>
      <w:r w:rsidR="00A26820">
        <w:rPr>
          <w:rFonts w:ascii="Arial" w:eastAsia="Arial Unicode MS" w:hAnsi="Arial" w:cs="Arial"/>
          <w:color w:val="000000"/>
          <w:sz w:val="28"/>
          <w:szCs w:val="28"/>
          <w:lang w:val="es-MX"/>
        </w:rPr>
        <w:t>María Elena Palomino Reyna</w:t>
      </w:r>
      <w:r w:rsidR="00A26820" w:rsidRPr="009D06EB">
        <w:rPr>
          <w:rFonts w:ascii="Arial" w:eastAsia="Arial Unicode MS" w:hAnsi="Arial" w:cs="Arial"/>
          <w:color w:val="000000"/>
          <w:sz w:val="28"/>
          <w:szCs w:val="28"/>
          <w:lang w:val="es-MX"/>
        </w:rPr>
        <w:t>, Alma Delia González Centeno, Jesús María Ponce de León Montes, Alejandro Hernández Castil</w:t>
      </w:r>
      <w:r w:rsidR="00A26820">
        <w:rPr>
          <w:rFonts w:ascii="Arial" w:eastAsia="Arial Unicode MS" w:hAnsi="Arial" w:cs="Arial"/>
          <w:color w:val="000000"/>
          <w:sz w:val="28"/>
          <w:szCs w:val="28"/>
          <w:lang w:val="es-MX"/>
        </w:rPr>
        <w:t xml:space="preserve">lo, Graciela Treviño Rodríguez, </w:t>
      </w:r>
      <w:r w:rsidR="00AE79BD">
        <w:rPr>
          <w:rFonts w:ascii="Arial" w:eastAsia="Arial Unicode MS" w:hAnsi="Arial" w:cs="Arial"/>
          <w:color w:val="000000"/>
          <w:sz w:val="28"/>
          <w:szCs w:val="28"/>
          <w:lang w:val="es-MX"/>
        </w:rPr>
        <w:t xml:space="preserve">Aracely Amparan Madrigal </w:t>
      </w:r>
      <w:r w:rsidR="00A26820">
        <w:rPr>
          <w:rFonts w:ascii="Arial" w:eastAsia="Arial Unicode MS" w:hAnsi="Arial" w:cs="Arial"/>
          <w:color w:val="000000"/>
          <w:sz w:val="28"/>
          <w:szCs w:val="28"/>
          <w:lang w:val="es-MX"/>
        </w:rPr>
        <w:t xml:space="preserve">y </w:t>
      </w:r>
      <w:r w:rsidR="00AE79BD">
        <w:rPr>
          <w:rFonts w:ascii="Arial" w:eastAsia="Arial Unicode MS" w:hAnsi="Arial" w:cs="Arial"/>
          <w:color w:val="000000"/>
          <w:sz w:val="28"/>
          <w:szCs w:val="28"/>
          <w:lang w:val="es-MX"/>
        </w:rPr>
        <w:t>José Luis Ortiz Bravo</w:t>
      </w:r>
      <w:r w:rsidRPr="00CC74EE">
        <w:rPr>
          <w:rFonts w:ascii="Arial" w:eastAsia="Arial Unicode MS" w:hAnsi="Arial" w:cs="Arial"/>
          <w:sz w:val="28"/>
          <w:szCs w:val="28"/>
          <w:lang w:val="es-MX"/>
        </w:rPr>
        <w:t xml:space="preserve">, siendo ponente el Magistrado </w:t>
      </w:r>
      <w:r w:rsidRPr="00CC74EE">
        <w:rPr>
          <w:rFonts w:ascii="Arial" w:eastAsia="Arial Unicode MS" w:hAnsi="Arial" w:cs="Arial"/>
          <w:b/>
          <w:sz w:val="28"/>
          <w:szCs w:val="28"/>
          <w:lang w:val="es-MX"/>
        </w:rPr>
        <w:t>Jesús María Ponce de León Montes,</w:t>
      </w:r>
      <w:r w:rsidRPr="00CC74EE">
        <w:rPr>
          <w:rFonts w:ascii="Arial" w:eastAsia="Arial Unicode MS" w:hAnsi="Arial" w:cs="Arial"/>
          <w:sz w:val="28"/>
          <w:szCs w:val="28"/>
          <w:lang w:val="es-MX"/>
        </w:rPr>
        <w:t xml:space="preserve"> que actúan con Secretaria General de acuerdos, licenciada Ma. Rosario Torres Mancilla, que autoriza y da fe. </w:t>
      </w:r>
    </w:p>
    <w:p w:rsidR="00AE79BD" w:rsidRDefault="00AE79BD" w:rsidP="00A26820">
      <w:pPr>
        <w:tabs>
          <w:tab w:val="left" w:pos="2817"/>
        </w:tabs>
        <w:jc w:val="center"/>
        <w:rPr>
          <w:sz w:val="28"/>
          <w:szCs w:val="28"/>
        </w:rPr>
      </w:pPr>
    </w:p>
    <w:p w:rsidR="00AE79BD" w:rsidRDefault="00AE79BD" w:rsidP="00A26820">
      <w:pPr>
        <w:tabs>
          <w:tab w:val="left" w:pos="2817"/>
        </w:tabs>
        <w:jc w:val="center"/>
        <w:rPr>
          <w:sz w:val="28"/>
          <w:szCs w:val="28"/>
        </w:rPr>
      </w:pPr>
    </w:p>
    <w:p w:rsidR="00AE79BD" w:rsidRDefault="00AE79BD" w:rsidP="00A26820">
      <w:pPr>
        <w:tabs>
          <w:tab w:val="left" w:pos="2817"/>
        </w:tabs>
        <w:jc w:val="center"/>
        <w:rPr>
          <w:sz w:val="28"/>
          <w:szCs w:val="28"/>
        </w:rPr>
      </w:pPr>
    </w:p>
    <w:p w:rsidR="00AE79BD" w:rsidRDefault="00AE79BD" w:rsidP="00A26820">
      <w:pPr>
        <w:tabs>
          <w:tab w:val="left" w:pos="2817"/>
        </w:tabs>
        <w:jc w:val="center"/>
        <w:rPr>
          <w:sz w:val="28"/>
          <w:szCs w:val="28"/>
        </w:rPr>
      </w:pPr>
    </w:p>
    <w:p w:rsidR="00A26820" w:rsidRDefault="00A26820" w:rsidP="00A26820">
      <w:pPr>
        <w:tabs>
          <w:tab w:val="left" w:pos="2817"/>
        </w:tabs>
        <w:jc w:val="center"/>
        <w:rPr>
          <w:sz w:val="28"/>
          <w:szCs w:val="28"/>
        </w:rPr>
      </w:pPr>
    </w:p>
    <w:p w:rsidR="00A26820" w:rsidRDefault="00A26820" w:rsidP="00A26820">
      <w:pPr>
        <w:tabs>
          <w:tab w:val="left" w:pos="2817"/>
        </w:tabs>
        <w:jc w:val="center"/>
        <w:rPr>
          <w:sz w:val="28"/>
          <w:szCs w:val="28"/>
        </w:rPr>
      </w:pPr>
      <w:r>
        <w:rPr>
          <w:sz w:val="28"/>
          <w:szCs w:val="28"/>
        </w:rPr>
        <w:t>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OLGA REGINA GARCÍA LÓPEZ.</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MA. GUADALUPE OROZCO SANTIAGO</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MGDO.JOSÉ ARMANDO MARTÍNEZ VÁZQUEZ.</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MGDO.</w:t>
      </w:r>
      <w:r w:rsidRPr="009D06EB">
        <w:rPr>
          <w:rFonts w:ascii="Arial" w:eastAsia="Arial Unicode MS" w:hAnsi="Arial" w:cs="Arial"/>
          <w:color w:val="000000"/>
          <w:sz w:val="28"/>
          <w:szCs w:val="28"/>
          <w:lang w:val="es-MX"/>
        </w:rPr>
        <w:t>CARL</w:t>
      </w:r>
      <w:r>
        <w:rPr>
          <w:rFonts w:ascii="Arial" w:eastAsia="Arial Unicode MS" w:hAnsi="Arial" w:cs="Arial"/>
          <w:color w:val="000000"/>
          <w:sz w:val="28"/>
          <w:szCs w:val="28"/>
          <w:lang w:val="es-MX"/>
        </w:rPr>
        <w:t>OS ALEJANDRO ROBLEDO ZAPATA.</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MGDA.LUZ MARÍA ENRIQUETA CABRERO ROMERO.</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REBECA ANASTACIA MEDINA GARCÍA.</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 xml:space="preserve">MGDO. </w:t>
      </w:r>
      <w:r w:rsidRPr="009D06EB">
        <w:rPr>
          <w:rFonts w:ascii="Arial" w:eastAsia="Arial Unicode MS" w:hAnsi="Arial" w:cs="Arial"/>
          <w:color w:val="000000"/>
          <w:sz w:val="28"/>
          <w:szCs w:val="28"/>
          <w:lang w:val="es-MX"/>
        </w:rPr>
        <w:t>JUAN PAULO ALMAZÁN CUE</w:t>
      </w:r>
      <w:r>
        <w:rPr>
          <w:rFonts w:ascii="Arial" w:eastAsia="Arial Unicode MS" w:hAnsi="Arial" w:cs="Arial"/>
          <w:color w:val="000000"/>
          <w:sz w:val="28"/>
          <w:szCs w:val="28"/>
          <w:lang w:val="es-MX"/>
        </w:rPr>
        <w:t>.</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lastRenderedPageBreak/>
        <w:t>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 xml:space="preserve">MGDA. </w:t>
      </w:r>
      <w:r w:rsidRPr="009D06EB">
        <w:rPr>
          <w:rFonts w:ascii="Arial" w:eastAsia="Arial Unicode MS" w:hAnsi="Arial" w:cs="Arial"/>
          <w:color w:val="000000"/>
          <w:sz w:val="28"/>
          <w:szCs w:val="28"/>
          <w:lang w:val="es-MX"/>
        </w:rPr>
        <w:t>MARÍA MANUELA GARCÍA CÁZARES</w:t>
      </w:r>
      <w:r>
        <w:rPr>
          <w:rFonts w:ascii="Arial" w:eastAsia="Arial Unicode MS" w:hAnsi="Arial" w:cs="Arial"/>
          <w:color w:val="000000"/>
          <w:sz w:val="28"/>
          <w:szCs w:val="28"/>
          <w:lang w:val="es-MX"/>
        </w:rPr>
        <w:t>.</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MARÍA ELENA PALOMINO REYNA.</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ALMA DELIA GONZÁLEZ CENTENO.</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 xml:space="preserve">MGDO. </w:t>
      </w:r>
      <w:r w:rsidRPr="009D06EB">
        <w:rPr>
          <w:rFonts w:ascii="Arial" w:eastAsia="Arial Unicode MS" w:hAnsi="Arial" w:cs="Arial"/>
          <w:color w:val="000000"/>
          <w:sz w:val="28"/>
          <w:szCs w:val="28"/>
          <w:lang w:val="es-MX"/>
        </w:rPr>
        <w:t>JESÚS MARÍA PONCE DE LEÓN MONTES</w:t>
      </w:r>
      <w:r>
        <w:rPr>
          <w:rFonts w:ascii="Arial" w:eastAsia="Arial Unicode MS" w:hAnsi="Arial" w:cs="Arial"/>
          <w:color w:val="000000"/>
          <w:sz w:val="28"/>
          <w:szCs w:val="28"/>
          <w:lang w:val="es-MX"/>
        </w:rPr>
        <w:t>.</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 xml:space="preserve">MGDO. </w:t>
      </w:r>
      <w:r w:rsidRPr="009D06EB">
        <w:rPr>
          <w:rFonts w:ascii="Arial" w:eastAsia="Arial Unicode MS" w:hAnsi="Arial" w:cs="Arial"/>
          <w:color w:val="000000"/>
          <w:sz w:val="28"/>
          <w:szCs w:val="28"/>
          <w:lang w:val="es-MX"/>
        </w:rPr>
        <w:t>ALEJANDRO HERNÁNDEZ CASTIL</w:t>
      </w:r>
      <w:r>
        <w:rPr>
          <w:rFonts w:ascii="Arial" w:eastAsia="Arial Unicode MS" w:hAnsi="Arial" w:cs="Arial"/>
          <w:color w:val="000000"/>
          <w:sz w:val="28"/>
          <w:szCs w:val="28"/>
          <w:lang w:val="es-MX"/>
        </w:rPr>
        <w:t>LO.</w:t>
      </w: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w:t>
      </w: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GRACIELA TREVIÑO RODRÍGUEZ.</w:t>
      </w: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_________________________________________</w:t>
      </w:r>
    </w:p>
    <w:p w:rsidR="00AE79BD" w:rsidRDefault="00AE79BD" w:rsidP="00AE79BD">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MGDA. ARACELY AMPARAN MADRIGAL.</w:t>
      </w: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p>
    <w:p w:rsidR="00A26820" w:rsidRDefault="00A26820" w:rsidP="00A26820">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lastRenderedPageBreak/>
        <w:t>_____________________________________</w:t>
      </w:r>
    </w:p>
    <w:p w:rsidR="00AE79BD" w:rsidRDefault="00AE79BD" w:rsidP="00AE79BD">
      <w:pPr>
        <w:tabs>
          <w:tab w:val="left" w:pos="2817"/>
        </w:tabs>
        <w:jc w:val="center"/>
        <w:rPr>
          <w:rFonts w:ascii="Arial" w:eastAsia="Arial Unicode MS" w:hAnsi="Arial" w:cs="Arial"/>
          <w:color w:val="000000"/>
          <w:sz w:val="28"/>
          <w:szCs w:val="28"/>
          <w:lang w:val="es-MX"/>
        </w:rPr>
      </w:pPr>
      <w:r>
        <w:rPr>
          <w:rFonts w:ascii="Arial" w:eastAsia="Arial Unicode MS" w:hAnsi="Arial" w:cs="Arial"/>
          <w:color w:val="000000"/>
          <w:sz w:val="28"/>
          <w:szCs w:val="28"/>
          <w:lang w:val="es-MX"/>
        </w:rPr>
        <w:t>MGDO. JOSÉ LUIS ORTIZ BRAVO.</w:t>
      </w:r>
    </w:p>
    <w:p w:rsidR="00A26820" w:rsidRDefault="00A26820"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E79BD" w:rsidRDefault="00AE79BD" w:rsidP="00A26820">
      <w:pPr>
        <w:tabs>
          <w:tab w:val="left" w:pos="2817"/>
        </w:tabs>
        <w:jc w:val="center"/>
        <w:rPr>
          <w:rFonts w:ascii="Arial" w:eastAsia="Arial Unicode MS" w:hAnsi="Arial" w:cs="Arial"/>
          <w:color w:val="000000"/>
          <w:sz w:val="28"/>
          <w:szCs w:val="28"/>
          <w:lang w:val="es-MX"/>
        </w:rPr>
      </w:pPr>
    </w:p>
    <w:p w:rsidR="00A26820" w:rsidRDefault="00A26820" w:rsidP="007458B9">
      <w:pPr>
        <w:tabs>
          <w:tab w:val="left" w:pos="2817"/>
        </w:tabs>
        <w:rPr>
          <w:rFonts w:ascii="Arial" w:eastAsia="Arial Unicode MS" w:hAnsi="Arial" w:cs="Arial"/>
          <w:color w:val="000000"/>
          <w:sz w:val="28"/>
          <w:szCs w:val="28"/>
          <w:lang w:val="es-MX"/>
        </w:rPr>
      </w:pPr>
    </w:p>
    <w:p w:rsidR="00A26820" w:rsidRDefault="00A26820" w:rsidP="007458B9">
      <w:pPr>
        <w:tabs>
          <w:tab w:val="left" w:pos="2817"/>
        </w:tabs>
        <w:rPr>
          <w:rFonts w:ascii="Arial" w:eastAsia="Arial Unicode MS" w:hAnsi="Arial" w:cs="Arial"/>
          <w:color w:val="000000"/>
          <w:sz w:val="28"/>
          <w:szCs w:val="28"/>
          <w:lang w:val="es-MX"/>
        </w:rPr>
      </w:pPr>
    </w:p>
    <w:p w:rsidR="00A26820" w:rsidRPr="009D06EB" w:rsidRDefault="00A26820" w:rsidP="00A26820">
      <w:pPr>
        <w:jc w:val="center"/>
        <w:rPr>
          <w:rFonts w:ascii="Arial" w:eastAsia="Arial Unicode MS" w:hAnsi="Arial" w:cs="Arial"/>
          <w:color w:val="000000"/>
          <w:sz w:val="28"/>
          <w:szCs w:val="28"/>
          <w:lang w:val="es-MX"/>
        </w:rPr>
      </w:pPr>
      <w:r w:rsidRPr="009D06EB">
        <w:rPr>
          <w:rFonts w:ascii="Arial" w:eastAsia="Arial Unicode MS" w:hAnsi="Arial" w:cs="Arial"/>
          <w:color w:val="000000"/>
          <w:sz w:val="28"/>
          <w:szCs w:val="28"/>
          <w:lang w:val="es-MX"/>
        </w:rPr>
        <w:t>______________________________________</w:t>
      </w:r>
    </w:p>
    <w:p w:rsidR="00A26820" w:rsidRPr="009D06EB" w:rsidRDefault="00A26820" w:rsidP="00A26820">
      <w:pPr>
        <w:jc w:val="center"/>
        <w:rPr>
          <w:rFonts w:ascii="Arial" w:eastAsia="Arial Unicode MS" w:hAnsi="Arial" w:cs="Arial"/>
          <w:color w:val="000000"/>
          <w:sz w:val="28"/>
          <w:szCs w:val="28"/>
          <w:lang w:val="es-MX"/>
        </w:rPr>
      </w:pPr>
      <w:r w:rsidRPr="009D06EB">
        <w:rPr>
          <w:rFonts w:ascii="Arial" w:eastAsia="Arial Unicode MS" w:hAnsi="Arial" w:cs="Arial"/>
          <w:color w:val="000000"/>
          <w:sz w:val="28"/>
          <w:szCs w:val="28"/>
          <w:lang w:val="es-MX"/>
        </w:rPr>
        <w:t>SECRETARIA GENERAL DE ACUERDOS</w:t>
      </w:r>
    </w:p>
    <w:p w:rsidR="00A26820" w:rsidRPr="009D06EB" w:rsidRDefault="00A26820" w:rsidP="00A26820">
      <w:pPr>
        <w:jc w:val="center"/>
        <w:rPr>
          <w:rFonts w:ascii="Arial" w:hAnsi="Arial" w:cs="Arial"/>
          <w:color w:val="000000"/>
          <w:sz w:val="28"/>
          <w:szCs w:val="28"/>
          <w:lang w:val="es-MX"/>
        </w:rPr>
      </w:pPr>
      <w:r w:rsidRPr="009D06EB">
        <w:rPr>
          <w:rFonts w:ascii="Arial" w:eastAsia="Arial Unicode MS" w:hAnsi="Arial" w:cs="Arial"/>
          <w:color w:val="000000"/>
          <w:sz w:val="28"/>
          <w:szCs w:val="28"/>
          <w:lang w:val="es-MX"/>
        </w:rPr>
        <w:t>LICENCIADA MA. ROSARIO TORRES MANCILLA</w:t>
      </w:r>
    </w:p>
    <w:p w:rsidR="00A26820" w:rsidRPr="00CC74EE" w:rsidRDefault="00A26820" w:rsidP="007458B9">
      <w:pPr>
        <w:tabs>
          <w:tab w:val="left" w:pos="2817"/>
        </w:tabs>
        <w:rPr>
          <w:sz w:val="28"/>
          <w:szCs w:val="28"/>
        </w:rPr>
      </w:pPr>
    </w:p>
    <w:sectPr w:rsidR="00A26820" w:rsidRPr="00CC74EE" w:rsidSect="004A23B4">
      <w:headerReference w:type="even" r:id="rId7"/>
      <w:headerReference w:type="default" r:id="rId8"/>
      <w:footerReference w:type="even" r:id="rId9"/>
      <w:footerReference w:type="default" r:id="rId10"/>
      <w:pgSz w:w="12240" w:h="20160" w:code="5"/>
      <w:pgMar w:top="1985" w:right="1134" w:bottom="1985" w:left="352" w:header="425" w:footer="709" w:gutter="255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5545" w:rsidRDefault="003E5545" w:rsidP="005161F6">
      <w:r>
        <w:separator/>
      </w:r>
    </w:p>
  </w:endnote>
  <w:endnote w:type="continuationSeparator" w:id="0">
    <w:p w:rsidR="003E5545" w:rsidRDefault="003E5545"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819013"/>
      <w:docPartObj>
        <w:docPartGallery w:val="Page Numbers (Bottom of Page)"/>
        <w:docPartUnique/>
      </w:docPartObj>
    </w:sdtPr>
    <w:sdtEndPr/>
    <w:sdtContent>
      <w:p w:rsidR="00913F1E" w:rsidRDefault="00913F1E">
        <w:pPr>
          <w:pStyle w:val="Piedepgina"/>
          <w:jc w:val="center"/>
        </w:pPr>
        <w:r>
          <w:fldChar w:fldCharType="begin"/>
        </w:r>
        <w:r>
          <w:instrText>PAGE   \* MERGEFORMAT</w:instrText>
        </w:r>
        <w:r>
          <w:fldChar w:fldCharType="separate"/>
        </w:r>
        <w:r w:rsidR="007164C3">
          <w:rPr>
            <w:noProof/>
          </w:rPr>
          <w:t>32</w:t>
        </w:r>
        <w:r>
          <w:fldChar w:fldCharType="end"/>
        </w:r>
      </w:p>
    </w:sdtContent>
  </w:sdt>
  <w:p w:rsidR="00913F1E" w:rsidRDefault="00913F1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254454"/>
      <w:docPartObj>
        <w:docPartGallery w:val="Page Numbers (Bottom of Page)"/>
        <w:docPartUnique/>
      </w:docPartObj>
    </w:sdtPr>
    <w:sdtEndPr/>
    <w:sdtContent>
      <w:p w:rsidR="00913F1E" w:rsidRDefault="00913F1E">
        <w:pPr>
          <w:pStyle w:val="Piedepgina"/>
          <w:jc w:val="center"/>
        </w:pPr>
        <w:r>
          <w:fldChar w:fldCharType="begin"/>
        </w:r>
        <w:r>
          <w:instrText>PAGE   \* MERGEFORMAT</w:instrText>
        </w:r>
        <w:r>
          <w:fldChar w:fldCharType="separate"/>
        </w:r>
        <w:r w:rsidR="007164C3">
          <w:rPr>
            <w:noProof/>
          </w:rPr>
          <w:t>31</w:t>
        </w:r>
        <w:r>
          <w:fldChar w:fldCharType="end"/>
        </w:r>
      </w:p>
    </w:sdtContent>
  </w:sdt>
  <w:p w:rsidR="00913F1E" w:rsidRDefault="00913F1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5545" w:rsidRDefault="003E5545" w:rsidP="005161F6">
      <w:r>
        <w:separator/>
      </w:r>
    </w:p>
  </w:footnote>
  <w:footnote w:type="continuationSeparator" w:id="0">
    <w:p w:rsidR="003E5545" w:rsidRDefault="003E5545" w:rsidP="005161F6">
      <w:r>
        <w:continuationSeparator/>
      </w:r>
    </w:p>
  </w:footnote>
  <w:footnote w:id="1">
    <w:p w:rsidR="00913F1E" w:rsidRPr="007E79B7" w:rsidRDefault="00913F1E" w:rsidP="00913F1E">
      <w:pPr>
        <w:pStyle w:val="Textonotapie"/>
        <w:jc w:val="both"/>
        <w:rPr>
          <w:sz w:val="22"/>
          <w:szCs w:val="22"/>
          <w:lang w:val="es-MX"/>
        </w:rPr>
      </w:pPr>
      <w:r w:rsidRPr="007E79B7">
        <w:rPr>
          <w:rStyle w:val="Refdenotaalpie"/>
          <w:sz w:val="22"/>
          <w:szCs w:val="22"/>
        </w:rPr>
        <w:footnoteRef/>
      </w:r>
      <w:r w:rsidRPr="007E79B7">
        <w:rPr>
          <w:sz w:val="22"/>
          <w:szCs w:val="22"/>
        </w:rPr>
        <w:t xml:space="preserve"> ART. 455.- La sentencia que decreta el lanzamiento será apelable en el efecto devolutivo, la que lo niegue será apelable en ambos efectos.</w:t>
      </w:r>
    </w:p>
  </w:footnote>
  <w:footnote w:id="2">
    <w:p w:rsidR="00E311D8" w:rsidRPr="00E311D8" w:rsidRDefault="00E311D8">
      <w:pPr>
        <w:pStyle w:val="Textonotapie"/>
        <w:rPr>
          <w:lang w:val="es-MX"/>
        </w:rPr>
      </w:pPr>
      <w:r>
        <w:rPr>
          <w:rStyle w:val="Refdenotaalpie"/>
        </w:rPr>
        <w:footnoteRef/>
      </w:r>
      <w:r>
        <w:t xml:space="preserve"> </w:t>
      </w:r>
      <w:r>
        <w:rPr>
          <w:lang w:val="es-MX"/>
        </w:rPr>
        <w:t xml:space="preserve">Recurso de queja 154/2020. 25 de febrero de 2021. Mayoría de votos, Ponente: Magistrada Graciela Treviño Rodríguez, Secretario de Estudio y Cuenta: José Alberto Canosa González. </w:t>
      </w:r>
    </w:p>
  </w:footnote>
  <w:footnote w:id="3">
    <w:p w:rsidR="004E5D87" w:rsidRPr="004E5D87" w:rsidRDefault="004E5D87">
      <w:pPr>
        <w:pStyle w:val="Textonotapie"/>
        <w:rPr>
          <w:lang w:val="es-MX"/>
        </w:rPr>
      </w:pPr>
      <w:r>
        <w:rPr>
          <w:rStyle w:val="Refdenotaalpie"/>
        </w:rPr>
        <w:footnoteRef/>
      </w:r>
      <w:r>
        <w:t xml:space="preserve"> </w:t>
      </w:r>
      <w:r>
        <w:rPr>
          <w:lang w:val="es-MX"/>
        </w:rPr>
        <w:t xml:space="preserve">Recurso de Queja 214/2020. 25 de febrero de 2021. Mayoría de votos. Ponente: Magistrado Juan Paulo Almazán </w:t>
      </w:r>
      <w:proofErr w:type="spellStart"/>
      <w:r>
        <w:rPr>
          <w:lang w:val="es-MX"/>
        </w:rPr>
        <w:t>Cue</w:t>
      </w:r>
      <w:proofErr w:type="spellEnd"/>
      <w:r>
        <w:rPr>
          <w:lang w:val="es-MX"/>
        </w:rPr>
        <w:t xml:space="preserve">. Secretario de Estudio y Cuenta: </w:t>
      </w:r>
      <w:proofErr w:type="spellStart"/>
      <w:r>
        <w:rPr>
          <w:lang w:val="es-MX"/>
        </w:rPr>
        <w:t>Alethia</w:t>
      </w:r>
      <w:proofErr w:type="spellEnd"/>
      <w:r>
        <w:rPr>
          <w:lang w:val="es-MX"/>
        </w:rPr>
        <w:t xml:space="preserve"> Loredo García </w:t>
      </w:r>
    </w:p>
  </w:footnote>
  <w:footnote w:id="4">
    <w:p w:rsidR="00913F1E" w:rsidRPr="007E79B7" w:rsidRDefault="00913F1E" w:rsidP="00913F1E">
      <w:pPr>
        <w:pStyle w:val="Textonotapie"/>
        <w:jc w:val="both"/>
        <w:rPr>
          <w:sz w:val="22"/>
          <w:szCs w:val="22"/>
          <w:lang w:val="es-MX"/>
        </w:rPr>
      </w:pPr>
      <w:r w:rsidRPr="007E79B7">
        <w:rPr>
          <w:rStyle w:val="Refdenotaalpie"/>
          <w:sz w:val="22"/>
          <w:szCs w:val="22"/>
        </w:rPr>
        <w:footnoteRef/>
      </w:r>
      <w:r w:rsidRPr="007E79B7">
        <w:rPr>
          <w:sz w:val="22"/>
          <w:szCs w:val="22"/>
        </w:rPr>
        <w:t xml:space="preserve"> ART. 455.- La sentencia que decreta el lanzamiento será apelable en el efecto devolutivo, la que lo niegue será apelable en ambos efectos.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F1E" w:rsidRDefault="00913F1E">
    <w:pPr>
      <w:pStyle w:val="Encabezado"/>
    </w:pPr>
  </w:p>
  <w:p w:rsidR="00913F1E" w:rsidRDefault="00913F1E">
    <w:pPr>
      <w:pStyle w:val="Encabezado"/>
    </w:pPr>
  </w:p>
  <w:p w:rsidR="00913F1E" w:rsidRDefault="00913F1E">
    <w:pPr>
      <w:pStyle w:val="Encabezado"/>
    </w:pPr>
  </w:p>
  <w:p w:rsidR="00913F1E" w:rsidRDefault="00913F1E" w:rsidP="00913F1E">
    <w:pPr>
      <w:pStyle w:val="Encabezado"/>
      <w:jc w:val="center"/>
      <w:rPr>
        <w:rFonts w:cs="Arial"/>
        <w:b/>
        <w:sz w:val="18"/>
      </w:rPr>
    </w:pPr>
  </w:p>
  <w:p w:rsidR="00913F1E" w:rsidRDefault="00913F1E" w:rsidP="00913F1E">
    <w:pPr>
      <w:pStyle w:val="Encabezado"/>
      <w:jc w:val="center"/>
      <w:rPr>
        <w:rFonts w:cs="Arial"/>
        <w:b/>
        <w:sz w:val="18"/>
      </w:rPr>
    </w:pPr>
  </w:p>
  <w:p w:rsidR="00913F1E" w:rsidRPr="00882ECF" w:rsidRDefault="00913F1E" w:rsidP="00913F1E">
    <w:pPr>
      <w:pStyle w:val="Encabezado"/>
      <w:jc w:val="center"/>
      <w:rPr>
        <w:rFonts w:cs="Arial"/>
        <w:b/>
        <w:sz w:val="18"/>
      </w:rPr>
    </w:pPr>
    <w:r>
      <w:rPr>
        <w:rFonts w:cs="Arial"/>
        <w:b/>
        <w:sz w:val="18"/>
      </w:rPr>
      <w:t>RECURSO DE QUEJA</w:t>
    </w:r>
  </w:p>
  <w:p w:rsidR="00913F1E" w:rsidRDefault="00913F1E" w:rsidP="00913F1E">
    <w:pPr>
      <w:pStyle w:val="Encabezado"/>
      <w:jc w:val="center"/>
    </w:pPr>
    <w:r>
      <w:rPr>
        <w:rFonts w:cs="Arial"/>
        <w:b/>
        <w:sz w:val="18"/>
      </w:rPr>
      <w:t>116/2020</w:t>
    </w:r>
  </w:p>
  <w:p w:rsidR="00913F1E" w:rsidRDefault="00913F1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F1E" w:rsidRDefault="00D23988">
    <w:pPr>
      <w:pStyle w:val="Encabezado"/>
    </w:pPr>
    <w:r>
      <w:rPr>
        <w:noProof/>
        <w:lang w:val="es-MX" w:eastAsia="es-MX"/>
      </w:rPr>
      <w:drawing>
        <wp:anchor distT="0" distB="0" distL="114300" distR="114300" simplePos="0" relativeHeight="251660288" behindDoc="1" locked="0" layoutInCell="1" allowOverlap="1">
          <wp:simplePos x="0" y="0"/>
          <wp:positionH relativeFrom="column">
            <wp:posOffset>4389120</wp:posOffset>
          </wp:positionH>
          <wp:positionV relativeFrom="paragraph">
            <wp:posOffset>-70485</wp:posOffset>
          </wp:positionV>
          <wp:extent cx="1476000" cy="716400"/>
          <wp:effectExtent l="0" t="0" r="0" b="762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remo Tribunal de Justic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000" cy="716400"/>
                  </a:xfrm>
                  <a:prstGeom prst="rect">
                    <a:avLst/>
                  </a:prstGeom>
                </pic:spPr>
              </pic:pic>
            </a:graphicData>
          </a:graphic>
          <wp14:sizeRelH relativeFrom="page">
            <wp14:pctWidth>0</wp14:pctWidth>
          </wp14:sizeRelH>
          <wp14:sizeRelV relativeFrom="page">
            <wp14:pctHeight>0</wp14:pctHeight>
          </wp14:sizeRelV>
        </wp:anchor>
      </w:drawing>
    </w:r>
    <w:r w:rsidR="008E14AD">
      <w:rPr>
        <w:noProof/>
        <w:lang w:val="es-MX" w:eastAsia="es-MX"/>
      </w:rPr>
      <w:drawing>
        <wp:anchor distT="0" distB="0" distL="114300" distR="114300" simplePos="0" relativeHeight="251659264" behindDoc="1" locked="0" layoutInCell="1" allowOverlap="1" wp14:anchorId="5A372CD4" wp14:editId="11BF9C0F">
          <wp:simplePos x="0" y="0"/>
          <wp:positionH relativeFrom="column">
            <wp:posOffset>-830580</wp:posOffset>
          </wp:positionH>
          <wp:positionV relativeFrom="paragraph">
            <wp:posOffset>-51435</wp:posOffset>
          </wp:positionV>
          <wp:extent cx="867600" cy="770400"/>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7600" cy="770400"/>
                  </a:xfrm>
                  <a:prstGeom prst="rect">
                    <a:avLst/>
                  </a:prstGeom>
                </pic:spPr>
              </pic:pic>
            </a:graphicData>
          </a:graphic>
          <wp14:sizeRelH relativeFrom="page">
            <wp14:pctWidth>0</wp14:pctWidth>
          </wp14:sizeRelH>
          <wp14:sizeRelV relativeFrom="page">
            <wp14:pctHeight>0</wp14:pctHeight>
          </wp14:sizeRelV>
        </wp:anchor>
      </w:drawing>
    </w:r>
    <w:r w:rsidR="000E5D28">
      <w:t xml:space="preserve">     </w:t>
    </w:r>
  </w:p>
  <w:p w:rsidR="00913F1E" w:rsidRDefault="00913F1E">
    <w:pPr>
      <w:pStyle w:val="Encabezado"/>
    </w:pPr>
  </w:p>
  <w:p w:rsidR="00913F1E" w:rsidRDefault="00913F1E">
    <w:pPr>
      <w:pStyle w:val="Encabezado"/>
    </w:pPr>
  </w:p>
  <w:p w:rsidR="00913F1E" w:rsidRDefault="00913F1E" w:rsidP="00913F1E">
    <w:pPr>
      <w:pStyle w:val="Encabezado"/>
      <w:jc w:val="center"/>
      <w:rPr>
        <w:rFonts w:cs="Arial"/>
        <w:b/>
        <w:sz w:val="18"/>
      </w:rPr>
    </w:pPr>
  </w:p>
  <w:p w:rsidR="00913F1E" w:rsidRDefault="00913F1E" w:rsidP="00913F1E">
    <w:pPr>
      <w:pStyle w:val="Encabezado"/>
      <w:jc w:val="center"/>
      <w:rPr>
        <w:rFonts w:cs="Arial"/>
        <w:b/>
        <w:sz w:val="18"/>
      </w:rPr>
    </w:pPr>
  </w:p>
  <w:p w:rsidR="00913F1E" w:rsidRPr="00882ECF" w:rsidRDefault="00913F1E" w:rsidP="00913F1E">
    <w:pPr>
      <w:pStyle w:val="Encabezado"/>
      <w:jc w:val="center"/>
      <w:rPr>
        <w:rFonts w:cs="Arial"/>
        <w:b/>
        <w:sz w:val="18"/>
      </w:rPr>
    </w:pPr>
    <w:r>
      <w:rPr>
        <w:rFonts w:cs="Arial"/>
        <w:b/>
        <w:sz w:val="18"/>
      </w:rPr>
      <w:t>RECURSO DE QUEJA</w:t>
    </w:r>
  </w:p>
  <w:p w:rsidR="00913F1E" w:rsidRDefault="00913F1E" w:rsidP="00913F1E">
    <w:pPr>
      <w:pStyle w:val="Encabezado"/>
      <w:jc w:val="center"/>
    </w:pPr>
    <w:r>
      <w:rPr>
        <w:rFonts w:cs="Arial"/>
        <w:b/>
        <w:sz w:val="18"/>
      </w:rPr>
      <w:t>116/2020</w:t>
    </w:r>
  </w:p>
  <w:p w:rsidR="005161F6" w:rsidRDefault="000E5D28">
    <w:pPr>
      <w:pStyle w:val="Encabezado"/>
    </w:pPr>
    <w:r>
      <w:tab/>
    </w:r>
    <w: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mirrorMargins/>
  <w:proofState w:spelling="clean" w:grammar="clean"/>
  <w:attachedTemplate r:id="rId1"/>
  <w:defaultTabStop w:val="708"/>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F1E"/>
    <w:rsid w:val="00006620"/>
    <w:rsid w:val="00060F37"/>
    <w:rsid w:val="000E0927"/>
    <w:rsid w:val="000E3AA9"/>
    <w:rsid w:val="000E5D28"/>
    <w:rsid w:val="00176E83"/>
    <w:rsid w:val="001F5F66"/>
    <w:rsid w:val="002153B3"/>
    <w:rsid w:val="00244C02"/>
    <w:rsid w:val="00250563"/>
    <w:rsid w:val="00255A25"/>
    <w:rsid w:val="002E4EDA"/>
    <w:rsid w:val="00335415"/>
    <w:rsid w:val="00383326"/>
    <w:rsid w:val="003C5CD2"/>
    <w:rsid w:val="003E5545"/>
    <w:rsid w:val="003F24B1"/>
    <w:rsid w:val="004817BF"/>
    <w:rsid w:val="00495992"/>
    <w:rsid w:val="004A23B4"/>
    <w:rsid w:val="004B5EC7"/>
    <w:rsid w:val="004D0F89"/>
    <w:rsid w:val="004E5D87"/>
    <w:rsid w:val="005161F6"/>
    <w:rsid w:val="0059278D"/>
    <w:rsid w:val="0059739A"/>
    <w:rsid w:val="00600F22"/>
    <w:rsid w:val="00646BF9"/>
    <w:rsid w:val="00654422"/>
    <w:rsid w:val="00694F45"/>
    <w:rsid w:val="0071552C"/>
    <w:rsid w:val="007164C3"/>
    <w:rsid w:val="00726259"/>
    <w:rsid w:val="007458B9"/>
    <w:rsid w:val="008327CE"/>
    <w:rsid w:val="008902B3"/>
    <w:rsid w:val="008B1D4F"/>
    <w:rsid w:val="008E14AD"/>
    <w:rsid w:val="008F6F05"/>
    <w:rsid w:val="00913F1E"/>
    <w:rsid w:val="00A26820"/>
    <w:rsid w:val="00A45852"/>
    <w:rsid w:val="00A63512"/>
    <w:rsid w:val="00AE79BD"/>
    <w:rsid w:val="00B26727"/>
    <w:rsid w:val="00B36FCB"/>
    <w:rsid w:val="00B70609"/>
    <w:rsid w:val="00BB39D1"/>
    <w:rsid w:val="00BD48F0"/>
    <w:rsid w:val="00C2456E"/>
    <w:rsid w:val="00C71CA9"/>
    <w:rsid w:val="00CC74EE"/>
    <w:rsid w:val="00CE049E"/>
    <w:rsid w:val="00D2135A"/>
    <w:rsid w:val="00D23988"/>
    <w:rsid w:val="00D44716"/>
    <w:rsid w:val="00D92EE9"/>
    <w:rsid w:val="00DF3AAC"/>
    <w:rsid w:val="00E25759"/>
    <w:rsid w:val="00E311D8"/>
    <w:rsid w:val="00F64A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15336"/>
  <w15:docId w15:val="{985A77FB-D149-400A-8B8D-735136729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F1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61F6"/>
    <w:pPr>
      <w:tabs>
        <w:tab w:val="center" w:pos="4419"/>
        <w:tab w:val="right" w:pos="8838"/>
      </w:tabs>
    </w:pPr>
  </w:style>
  <w:style w:type="character" w:customStyle="1" w:styleId="EncabezadoCar">
    <w:name w:val="Encabezado Car"/>
    <w:basedOn w:val="Fuentedeprrafopredeter"/>
    <w:link w:val="Encabezado"/>
    <w:uiPriority w:val="99"/>
    <w:rsid w:val="005161F6"/>
  </w:style>
  <w:style w:type="paragraph" w:styleId="Piedepgina">
    <w:name w:val="footer"/>
    <w:basedOn w:val="Normal"/>
    <w:link w:val="PiedepginaCar"/>
    <w:uiPriority w:val="99"/>
    <w:unhideWhenUsed/>
    <w:rsid w:val="005161F6"/>
    <w:pPr>
      <w:tabs>
        <w:tab w:val="center" w:pos="4419"/>
        <w:tab w:val="right" w:pos="8838"/>
      </w:tabs>
    </w:p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5EC7"/>
    <w:rPr>
      <w:rFonts w:ascii="Segoe UI" w:hAnsi="Segoe UI" w:cs="Segoe UI"/>
      <w:sz w:val="18"/>
      <w:szCs w:val="18"/>
    </w:rPr>
  </w:style>
  <w:style w:type="paragraph" w:styleId="Sangra2detindependiente">
    <w:name w:val="Body Text Indent 2"/>
    <w:basedOn w:val="Normal"/>
    <w:link w:val="Sangra2detindependienteCar"/>
    <w:rsid w:val="00913F1E"/>
    <w:pPr>
      <w:spacing w:line="480" w:lineRule="auto"/>
      <w:ind w:firstLine="1440"/>
      <w:jc w:val="both"/>
    </w:pPr>
    <w:rPr>
      <w:rFonts w:ascii="Arial" w:hAnsi="Arial" w:cs="Arial"/>
      <w:b/>
      <w:sz w:val="28"/>
      <w:lang w:val="es-MX"/>
    </w:rPr>
  </w:style>
  <w:style w:type="character" w:customStyle="1" w:styleId="Sangra2detindependienteCar">
    <w:name w:val="Sangría 2 de t. independiente Car"/>
    <w:basedOn w:val="Fuentedeprrafopredeter"/>
    <w:link w:val="Sangra2detindependiente"/>
    <w:rsid w:val="00913F1E"/>
    <w:rPr>
      <w:rFonts w:ascii="Arial" w:eastAsia="Times New Roman" w:hAnsi="Arial" w:cs="Arial"/>
      <w:b/>
      <w:sz w:val="28"/>
      <w:szCs w:val="24"/>
      <w:lang w:eastAsia="es-ES"/>
    </w:rPr>
  </w:style>
  <w:style w:type="paragraph" w:styleId="Textoindependiente">
    <w:name w:val="Body Text"/>
    <w:basedOn w:val="Normal"/>
    <w:link w:val="TextoindependienteCar"/>
    <w:rsid w:val="00913F1E"/>
    <w:pPr>
      <w:spacing w:line="480" w:lineRule="auto"/>
      <w:jc w:val="both"/>
    </w:pPr>
    <w:rPr>
      <w:rFonts w:ascii="Tahoma" w:hAnsi="Tahoma" w:cs="Tahoma"/>
      <w:i/>
      <w:iCs/>
      <w:sz w:val="28"/>
      <w:lang w:val="es-MX"/>
    </w:rPr>
  </w:style>
  <w:style w:type="character" w:customStyle="1" w:styleId="TextoindependienteCar">
    <w:name w:val="Texto independiente Car"/>
    <w:basedOn w:val="Fuentedeprrafopredeter"/>
    <w:link w:val="Textoindependiente"/>
    <w:rsid w:val="00913F1E"/>
    <w:rPr>
      <w:rFonts w:ascii="Tahoma" w:eastAsia="Times New Roman" w:hAnsi="Tahoma" w:cs="Tahoma"/>
      <w:i/>
      <w:iCs/>
      <w:sz w:val="28"/>
      <w:szCs w:val="24"/>
      <w:lang w:eastAsia="es-ES"/>
    </w:rPr>
  </w:style>
  <w:style w:type="character" w:styleId="Refdenotaalpie">
    <w:name w:val="footnote reference"/>
    <w:basedOn w:val="Fuentedeprrafopredeter"/>
    <w:semiHidden/>
    <w:rsid w:val="00913F1E"/>
    <w:rPr>
      <w:vertAlign w:val="superscript"/>
    </w:rPr>
  </w:style>
  <w:style w:type="paragraph" w:styleId="Textonotapie">
    <w:name w:val="footnote text"/>
    <w:basedOn w:val="Normal"/>
    <w:link w:val="TextonotapieCar"/>
    <w:uiPriority w:val="99"/>
    <w:unhideWhenUsed/>
    <w:rsid w:val="00913F1E"/>
    <w:rPr>
      <w:sz w:val="20"/>
      <w:szCs w:val="20"/>
    </w:rPr>
  </w:style>
  <w:style w:type="character" w:customStyle="1" w:styleId="TextonotapieCar">
    <w:name w:val="Texto nota pie Car"/>
    <w:basedOn w:val="Fuentedeprrafopredeter"/>
    <w:link w:val="Textonotapie"/>
    <w:uiPriority w:val="99"/>
    <w:rsid w:val="00913F1E"/>
    <w:rPr>
      <w:rFonts w:ascii="Times New Roman" w:eastAsia="Times New Roman" w:hAnsi="Times New Roman" w:cs="Times New Roman"/>
      <w:sz w:val="20"/>
      <w:szCs w:val="20"/>
      <w:lang w:val="es-ES" w:eastAsia="es-ES"/>
    </w:rPr>
  </w:style>
  <w:style w:type="paragraph" w:styleId="NormalWeb">
    <w:name w:val="Normal (Web)"/>
    <w:basedOn w:val="Normal"/>
    <w:uiPriority w:val="99"/>
    <w:unhideWhenUsed/>
    <w:rsid w:val="00913F1E"/>
    <w:pPr>
      <w:spacing w:before="100" w:beforeAutospacing="1" w:after="100" w:afterAutospacing="1"/>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S%20IACERVANTESC\Desktop\ESC-ST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17C05-8378-46DB-BAE4-39BC13938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ESC-STJ</Template>
  <TotalTime>223</TotalTime>
  <Pages>51</Pages>
  <Words>12014</Words>
  <Characters>66081</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ANDREA CERVANTES CANELA</dc:creator>
  <cp:keywords/>
  <dc:description/>
  <cp:lastModifiedBy>ILIANA ANDREA CERVANTES CANELA</cp:lastModifiedBy>
  <cp:revision>17</cp:revision>
  <cp:lastPrinted>2021-06-17T19:19:00Z</cp:lastPrinted>
  <dcterms:created xsi:type="dcterms:W3CDTF">2021-06-14T17:00:00Z</dcterms:created>
  <dcterms:modified xsi:type="dcterms:W3CDTF">2021-07-01T15:50:00Z</dcterms:modified>
</cp:coreProperties>
</file>