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1D9F" w:rsidRDefault="00A31D9F" w:rsidP="00A31D9F">
      <w:pPr>
        <w:pStyle w:val="Sangradetextonormal"/>
        <w:spacing w:after="120" w:line="360" w:lineRule="auto"/>
        <w:ind w:firstLine="851"/>
        <w:rPr>
          <w:rFonts w:ascii="Century Gothic" w:hAnsi="Century Gothic"/>
          <w:sz w:val="24"/>
          <w:szCs w:val="24"/>
        </w:rPr>
      </w:pPr>
      <w:r w:rsidRPr="002A4571">
        <w:rPr>
          <w:rFonts w:ascii="Century Gothic" w:hAnsi="Century Gothic"/>
          <w:sz w:val="24"/>
          <w:szCs w:val="24"/>
        </w:rPr>
        <w:t xml:space="preserve">San Luis Potosí, S.L.P., a </w:t>
      </w:r>
      <w:r w:rsidR="00850A43">
        <w:rPr>
          <w:rFonts w:ascii="Century Gothic" w:hAnsi="Century Gothic"/>
          <w:sz w:val="24"/>
          <w:szCs w:val="24"/>
        </w:rPr>
        <w:t>17 diecisiete</w:t>
      </w:r>
      <w:r w:rsidRPr="002A4571">
        <w:rPr>
          <w:rFonts w:ascii="Century Gothic" w:hAnsi="Century Gothic"/>
          <w:sz w:val="24"/>
          <w:szCs w:val="24"/>
        </w:rPr>
        <w:t xml:space="preserve"> de </w:t>
      </w:r>
      <w:r w:rsidR="00C02C04" w:rsidRPr="002A4571">
        <w:rPr>
          <w:rFonts w:ascii="Century Gothic" w:hAnsi="Century Gothic"/>
          <w:sz w:val="24"/>
          <w:szCs w:val="24"/>
        </w:rPr>
        <w:t>junio</w:t>
      </w:r>
      <w:r w:rsidRPr="002A4571">
        <w:rPr>
          <w:rFonts w:ascii="Century Gothic" w:hAnsi="Century Gothic"/>
          <w:sz w:val="24"/>
          <w:szCs w:val="24"/>
        </w:rPr>
        <w:t xml:space="preserve"> </w:t>
      </w:r>
      <w:r w:rsidR="00C02C04" w:rsidRPr="002A4571">
        <w:rPr>
          <w:rFonts w:ascii="Century Gothic" w:hAnsi="Century Gothic"/>
          <w:sz w:val="24"/>
          <w:szCs w:val="24"/>
        </w:rPr>
        <w:t xml:space="preserve">de </w:t>
      </w:r>
      <w:r w:rsidRPr="002A4571">
        <w:rPr>
          <w:rFonts w:ascii="Century Gothic" w:hAnsi="Century Gothic"/>
          <w:sz w:val="24"/>
          <w:szCs w:val="24"/>
        </w:rPr>
        <w:t xml:space="preserve">2021 </w:t>
      </w:r>
      <w:proofErr w:type="gramStart"/>
      <w:r w:rsidRPr="002A4571">
        <w:rPr>
          <w:rFonts w:ascii="Century Gothic" w:hAnsi="Century Gothic"/>
          <w:sz w:val="24"/>
          <w:szCs w:val="24"/>
        </w:rPr>
        <w:t>dos mil veintiuno</w:t>
      </w:r>
      <w:proofErr w:type="gramEnd"/>
      <w:r w:rsidRPr="002A4571">
        <w:rPr>
          <w:rFonts w:ascii="Century Gothic" w:hAnsi="Century Gothic"/>
          <w:sz w:val="24"/>
          <w:szCs w:val="24"/>
        </w:rPr>
        <w:t xml:space="preserve">. </w:t>
      </w:r>
    </w:p>
    <w:p w:rsidR="009C5BDC" w:rsidRPr="002A4571" w:rsidRDefault="009C5BDC" w:rsidP="00A31D9F">
      <w:pPr>
        <w:pStyle w:val="Sangradetextonormal"/>
        <w:spacing w:after="120" w:line="360" w:lineRule="auto"/>
        <w:ind w:firstLine="851"/>
        <w:rPr>
          <w:rFonts w:ascii="Century Gothic" w:hAnsi="Century Gothic"/>
          <w:sz w:val="24"/>
          <w:szCs w:val="24"/>
        </w:rPr>
      </w:pPr>
    </w:p>
    <w:p w:rsidR="00C02C04" w:rsidRPr="00AD0AA1" w:rsidRDefault="00C02C04" w:rsidP="00C02C04">
      <w:pPr>
        <w:tabs>
          <w:tab w:val="left" w:pos="1418"/>
          <w:tab w:val="left" w:pos="2040"/>
        </w:tabs>
        <w:spacing w:after="360" w:line="360" w:lineRule="auto"/>
        <w:ind w:firstLine="851"/>
        <w:jc w:val="both"/>
        <w:rPr>
          <w:rFonts w:ascii="Century Gothic" w:hAnsi="Century Gothic" w:cs="Arial"/>
          <w:sz w:val="28"/>
          <w:szCs w:val="28"/>
        </w:rPr>
      </w:pPr>
      <w:r w:rsidRPr="00AD0AA1">
        <w:rPr>
          <w:rFonts w:ascii="Century Gothic" w:hAnsi="Century Gothic" w:cs="Arial"/>
          <w:b/>
          <w:sz w:val="24"/>
          <w:szCs w:val="24"/>
        </w:rPr>
        <w:t xml:space="preserve">V I S T O, </w:t>
      </w:r>
      <w:r w:rsidRPr="00AD0AA1">
        <w:rPr>
          <w:rFonts w:ascii="Century Gothic" w:hAnsi="Century Gothic" w:cs="Arial"/>
          <w:sz w:val="24"/>
          <w:szCs w:val="24"/>
        </w:rPr>
        <w:t xml:space="preserve">para resolver, </w:t>
      </w:r>
      <w:r w:rsidRPr="00AD0AA1">
        <w:rPr>
          <w:rFonts w:ascii="Century Gothic" w:hAnsi="Century Gothic" w:cs="Arial"/>
          <w:b/>
          <w:sz w:val="24"/>
          <w:szCs w:val="24"/>
        </w:rPr>
        <w:t>el recurso de queja</w:t>
      </w:r>
      <w:r w:rsidRPr="00AD0AA1">
        <w:rPr>
          <w:rFonts w:ascii="Century Gothic" w:hAnsi="Century Gothic" w:cs="Arial"/>
          <w:sz w:val="24"/>
          <w:szCs w:val="24"/>
        </w:rPr>
        <w:t xml:space="preserve"> </w:t>
      </w:r>
      <w:r>
        <w:rPr>
          <w:rFonts w:ascii="Century Gothic" w:hAnsi="Century Gothic" w:cs="Arial"/>
          <w:b/>
          <w:bCs/>
          <w:sz w:val="24"/>
          <w:szCs w:val="24"/>
        </w:rPr>
        <w:t>1</w:t>
      </w:r>
      <w:r w:rsidRPr="00AD0AA1">
        <w:rPr>
          <w:rFonts w:ascii="Century Gothic" w:hAnsi="Century Gothic" w:cs="Arial"/>
          <w:b/>
          <w:bCs/>
          <w:sz w:val="24"/>
          <w:szCs w:val="24"/>
        </w:rPr>
        <w:t>9</w:t>
      </w:r>
      <w:r>
        <w:rPr>
          <w:rFonts w:ascii="Century Gothic" w:hAnsi="Century Gothic" w:cs="Arial"/>
          <w:b/>
          <w:bCs/>
          <w:sz w:val="24"/>
          <w:szCs w:val="24"/>
        </w:rPr>
        <w:t>3</w:t>
      </w:r>
      <w:r w:rsidRPr="00AD0AA1">
        <w:rPr>
          <w:rFonts w:ascii="Century Gothic" w:hAnsi="Century Gothic" w:cs="Arial"/>
          <w:b/>
          <w:bCs/>
          <w:sz w:val="24"/>
          <w:szCs w:val="24"/>
        </w:rPr>
        <w:t xml:space="preserve">/2020, </w:t>
      </w:r>
      <w:r w:rsidRPr="00AD0AA1">
        <w:rPr>
          <w:rFonts w:ascii="Century Gothic" w:hAnsi="Century Gothic" w:cs="Arial"/>
          <w:sz w:val="24"/>
          <w:szCs w:val="24"/>
        </w:rPr>
        <w:t>interpuesto por</w:t>
      </w:r>
      <w:r w:rsidRPr="00AD0AA1">
        <w:rPr>
          <w:rFonts w:ascii="Century Gothic" w:hAnsi="Century Gothic" w:cs="Arial"/>
          <w:b/>
          <w:bCs/>
          <w:sz w:val="24"/>
          <w:szCs w:val="24"/>
        </w:rPr>
        <w:t xml:space="preserve"> </w:t>
      </w:r>
      <w:r w:rsidR="00B728DC">
        <w:rPr>
          <w:rFonts w:ascii="Century Gothic" w:hAnsi="Century Gothic" w:cs="Arial"/>
          <w:b/>
          <w:bCs/>
          <w:sz w:val="24"/>
          <w:szCs w:val="24"/>
        </w:rPr>
        <w:t>ELIMINADO</w:t>
      </w:r>
      <w:r w:rsidRPr="00C02C04">
        <w:rPr>
          <w:rFonts w:ascii="Century Gothic" w:hAnsi="Century Gothic" w:cs="Arial"/>
          <w:b/>
          <w:bCs/>
          <w:sz w:val="24"/>
          <w:szCs w:val="24"/>
        </w:rPr>
        <w:t xml:space="preserve">, </w:t>
      </w:r>
      <w:r w:rsidR="003D0F3C">
        <w:rPr>
          <w:rFonts w:ascii="Century Gothic" w:hAnsi="Century Gothic" w:cs="Arial"/>
          <w:bCs/>
          <w:sz w:val="24"/>
          <w:szCs w:val="24"/>
        </w:rPr>
        <w:t xml:space="preserve">como </w:t>
      </w:r>
      <w:r w:rsidRPr="00C02C04">
        <w:rPr>
          <w:rFonts w:ascii="Century Gothic" w:hAnsi="Century Gothic" w:cs="Arial"/>
          <w:bCs/>
          <w:sz w:val="24"/>
          <w:szCs w:val="24"/>
        </w:rPr>
        <w:t xml:space="preserve">abogada de </w:t>
      </w:r>
      <w:r w:rsidR="00B728DC">
        <w:rPr>
          <w:rFonts w:ascii="Century Gothic" w:hAnsi="Century Gothic" w:cs="Arial"/>
          <w:b/>
          <w:bCs/>
          <w:sz w:val="24"/>
          <w:szCs w:val="24"/>
        </w:rPr>
        <w:t>ELIMINADO</w:t>
      </w:r>
      <w:r w:rsidRPr="00AD0AA1">
        <w:rPr>
          <w:rFonts w:ascii="Century Gothic" w:hAnsi="Century Gothic" w:cs="Arial"/>
          <w:sz w:val="24"/>
          <w:szCs w:val="24"/>
        </w:rPr>
        <w:t xml:space="preserve">, </w:t>
      </w:r>
      <w:r>
        <w:rPr>
          <w:rFonts w:ascii="Century Gothic" w:hAnsi="Century Gothic" w:cs="Arial"/>
          <w:sz w:val="24"/>
          <w:szCs w:val="24"/>
        </w:rPr>
        <w:t xml:space="preserve">en </w:t>
      </w:r>
      <w:r w:rsidRPr="00AD0AA1">
        <w:rPr>
          <w:rFonts w:ascii="Century Gothic" w:hAnsi="Century Gothic" w:cs="Arial"/>
          <w:sz w:val="24"/>
          <w:szCs w:val="24"/>
        </w:rPr>
        <w:t xml:space="preserve">contra </w:t>
      </w:r>
      <w:r>
        <w:rPr>
          <w:rFonts w:ascii="Century Gothic" w:hAnsi="Century Gothic" w:cs="Arial"/>
          <w:sz w:val="24"/>
          <w:szCs w:val="24"/>
        </w:rPr>
        <w:t xml:space="preserve">del </w:t>
      </w:r>
      <w:r w:rsidR="00783073">
        <w:rPr>
          <w:rFonts w:ascii="Century Gothic" w:hAnsi="Century Gothic" w:cs="Arial"/>
          <w:sz w:val="24"/>
          <w:szCs w:val="24"/>
        </w:rPr>
        <w:t>proveído</w:t>
      </w:r>
      <w:r>
        <w:rPr>
          <w:rFonts w:ascii="Century Gothic" w:hAnsi="Century Gothic" w:cs="Arial"/>
          <w:sz w:val="24"/>
          <w:szCs w:val="24"/>
        </w:rPr>
        <w:t xml:space="preserve"> de</w:t>
      </w:r>
      <w:r w:rsidRPr="00AD0AA1">
        <w:rPr>
          <w:rFonts w:ascii="Century Gothic" w:hAnsi="Century Gothic" w:cs="Arial"/>
          <w:sz w:val="24"/>
          <w:szCs w:val="24"/>
        </w:rPr>
        <w:t xml:space="preserve"> </w:t>
      </w:r>
      <w:r w:rsidRPr="00C02C04">
        <w:rPr>
          <w:rFonts w:ascii="Century Gothic" w:hAnsi="Century Gothic" w:cs="Arial"/>
          <w:sz w:val="24"/>
          <w:szCs w:val="24"/>
        </w:rPr>
        <w:t>19 diecinueve de noviembre de 2020 dos mil veinte</w:t>
      </w:r>
      <w:r w:rsidRPr="00AD0AA1">
        <w:rPr>
          <w:rFonts w:ascii="Century Gothic" w:hAnsi="Century Gothic" w:cs="Arial"/>
          <w:sz w:val="24"/>
          <w:szCs w:val="24"/>
        </w:rPr>
        <w:t xml:space="preserve">, </w:t>
      </w:r>
      <w:r w:rsidR="00783073" w:rsidRPr="00AD0AA1">
        <w:rPr>
          <w:rFonts w:ascii="Century Gothic" w:hAnsi="Century Gothic" w:cs="Arial"/>
          <w:b/>
          <w:sz w:val="24"/>
          <w:szCs w:val="24"/>
        </w:rPr>
        <w:t>que desechó el recurso de apelación</w:t>
      </w:r>
      <w:r w:rsidR="00783073">
        <w:rPr>
          <w:rFonts w:ascii="Century Gothic" w:hAnsi="Century Gothic" w:cs="Arial"/>
          <w:b/>
          <w:sz w:val="24"/>
          <w:szCs w:val="24"/>
        </w:rPr>
        <w:t xml:space="preserve"> </w:t>
      </w:r>
      <w:r w:rsidR="00783073" w:rsidRPr="00783073">
        <w:rPr>
          <w:rFonts w:ascii="Century Gothic" w:hAnsi="Century Gothic" w:cs="Arial"/>
          <w:sz w:val="24"/>
          <w:szCs w:val="24"/>
        </w:rPr>
        <w:t>inter</w:t>
      </w:r>
      <w:r w:rsidR="00783073">
        <w:rPr>
          <w:rFonts w:ascii="Century Gothic" w:hAnsi="Century Gothic" w:cs="Arial"/>
          <w:sz w:val="24"/>
          <w:szCs w:val="24"/>
        </w:rPr>
        <w:t xml:space="preserve">puesto a su vez, en contra de la sentencia interlocutoria de </w:t>
      </w:r>
      <w:r w:rsidR="00783073" w:rsidRPr="00AD0AA1">
        <w:rPr>
          <w:rFonts w:ascii="Century Gothic" w:hAnsi="Century Gothic" w:cs="Arial"/>
          <w:sz w:val="24"/>
          <w:szCs w:val="24"/>
        </w:rPr>
        <w:t xml:space="preserve">5 cinco de </w:t>
      </w:r>
      <w:r w:rsidR="00783073">
        <w:rPr>
          <w:rFonts w:ascii="Century Gothic" w:hAnsi="Century Gothic" w:cs="Arial"/>
          <w:sz w:val="24"/>
          <w:szCs w:val="24"/>
        </w:rPr>
        <w:t>noviembre</w:t>
      </w:r>
      <w:r w:rsidR="00783073" w:rsidRPr="00AD0AA1">
        <w:rPr>
          <w:rFonts w:ascii="Century Gothic" w:hAnsi="Century Gothic" w:cs="Arial"/>
          <w:sz w:val="24"/>
          <w:szCs w:val="24"/>
        </w:rPr>
        <w:t xml:space="preserve"> de 2020 dos mil veinte,</w:t>
      </w:r>
      <w:r w:rsidR="00783073">
        <w:rPr>
          <w:rFonts w:ascii="Century Gothic" w:hAnsi="Century Gothic" w:cs="Arial"/>
          <w:sz w:val="24"/>
          <w:szCs w:val="24"/>
        </w:rPr>
        <w:t xml:space="preserve"> que resolvió </w:t>
      </w:r>
      <w:r w:rsidR="00047F4C">
        <w:rPr>
          <w:rFonts w:ascii="Century Gothic" w:hAnsi="Century Gothic" w:cs="Arial"/>
          <w:sz w:val="24"/>
          <w:szCs w:val="24"/>
        </w:rPr>
        <w:t xml:space="preserve">en ejecución de sentencia, </w:t>
      </w:r>
      <w:r w:rsidR="00783073">
        <w:rPr>
          <w:rFonts w:ascii="Century Gothic" w:hAnsi="Century Gothic" w:cs="Arial"/>
          <w:sz w:val="24"/>
          <w:szCs w:val="24"/>
        </w:rPr>
        <w:t>la planilla de liquidación de pensión alimenticia,</w:t>
      </w:r>
      <w:r w:rsidR="00F523F8">
        <w:rPr>
          <w:rFonts w:ascii="Century Gothic" w:hAnsi="Century Gothic" w:cs="Arial"/>
          <w:sz w:val="24"/>
          <w:szCs w:val="24"/>
        </w:rPr>
        <w:t xml:space="preserve"> dentro del </w:t>
      </w:r>
      <w:r w:rsidR="00F523F8" w:rsidRPr="00AD0AA1">
        <w:rPr>
          <w:rFonts w:ascii="Century Gothic" w:hAnsi="Century Gothic" w:cs="Arial"/>
          <w:b/>
          <w:sz w:val="24"/>
          <w:szCs w:val="24"/>
        </w:rPr>
        <w:t xml:space="preserve">juicio </w:t>
      </w:r>
      <w:r w:rsidR="00F523F8">
        <w:rPr>
          <w:rFonts w:ascii="Century Gothic" w:hAnsi="Century Gothic" w:cs="Arial"/>
          <w:b/>
          <w:sz w:val="24"/>
          <w:szCs w:val="24"/>
        </w:rPr>
        <w:t xml:space="preserve">de controversia del orden familiar por alimentos, </w:t>
      </w:r>
      <w:r w:rsidR="00F523F8" w:rsidRPr="00F523F8">
        <w:rPr>
          <w:rFonts w:ascii="Century Gothic" w:hAnsi="Century Gothic" w:cs="Arial"/>
          <w:sz w:val="24"/>
          <w:szCs w:val="24"/>
        </w:rPr>
        <w:t>relativo al</w:t>
      </w:r>
      <w:r w:rsidR="00F523F8">
        <w:rPr>
          <w:rFonts w:ascii="Century Gothic" w:hAnsi="Century Gothic" w:cs="Arial"/>
          <w:b/>
          <w:sz w:val="24"/>
          <w:szCs w:val="24"/>
        </w:rPr>
        <w:t xml:space="preserve"> </w:t>
      </w:r>
      <w:r w:rsidR="00783073" w:rsidRPr="00AD0AA1">
        <w:rPr>
          <w:rFonts w:ascii="Century Gothic" w:hAnsi="Century Gothic" w:cs="Arial"/>
          <w:sz w:val="24"/>
          <w:szCs w:val="24"/>
        </w:rPr>
        <w:t xml:space="preserve">expediente </w:t>
      </w:r>
      <w:r w:rsidR="00783073">
        <w:rPr>
          <w:rFonts w:ascii="Century Gothic" w:hAnsi="Century Gothic" w:cs="Arial"/>
          <w:b/>
          <w:sz w:val="24"/>
          <w:szCs w:val="24"/>
        </w:rPr>
        <w:t>74/2020</w:t>
      </w:r>
      <w:r w:rsidR="00783073" w:rsidRPr="00AD0AA1">
        <w:rPr>
          <w:rFonts w:ascii="Century Gothic" w:hAnsi="Century Gothic" w:cs="Arial"/>
          <w:b/>
          <w:sz w:val="24"/>
          <w:szCs w:val="24"/>
        </w:rPr>
        <w:t>,</w:t>
      </w:r>
      <w:r w:rsidR="00783073" w:rsidRPr="00AD0AA1">
        <w:rPr>
          <w:rFonts w:ascii="Century Gothic" w:hAnsi="Century Gothic" w:cs="Arial"/>
          <w:sz w:val="24"/>
          <w:szCs w:val="24"/>
        </w:rPr>
        <w:t xml:space="preserve"> </w:t>
      </w:r>
      <w:r w:rsidR="00783073" w:rsidRPr="009C5BDC">
        <w:rPr>
          <w:rFonts w:ascii="Century Gothic" w:hAnsi="Century Gothic" w:cs="Arial"/>
          <w:sz w:val="24"/>
          <w:szCs w:val="24"/>
        </w:rPr>
        <w:t>promovido</w:t>
      </w:r>
      <w:r w:rsidR="00783073">
        <w:rPr>
          <w:rFonts w:ascii="Century Gothic" w:hAnsi="Century Gothic" w:cs="Arial"/>
          <w:b/>
          <w:sz w:val="24"/>
          <w:szCs w:val="24"/>
        </w:rPr>
        <w:t xml:space="preserve"> </w:t>
      </w:r>
      <w:r w:rsidR="00783073" w:rsidRPr="00AD0AA1">
        <w:rPr>
          <w:rFonts w:ascii="Century Gothic" w:hAnsi="Century Gothic" w:cs="Arial"/>
          <w:sz w:val="24"/>
          <w:szCs w:val="24"/>
        </w:rPr>
        <w:t xml:space="preserve">por </w:t>
      </w:r>
      <w:r w:rsidR="00B728DC">
        <w:rPr>
          <w:rFonts w:ascii="Century Gothic" w:hAnsi="Century Gothic" w:cs="Arial"/>
          <w:b/>
          <w:sz w:val="24"/>
          <w:szCs w:val="24"/>
        </w:rPr>
        <w:t>ELIMINADO</w:t>
      </w:r>
      <w:r w:rsidR="00783073" w:rsidRPr="00AD0AA1">
        <w:rPr>
          <w:rFonts w:ascii="Century Gothic" w:hAnsi="Century Gothic" w:cs="Arial"/>
          <w:b/>
          <w:sz w:val="24"/>
          <w:szCs w:val="24"/>
        </w:rPr>
        <w:t>,</w:t>
      </w:r>
      <w:r w:rsidR="00783073" w:rsidRPr="00AD0AA1">
        <w:rPr>
          <w:rFonts w:ascii="Century Gothic" w:hAnsi="Century Gothic" w:cs="Arial"/>
          <w:sz w:val="24"/>
          <w:szCs w:val="24"/>
        </w:rPr>
        <w:t xml:space="preserve"> en contra de </w:t>
      </w:r>
      <w:r w:rsidR="00B728DC">
        <w:rPr>
          <w:rFonts w:ascii="Century Gothic" w:hAnsi="Century Gothic" w:cs="Arial"/>
          <w:b/>
          <w:sz w:val="24"/>
          <w:szCs w:val="24"/>
        </w:rPr>
        <w:t>ELIMINADO</w:t>
      </w:r>
      <w:r w:rsidR="00F523F8">
        <w:rPr>
          <w:rFonts w:ascii="Century Gothic" w:hAnsi="Century Gothic" w:cs="Arial"/>
          <w:b/>
          <w:sz w:val="24"/>
          <w:szCs w:val="24"/>
        </w:rPr>
        <w:t xml:space="preserve"> </w:t>
      </w:r>
      <w:r w:rsidR="00F523F8" w:rsidRPr="00F523F8">
        <w:rPr>
          <w:rFonts w:ascii="Century Gothic" w:hAnsi="Century Gothic" w:cs="Arial"/>
          <w:sz w:val="24"/>
          <w:szCs w:val="24"/>
        </w:rPr>
        <w:t xml:space="preserve">ante el </w:t>
      </w:r>
      <w:r w:rsidR="00F523F8">
        <w:rPr>
          <w:rFonts w:ascii="Century Gothic" w:hAnsi="Century Gothic" w:cs="Arial"/>
          <w:sz w:val="24"/>
          <w:szCs w:val="24"/>
        </w:rPr>
        <w:t xml:space="preserve">Juez </w:t>
      </w:r>
      <w:r w:rsidR="003D0F3C">
        <w:rPr>
          <w:rFonts w:ascii="Century Gothic" w:hAnsi="Century Gothic" w:cs="Arial"/>
          <w:sz w:val="24"/>
          <w:szCs w:val="24"/>
        </w:rPr>
        <w:t>Quinto de lo Familiar de esta ciudad</w:t>
      </w:r>
      <w:r w:rsidRPr="00AD0AA1">
        <w:rPr>
          <w:rFonts w:ascii="Century Gothic" w:hAnsi="Century Gothic" w:cs="Arial"/>
          <w:sz w:val="24"/>
          <w:szCs w:val="24"/>
        </w:rPr>
        <w:t>; y,</w:t>
      </w:r>
      <w:r w:rsidRPr="00AD0AA1">
        <w:rPr>
          <w:rFonts w:ascii="Century Gothic" w:hAnsi="Century Gothic" w:cs="Arial"/>
          <w:sz w:val="28"/>
          <w:szCs w:val="28"/>
        </w:rPr>
        <w:t xml:space="preserve"> </w:t>
      </w:r>
    </w:p>
    <w:p w:rsidR="00A31D9F" w:rsidRPr="009C5BDC" w:rsidRDefault="00A31D9F" w:rsidP="00A31D9F">
      <w:pPr>
        <w:tabs>
          <w:tab w:val="left" w:pos="1418"/>
          <w:tab w:val="left" w:pos="2040"/>
        </w:tabs>
        <w:spacing w:after="120" w:line="360" w:lineRule="auto"/>
        <w:jc w:val="center"/>
        <w:rPr>
          <w:rFonts w:ascii="Century Gothic" w:hAnsi="Century Gothic" w:cs="Arial"/>
          <w:sz w:val="24"/>
          <w:szCs w:val="24"/>
        </w:rPr>
      </w:pPr>
      <w:proofErr w:type="gramStart"/>
      <w:r w:rsidRPr="009C5BDC">
        <w:rPr>
          <w:rFonts w:ascii="Century Gothic" w:hAnsi="Century Gothic" w:cs="Arial"/>
          <w:b/>
          <w:bCs/>
          <w:sz w:val="24"/>
          <w:szCs w:val="24"/>
        </w:rPr>
        <w:t>R  E</w:t>
      </w:r>
      <w:proofErr w:type="gramEnd"/>
      <w:r w:rsidRPr="009C5BDC">
        <w:rPr>
          <w:rFonts w:ascii="Century Gothic" w:hAnsi="Century Gothic" w:cs="Arial"/>
          <w:b/>
          <w:bCs/>
          <w:sz w:val="24"/>
          <w:szCs w:val="24"/>
        </w:rPr>
        <w:t xml:space="preserve">  S  U  L  T  A  N  D  O</w:t>
      </w:r>
    </w:p>
    <w:p w:rsidR="00A31D9F" w:rsidRPr="009C5BDC" w:rsidRDefault="00A31D9F" w:rsidP="00A31D9F">
      <w:pPr>
        <w:tabs>
          <w:tab w:val="left" w:pos="1418"/>
        </w:tabs>
        <w:spacing w:after="120" w:line="360" w:lineRule="auto"/>
        <w:ind w:firstLine="851"/>
        <w:jc w:val="both"/>
        <w:rPr>
          <w:rFonts w:ascii="Century Gothic" w:hAnsi="Century Gothic" w:cs="Arial"/>
          <w:b/>
          <w:bCs/>
          <w:sz w:val="24"/>
          <w:szCs w:val="24"/>
        </w:rPr>
      </w:pPr>
      <w:r w:rsidRPr="009C5BDC">
        <w:rPr>
          <w:rFonts w:ascii="Century Gothic" w:hAnsi="Century Gothic" w:cs="Arial"/>
          <w:b/>
          <w:bCs/>
          <w:sz w:val="24"/>
          <w:szCs w:val="24"/>
        </w:rPr>
        <w:t xml:space="preserve">PRIMERO. Interposición del recurso. </w:t>
      </w:r>
    </w:p>
    <w:p w:rsidR="00A31D9F" w:rsidRPr="009C5BDC" w:rsidRDefault="00A31D9F" w:rsidP="00047F4C">
      <w:pPr>
        <w:tabs>
          <w:tab w:val="left" w:pos="1418"/>
        </w:tabs>
        <w:spacing w:after="120" w:line="360" w:lineRule="auto"/>
        <w:ind w:firstLine="851"/>
        <w:jc w:val="both"/>
        <w:rPr>
          <w:rFonts w:ascii="Century Gothic" w:hAnsi="Century Gothic" w:cs="Arial"/>
          <w:sz w:val="24"/>
          <w:szCs w:val="24"/>
        </w:rPr>
      </w:pPr>
      <w:r w:rsidRPr="009C5BDC">
        <w:rPr>
          <w:rFonts w:ascii="Century Gothic" w:hAnsi="Century Gothic" w:cs="Arial"/>
          <w:sz w:val="24"/>
          <w:szCs w:val="24"/>
        </w:rPr>
        <w:t xml:space="preserve">Mediante escrito presentado </w:t>
      </w:r>
      <w:r w:rsidR="0094745F">
        <w:rPr>
          <w:rFonts w:ascii="Century Gothic" w:hAnsi="Century Gothic" w:cs="Arial"/>
          <w:sz w:val="24"/>
          <w:szCs w:val="24"/>
        </w:rPr>
        <w:t xml:space="preserve">ante </w:t>
      </w:r>
      <w:r w:rsidRPr="009C5BDC">
        <w:rPr>
          <w:rFonts w:ascii="Century Gothic" w:hAnsi="Century Gothic" w:cs="Arial"/>
          <w:sz w:val="24"/>
          <w:szCs w:val="24"/>
        </w:rPr>
        <w:t xml:space="preserve">la Secretaria General de Acuerdos del </w:t>
      </w:r>
      <w:r w:rsidR="0094745F">
        <w:rPr>
          <w:rFonts w:ascii="Century Gothic" w:hAnsi="Century Gothic" w:cs="Arial"/>
          <w:sz w:val="24"/>
          <w:szCs w:val="24"/>
        </w:rPr>
        <w:t>Supremo Tribunal de Justicia del e</w:t>
      </w:r>
      <w:r w:rsidRPr="009C5BDC">
        <w:rPr>
          <w:rFonts w:ascii="Century Gothic" w:hAnsi="Century Gothic" w:cs="Arial"/>
          <w:sz w:val="24"/>
          <w:szCs w:val="24"/>
        </w:rPr>
        <w:t xml:space="preserve">stado, el 25 veinticinco de noviembre de 2020 dos mil veinte, </w:t>
      </w:r>
      <w:r w:rsidR="00B728DC">
        <w:rPr>
          <w:rFonts w:ascii="Century Gothic" w:hAnsi="Century Gothic" w:cs="Arial"/>
          <w:sz w:val="24"/>
          <w:szCs w:val="24"/>
        </w:rPr>
        <w:t>ELIMINADO</w:t>
      </w:r>
      <w:r w:rsidRPr="009C5BDC">
        <w:rPr>
          <w:rFonts w:ascii="Century Gothic" w:hAnsi="Century Gothic" w:cs="Arial"/>
          <w:sz w:val="24"/>
          <w:szCs w:val="24"/>
        </w:rPr>
        <w:t xml:space="preserve">, </w:t>
      </w:r>
      <w:r w:rsidR="0094745F">
        <w:rPr>
          <w:rFonts w:ascii="Century Gothic" w:hAnsi="Century Gothic" w:cs="Arial"/>
          <w:sz w:val="24"/>
          <w:szCs w:val="24"/>
        </w:rPr>
        <w:t>ostentándose co</w:t>
      </w:r>
      <w:r w:rsidR="009D25EE">
        <w:rPr>
          <w:rFonts w:ascii="Century Gothic" w:hAnsi="Century Gothic" w:cs="Arial"/>
          <w:sz w:val="24"/>
          <w:szCs w:val="24"/>
        </w:rPr>
        <w:t xml:space="preserve">n el carácter de </w:t>
      </w:r>
      <w:r w:rsidR="0094745F">
        <w:rPr>
          <w:rFonts w:ascii="Century Gothic" w:hAnsi="Century Gothic" w:cs="Arial"/>
          <w:sz w:val="24"/>
          <w:szCs w:val="24"/>
        </w:rPr>
        <w:t xml:space="preserve">abogada patrono de </w:t>
      </w:r>
      <w:r w:rsidR="00B728DC">
        <w:rPr>
          <w:rFonts w:ascii="Century Gothic" w:hAnsi="Century Gothic" w:cs="Arial"/>
          <w:bCs/>
          <w:sz w:val="24"/>
          <w:szCs w:val="24"/>
        </w:rPr>
        <w:t>ELIMINADO</w:t>
      </w:r>
      <w:r w:rsidR="0094745F">
        <w:rPr>
          <w:rFonts w:ascii="Century Gothic" w:hAnsi="Century Gothic" w:cs="Arial"/>
          <w:sz w:val="24"/>
          <w:szCs w:val="24"/>
        </w:rPr>
        <w:t xml:space="preserve"> </w:t>
      </w:r>
      <w:r w:rsidR="009C5BDC">
        <w:rPr>
          <w:rFonts w:ascii="Century Gothic" w:hAnsi="Century Gothic" w:cs="Arial"/>
          <w:sz w:val="24"/>
          <w:szCs w:val="24"/>
        </w:rPr>
        <w:t>promovió</w:t>
      </w:r>
      <w:r w:rsidR="009C5BDC" w:rsidRPr="00AD0AA1">
        <w:rPr>
          <w:rFonts w:ascii="Century Gothic" w:hAnsi="Century Gothic" w:cs="Arial"/>
          <w:sz w:val="24"/>
          <w:szCs w:val="24"/>
        </w:rPr>
        <w:t xml:space="preserve"> recurso</w:t>
      </w:r>
      <w:r w:rsidR="009C5BDC">
        <w:rPr>
          <w:rFonts w:ascii="Century Gothic" w:hAnsi="Century Gothic" w:cs="Arial"/>
          <w:sz w:val="24"/>
          <w:szCs w:val="24"/>
        </w:rPr>
        <w:t xml:space="preserve"> de queja en contra del auto de</w:t>
      </w:r>
      <w:r w:rsidR="009C5BDC" w:rsidRPr="009C5BDC">
        <w:rPr>
          <w:rFonts w:ascii="Century Gothic" w:hAnsi="Century Gothic" w:cs="Arial"/>
          <w:sz w:val="24"/>
          <w:szCs w:val="24"/>
        </w:rPr>
        <w:t xml:space="preserve"> 19 diecinueve de noviembre de 2020 dos mil veinte,</w:t>
      </w:r>
      <w:r w:rsidR="00460452">
        <w:rPr>
          <w:rFonts w:ascii="Century Gothic" w:hAnsi="Century Gothic" w:cs="Arial"/>
          <w:sz w:val="24"/>
          <w:szCs w:val="24"/>
        </w:rPr>
        <w:t xml:space="preserve"> mediante el cual </w:t>
      </w:r>
      <w:r w:rsidR="009C5BDC" w:rsidRPr="009C5BDC">
        <w:rPr>
          <w:rFonts w:ascii="Century Gothic" w:hAnsi="Century Gothic" w:cs="Arial"/>
          <w:sz w:val="24"/>
          <w:szCs w:val="24"/>
        </w:rPr>
        <w:t>el Juez</w:t>
      </w:r>
      <w:r w:rsidR="0094745F">
        <w:rPr>
          <w:rFonts w:ascii="Century Gothic" w:hAnsi="Century Gothic" w:cs="Arial"/>
          <w:sz w:val="24"/>
          <w:szCs w:val="24"/>
        </w:rPr>
        <w:t xml:space="preserve"> Quinto de lo Familiar de</w:t>
      </w:r>
      <w:r w:rsidR="00460452">
        <w:rPr>
          <w:rFonts w:ascii="Century Gothic" w:hAnsi="Century Gothic" w:cs="Arial"/>
          <w:sz w:val="24"/>
          <w:szCs w:val="24"/>
        </w:rPr>
        <w:t xml:space="preserve"> esta Capital, </w:t>
      </w:r>
      <w:r w:rsidR="00047F4C">
        <w:rPr>
          <w:rFonts w:ascii="Century Gothic" w:hAnsi="Century Gothic" w:cs="Arial"/>
          <w:sz w:val="24"/>
          <w:szCs w:val="24"/>
        </w:rPr>
        <w:t xml:space="preserve">inadmitió el recurso de apelación en contra de la resolución de </w:t>
      </w:r>
      <w:r w:rsidR="00047F4C" w:rsidRPr="00AD0AA1">
        <w:rPr>
          <w:rFonts w:ascii="Century Gothic" w:hAnsi="Century Gothic" w:cs="Arial"/>
          <w:sz w:val="24"/>
          <w:szCs w:val="24"/>
        </w:rPr>
        <w:t xml:space="preserve">5 cinco de </w:t>
      </w:r>
      <w:r w:rsidR="00047F4C">
        <w:rPr>
          <w:rFonts w:ascii="Century Gothic" w:hAnsi="Century Gothic" w:cs="Arial"/>
          <w:sz w:val="24"/>
          <w:szCs w:val="24"/>
        </w:rPr>
        <w:t>noviembre</w:t>
      </w:r>
      <w:r w:rsidR="00047F4C" w:rsidRPr="00AD0AA1">
        <w:rPr>
          <w:rFonts w:ascii="Century Gothic" w:hAnsi="Century Gothic" w:cs="Arial"/>
          <w:sz w:val="24"/>
          <w:szCs w:val="24"/>
        </w:rPr>
        <w:t xml:space="preserve"> de 2020 dos mil veinte,</w:t>
      </w:r>
      <w:r w:rsidR="00047F4C">
        <w:rPr>
          <w:rFonts w:ascii="Century Gothic" w:hAnsi="Century Gothic" w:cs="Arial"/>
          <w:sz w:val="24"/>
          <w:szCs w:val="24"/>
        </w:rPr>
        <w:t xml:space="preserve"> que resolvió la planilla de liquidación de pensión alimenticia, en ejecución de sentencia.</w:t>
      </w:r>
      <w:r w:rsidRPr="009C5BDC">
        <w:rPr>
          <w:rFonts w:ascii="Century Gothic" w:hAnsi="Century Gothic" w:cs="Arial"/>
          <w:sz w:val="24"/>
          <w:szCs w:val="24"/>
        </w:rPr>
        <w:t xml:space="preserve"> </w:t>
      </w:r>
    </w:p>
    <w:p w:rsidR="00A31D9F" w:rsidRPr="009C5BDC" w:rsidRDefault="00A31D9F" w:rsidP="00A31D9F">
      <w:pPr>
        <w:tabs>
          <w:tab w:val="left" w:pos="1418"/>
        </w:tabs>
        <w:spacing w:after="120" w:line="360" w:lineRule="auto"/>
        <w:ind w:firstLine="851"/>
        <w:jc w:val="both"/>
        <w:rPr>
          <w:rFonts w:ascii="Century Gothic" w:hAnsi="Century Gothic" w:cs="Arial"/>
          <w:b/>
          <w:bCs/>
          <w:sz w:val="24"/>
          <w:szCs w:val="24"/>
        </w:rPr>
      </w:pPr>
      <w:r w:rsidRPr="009C5BDC">
        <w:rPr>
          <w:rFonts w:ascii="Century Gothic" w:hAnsi="Century Gothic" w:cs="Arial"/>
          <w:b/>
          <w:bCs/>
          <w:sz w:val="24"/>
          <w:szCs w:val="24"/>
        </w:rPr>
        <w:t xml:space="preserve">SEGUNDO. </w:t>
      </w:r>
      <w:r w:rsidR="00047F4C">
        <w:rPr>
          <w:rFonts w:ascii="Century Gothic" w:hAnsi="Century Gothic" w:cs="Arial"/>
          <w:b/>
          <w:bCs/>
          <w:szCs w:val="24"/>
        </w:rPr>
        <w:t>Admisión y T</w:t>
      </w:r>
      <w:r w:rsidRPr="009C5BDC">
        <w:rPr>
          <w:rFonts w:ascii="Century Gothic" w:hAnsi="Century Gothic" w:cs="Arial"/>
          <w:b/>
          <w:bCs/>
          <w:sz w:val="24"/>
          <w:szCs w:val="24"/>
        </w:rPr>
        <w:t xml:space="preserve">rámite. </w:t>
      </w:r>
    </w:p>
    <w:p w:rsidR="00A31D9F" w:rsidRPr="009C5BDC" w:rsidRDefault="00A31D9F" w:rsidP="00A31D9F">
      <w:pPr>
        <w:tabs>
          <w:tab w:val="left" w:pos="1418"/>
        </w:tabs>
        <w:spacing w:after="120" w:line="360" w:lineRule="auto"/>
        <w:ind w:firstLine="851"/>
        <w:jc w:val="both"/>
        <w:rPr>
          <w:rFonts w:ascii="Century Gothic" w:hAnsi="Century Gothic" w:cs="Arial"/>
          <w:sz w:val="24"/>
          <w:szCs w:val="24"/>
        </w:rPr>
      </w:pPr>
      <w:r w:rsidRPr="009C5BDC">
        <w:rPr>
          <w:rFonts w:ascii="Century Gothic" w:hAnsi="Century Gothic" w:cs="Arial"/>
          <w:sz w:val="24"/>
          <w:szCs w:val="24"/>
        </w:rPr>
        <w:t xml:space="preserve">El </w:t>
      </w:r>
      <w:r w:rsidR="00047F4C">
        <w:rPr>
          <w:rFonts w:ascii="Century Gothic" w:hAnsi="Century Gothic" w:cs="Arial"/>
          <w:sz w:val="24"/>
          <w:szCs w:val="24"/>
        </w:rPr>
        <w:t xml:space="preserve">recurso de referencia se tuvo por </w:t>
      </w:r>
      <w:r w:rsidR="00460452">
        <w:rPr>
          <w:rFonts w:ascii="Century Gothic" w:hAnsi="Century Gothic" w:cs="Arial"/>
          <w:sz w:val="24"/>
          <w:szCs w:val="24"/>
        </w:rPr>
        <w:t>recibido mediante auto de 27</w:t>
      </w:r>
      <w:r w:rsidRPr="009C5BDC">
        <w:rPr>
          <w:rFonts w:ascii="Century Gothic" w:hAnsi="Century Gothic" w:cs="Arial"/>
          <w:sz w:val="24"/>
          <w:szCs w:val="24"/>
        </w:rPr>
        <w:t xml:space="preserve"> veintisiete de noviembre de 2020 dos mil veinte, </w:t>
      </w:r>
      <w:r w:rsidR="00460452">
        <w:rPr>
          <w:rFonts w:ascii="Century Gothic" w:hAnsi="Century Gothic" w:cs="Arial"/>
          <w:sz w:val="24"/>
          <w:szCs w:val="24"/>
        </w:rPr>
        <w:t>y en el mismo se ordenó la formación del toca y registro en el l</w:t>
      </w:r>
      <w:r w:rsidRPr="009C5BDC">
        <w:rPr>
          <w:rFonts w:ascii="Century Gothic" w:hAnsi="Century Gothic" w:cs="Arial"/>
          <w:sz w:val="24"/>
          <w:szCs w:val="24"/>
        </w:rPr>
        <w:t xml:space="preserve">ibro de Gobierno, reservándose </w:t>
      </w:r>
      <w:r w:rsidR="00460452">
        <w:rPr>
          <w:rFonts w:ascii="Century Gothic" w:hAnsi="Century Gothic" w:cs="Arial"/>
          <w:sz w:val="24"/>
          <w:szCs w:val="24"/>
        </w:rPr>
        <w:t xml:space="preserve">su admisión hasta en tanto constara en autos </w:t>
      </w:r>
      <w:r w:rsidRPr="009C5BDC">
        <w:rPr>
          <w:rFonts w:ascii="Century Gothic" w:hAnsi="Century Gothic" w:cs="Arial"/>
          <w:sz w:val="24"/>
          <w:szCs w:val="24"/>
        </w:rPr>
        <w:t>el in</w:t>
      </w:r>
      <w:r w:rsidR="00460452">
        <w:rPr>
          <w:rFonts w:ascii="Century Gothic" w:hAnsi="Century Gothic" w:cs="Arial"/>
          <w:sz w:val="24"/>
          <w:szCs w:val="24"/>
        </w:rPr>
        <w:t>forme del Juez del conocimiento, de acuerdo a lo previsto por el artículo 973 de la Ley Adjetiva de la materia.</w:t>
      </w:r>
    </w:p>
    <w:p w:rsidR="00460452" w:rsidRDefault="00A31D9F" w:rsidP="00A31D9F">
      <w:pPr>
        <w:tabs>
          <w:tab w:val="left" w:pos="1418"/>
        </w:tabs>
        <w:spacing w:after="120" w:line="360" w:lineRule="auto"/>
        <w:ind w:firstLine="851"/>
        <w:jc w:val="both"/>
        <w:rPr>
          <w:rFonts w:ascii="Century Gothic" w:hAnsi="Century Gothic" w:cs="Arial"/>
          <w:sz w:val="24"/>
          <w:szCs w:val="24"/>
        </w:rPr>
      </w:pPr>
      <w:r w:rsidRPr="009C5BDC">
        <w:rPr>
          <w:rFonts w:ascii="Century Gothic" w:hAnsi="Century Gothic" w:cs="Arial"/>
          <w:sz w:val="24"/>
          <w:szCs w:val="24"/>
        </w:rPr>
        <w:t xml:space="preserve">Por acuerdo de </w:t>
      </w:r>
      <w:r w:rsidR="00460452">
        <w:rPr>
          <w:rFonts w:ascii="Century Gothic" w:hAnsi="Century Gothic" w:cs="Arial"/>
          <w:sz w:val="24"/>
          <w:szCs w:val="24"/>
        </w:rPr>
        <w:t xml:space="preserve">29 veintinueve de marzo de 2021 </w:t>
      </w:r>
      <w:proofErr w:type="gramStart"/>
      <w:r w:rsidR="00460452">
        <w:rPr>
          <w:rFonts w:ascii="Century Gothic" w:hAnsi="Century Gothic" w:cs="Arial"/>
          <w:sz w:val="24"/>
          <w:szCs w:val="24"/>
        </w:rPr>
        <w:t>dos mil veintiuno</w:t>
      </w:r>
      <w:proofErr w:type="gramEnd"/>
      <w:r w:rsidR="00460452">
        <w:rPr>
          <w:rFonts w:ascii="Century Gothic" w:hAnsi="Century Gothic" w:cs="Arial"/>
          <w:sz w:val="24"/>
          <w:szCs w:val="24"/>
        </w:rPr>
        <w:t xml:space="preserve">, </w:t>
      </w:r>
      <w:r w:rsidR="009D25EE">
        <w:rPr>
          <w:rFonts w:ascii="Century Gothic" w:hAnsi="Century Gothic" w:cs="Arial"/>
          <w:sz w:val="24"/>
          <w:szCs w:val="24"/>
        </w:rPr>
        <w:t xml:space="preserve">a petición de la quejosa, </w:t>
      </w:r>
      <w:r w:rsidR="007116A8">
        <w:rPr>
          <w:rFonts w:ascii="Century Gothic" w:hAnsi="Century Gothic" w:cs="Arial"/>
          <w:sz w:val="24"/>
          <w:szCs w:val="24"/>
        </w:rPr>
        <w:t xml:space="preserve">se apremió al juez de la causa para </w:t>
      </w:r>
      <w:r w:rsidR="009D25EE">
        <w:rPr>
          <w:rFonts w:ascii="Century Gothic" w:hAnsi="Century Gothic" w:cs="Arial"/>
          <w:sz w:val="24"/>
          <w:szCs w:val="24"/>
        </w:rPr>
        <w:t>que,</w:t>
      </w:r>
      <w:r w:rsidR="007116A8">
        <w:rPr>
          <w:rFonts w:ascii="Century Gothic" w:hAnsi="Century Gothic" w:cs="Arial"/>
          <w:sz w:val="24"/>
          <w:szCs w:val="24"/>
        </w:rPr>
        <w:t xml:space="preserve"> dentro del </w:t>
      </w:r>
      <w:r w:rsidR="009D25EE">
        <w:rPr>
          <w:rFonts w:ascii="Century Gothic" w:hAnsi="Century Gothic" w:cs="Arial"/>
          <w:sz w:val="24"/>
          <w:szCs w:val="24"/>
        </w:rPr>
        <w:t>término de</w:t>
      </w:r>
      <w:r w:rsidR="007116A8">
        <w:rPr>
          <w:rFonts w:ascii="Century Gothic" w:hAnsi="Century Gothic" w:cs="Arial"/>
          <w:sz w:val="24"/>
          <w:szCs w:val="24"/>
        </w:rPr>
        <w:t xml:space="preserve"> tres días, rindiera el informe </w:t>
      </w:r>
      <w:r w:rsidR="009D25EE">
        <w:rPr>
          <w:rFonts w:ascii="Century Gothic" w:hAnsi="Century Gothic" w:cs="Arial"/>
          <w:sz w:val="24"/>
          <w:szCs w:val="24"/>
        </w:rPr>
        <w:t>correspondiente.</w:t>
      </w:r>
    </w:p>
    <w:p w:rsidR="00A31D9F" w:rsidRPr="009C5BDC" w:rsidRDefault="009D25EE" w:rsidP="009D25EE">
      <w:pPr>
        <w:tabs>
          <w:tab w:val="left" w:pos="1418"/>
        </w:tabs>
        <w:spacing w:after="120" w:line="360" w:lineRule="auto"/>
        <w:ind w:firstLine="851"/>
        <w:jc w:val="both"/>
        <w:rPr>
          <w:rFonts w:ascii="Century Gothic" w:hAnsi="Century Gothic" w:cs="Arial"/>
          <w:sz w:val="24"/>
          <w:szCs w:val="24"/>
        </w:rPr>
      </w:pPr>
      <w:r>
        <w:rPr>
          <w:rFonts w:ascii="Century Gothic" w:hAnsi="Century Gothic" w:cs="Arial"/>
          <w:sz w:val="24"/>
          <w:szCs w:val="24"/>
        </w:rPr>
        <w:lastRenderedPageBreak/>
        <w:t xml:space="preserve">Mediante auto de </w:t>
      </w:r>
      <w:r w:rsidR="00A31D9F" w:rsidRPr="009C5BDC">
        <w:rPr>
          <w:rFonts w:ascii="Century Gothic" w:hAnsi="Century Gothic" w:cs="Arial"/>
          <w:sz w:val="24"/>
          <w:szCs w:val="24"/>
        </w:rPr>
        <w:t>16 dieciséis de abril de 2021 dos mil veintiuno, se tuv</w:t>
      </w:r>
      <w:r>
        <w:rPr>
          <w:rFonts w:ascii="Century Gothic" w:hAnsi="Century Gothic" w:cs="Arial"/>
          <w:sz w:val="24"/>
          <w:szCs w:val="24"/>
        </w:rPr>
        <w:t>o al Juez Quinto de lo Familiar</w:t>
      </w:r>
      <w:r w:rsidR="00A31D9F" w:rsidRPr="009C5BDC">
        <w:rPr>
          <w:rFonts w:ascii="Century Gothic" w:hAnsi="Century Gothic" w:cs="Arial"/>
          <w:sz w:val="24"/>
          <w:szCs w:val="24"/>
        </w:rPr>
        <w:t xml:space="preserve"> </w:t>
      </w:r>
      <w:r>
        <w:rPr>
          <w:rFonts w:ascii="Century Gothic" w:hAnsi="Century Gothic" w:cs="Arial"/>
          <w:sz w:val="24"/>
          <w:szCs w:val="24"/>
        </w:rPr>
        <w:t>del Primer Distrito Judicial, con residencia en esta c</w:t>
      </w:r>
      <w:r w:rsidR="00A31D9F" w:rsidRPr="009C5BDC">
        <w:rPr>
          <w:rFonts w:ascii="Century Gothic" w:hAnsi="Century Gothic" w:cs="Arial"/>
          <w:sz w:val="24"/>
          <w:szCs w:val="24"/>
        </w:rPr>
        <w:t>iudad, por desahogando el requerimiento efectuado y por rindiendo informe en parte, a virtud de que no acompañó copia certificada relativa a la notificación a la parte colitigante de la entrega de la copia del escrito del recurso de queja que nos ocupa, por lo que, lo requirió a fin de que subsanara en breve término dicha omisión, debiendo enviar copias certificadas de las constancias señaladas; así como, de aquellas que considerara necesarias para su tramitación.</w:t>
      </w:r>
    </w:p>
    <w:p w:rsidR="00FC55DA" w:rsidRPr="009C5BDC" w:rsidRDefault="00FC55DA" w:rsidP="00FC55DA">
      <w:pPr>
        <w:tabs>
          <w:tab w:val="left" w:pos="1418"/>
        </w:tabs>
        <w:spacing w:after="120" w:line="360" w:lineRule="auto"/>
        <w:ind w:firstLine="851"/>
        <w:jc w:val="both"/>
        <w:rPr>
          <w:rFonts w:ascii="Century Gothic" w:hAnsi="Century Gothic" w:cs="Arial"/>
          <w:sz w:val="24"/>
          <w:szCs w:val="24"/>
        </w:rPr>
      </w:pPr>
      <w:r>
        <w:rPr>
          <w:rFonts w:ascii="Century Gothic" w:hAnsi="Century Gothic" w:cs="Arial"/>
          <w:sz w:val="24"/>
          <w:szCs w:val="24"/>
        </w:rPr>
        <w:t>Posteriormente, por proveído de 28 veintiocho de abril de</w:t>
      </w:r>
      <w:r w:rsidRPr="009C5BDC">
        <w:rPr>
          <w:rFonts w:ascii="Century Gothic" w:hAnsi="Century Gothic" w:cs="Arial"/>
          <w:sz w:val="24"/>
          <w:szCs w:val="24"/>
        </w:rPr>
        <w:t xml:space="preserve"> 2021 dos mil veintiuno,</w:t>
      </w:r>
      <w:r>
        <w:rPr>
          <w:rFonts w:ascii="Century Gothic" w:hAnsi="Century Gothic" w:cs="Arial"/>
          <w:sz w:val="24"/>
          <w:szCs w:val="24"/>
        </w:rPr>
        <w:t xml:space="preserve"> se tuvo por recibido oficio 2157/2021 signado por el Juez de la causa Ángel Gonzalo Santiago Hernández, mediante el cual dio cumplimiento al requerimiento antes referido y rindió el informe solicitado, justificándolo con el testimonio de constancias que acompañó al mismo, </w:t>
      </w:r>
      <w:r w:rsidRPr="009C5BDC">
        <w:rPr>
          <w:rFonts w:ascii="Century Gothic" w:hAnsi="Century Gothic" w:cs="Arial"/>
          <w:sz w:val="24"/>
          <w:szCs w:val="24"/>
        </w:rPr>
        <w:t>de ahí que, se ordenó se realizara la certificación correspondiente del término que tuvo la quejosa para interponer el medio de impugnación que nos ocupa, y en tal virtud, conforme a la misma, se tuvo a la recurrente por interponiendo en tiempo y forma el presente recurso de queja</w:t>
      </w:r>
      <w:r>
        <w:rPr>
          <w:rFonts w:ascii="Century Gothic" w:hAnsi="Century Gothic" w:cs="Arial"/>
          <w:sz w:val="24"/>
          <w:szCs w:val="24"/>
        </w:rPr>
        <w:t xml:space="preserve"> en tanto que a </w:t>
      </w:r>
      <w:r>
        <w:rPr>
          <w:rFonts w:ascii="Century Gothic" w:hAnsi="Century Gothic" w:cs="Arial"/>
          <w:sz w:val="24"/>
          <w:szCs w:val="24"/>
        </w:rPr>
        <w:t>ELIMINADO</w:t>
      </w:r>
      <w:r>
        <w:rPr>
          <w:rFonts w:ascii="Century Gothic" w:hAnsi="Century Gothic" w:cs="Arial"/>
          <w:sz w:val="24"/>
          <w:szCs w:val="24"/>
        </w:rPr>
        <w:t xml:space="preserve"> se le tuvo por desinteresado al respecto, ordenándose la notificación de dicho proveído y las subsecuentes que tengan el carácter de personal por medio de cédula</w:t>
      </w:r>
      <w:r w:rsidRPr="009C5BDC">
        <w:rPr>
          <w:rFonts w:ascii="Century Gothic" w:hAnsi="Century Gothic" w:cs="Arial"/>
          <w:sz w:val="24"/>
          <w:szCs w:val="24"/>
        </w:rPr>
        <w:t>.</w:t>
      </w:r>
    </w:p>
    <w:p w:rsidR="00A31D9F" w:rsidRPr="009C5BDC" w:rsidRDefault="00A31D9F" w:rsidP="00A31D9F">
      <w:pPr>
        <w:tabs>
          <w:tab w:val="left" w:pos="1418"/>
        </w:tabs>
        <w:spacing w:after="120" w:line="360" w:lineRule="auto"/>
        <w:ind w:firstLine="851"/>
        <w:jc w:val="both"/>
        <w:rPr>
          <w:rFonts w:ascii="Century Gothic" w:hAnsi="Century Gothic" w:cs="Arial"/>
          <w:sz w:val="24"/>
          <w:szCs w:val="24"/>
        </w:rPr>
      </w:pPr>
      <w:r w:rsidRPr="009C5BDC">
        <w:rPr>
          <w:rFonts w:ascii="Century Gothic" w:hAnsi="Century Gothic" w:cs="Arial"/>
          <w:sz w:val="24"/>
          <w:szCs w:val="24"/>
        </w:rPr>
        <w:t>Finalmente, se citó para resolver el presente asunto,</w:t>
      </w:r>
      <w:r w:rsidR="0057613A">
        <w:rPr>
          <w:rFonts w:ascii="Century Gothic" w:hAnsi="Century Gothic" w:cs="Arial"/>
          <w:sz w:val="24"/>
          <w:szCs w:val="24"/>
        </w:rPr>
        <w:t xml:space="preserve"> ordenándose el envío de los </w:t>
      </w:r>
      <w:r w:rsidR="007740C5">
        <w:rPr>
          <w:rFonts w:ascii="Century Gothic" w:hAnsi="Century Gothic" w:cs="Arial"/>
          <w:sz w:val="24"/>
          <w:szCs w:val="24"/>
        </w:rPr>
        <w:t xml:space="preserve">autos </w:t>
      </w:r>
      <w:r w:rsidR="007740C5" w:rsidRPr="009C5BDC">
        <w:rPr>
          <w:rFonts w:ascii="Century Gothic" w:hAnsi="Century Gothic" w:cs="Arial"/>
          <w:sz w:val="24"/>
          <w:szCs w:val="24"/>
        </w:rPr>
        <w:t>a</w:t>
      </w:r>
      <w:r w:rsidRPr="009C5BDC">
        <w:rPr>
          <w:rFonts w:ascii="Century Gothic" w:hAnsi="Century Gothic" w:cs="Arial"/>
          <w:sz w:val="24"/>
          <w:szCs w:val="24"/>
        </w:rPr>
        <w:t xml:space="preserve"> la Magistrada Graciela Treviño Rodríguez, </w:t>
      </w:r>
      <w:r w:rsidR="009F7E0F">
        <w:rPr>
          <w:rFonts w:ascii="Century Gothic" w:hAnsi="Century Gothic" w:cs="Arial"/>
          <w:sz w:val="24"/>
          <w:szCs w:val="24"/>
        </w:rPr>
        <w:t>a</w:t>
      </w:r>
      <w:r w:rsidR="0057613A">
        <w:rPr>
          <w:rFonts w:ascii="Century Gothic" w:hAnsi="Century Gothic" w:cs="Arial"/>
          <w:sz w:val="24"/>
          <w:szCs w:val="24"/>
        </w:rPr>
        <w:t xml:space="preserve"> quien por razón de turno le corresponde formular el proyecto respectivo, recibiendo dichos autos el </w:t>
      </w:r>
      <w:r w:rsidR="007740C5" w:rsidRPr="007740C5">
        <w:rPr>
          <w:rFonts w:ascii="Century Gothic" w:hAnsi="Century Gothic" w:cs="Arial"/>
          <w:sz w:val="24"/>
          <w:szCs w:val="24"/>
        </w:rPr>
        <w:t>6 de mayo de 2021</w:t>
      </w:r>
      <w:r w:rsidRPr="009C5BDC">
        <w:rPr>
          <w:rFonts w:ascii="Century Gothic" w:hAnsi="Century Gothic" w:cs="Arial"/>
          <w:sz w:val="24"/>
          <w:szCs w:val="24"/>
        </w:rPr>
        <w:t>; y,</w:t>
      </w:r>
    </w:p>
    <w:p w:rsidR="00A31D9F" w:rsidRPr="00885139" w:rsidRDefault="00A31D9F" w:rsidP="00A31D9F">
      <w:pPr>
        <w:tabs>
          <w:tab w:val="left" w:pos="1418"/>
        </w:tabs>
        <w:spacing w:after="120" w:line="360" w:lineRule="auto"/>
        <w:jc w:val="center"/>
        <w:rPr>
          <w:rFonts w:ascii="Century Gothic" w:hAnsi="Century Gothic" w:cs="Arial"/>
          <w:b/>
          <w:bCs/>
          <w:sz w:val="24"/>
          <w:szCs w:val="24"/>
        </w:rPr>
      </w:pPr>
      <w:r w:rsidRPr="00885139">
        <w:rPr>
          <w:rFonts w:ascii="Century Gothic" w:hAnsi="Century Gothic" w:cs="Arial"/>
          <w:b/>
          <w:bCs/>
          <w:sz w:val="24"/>
          <w:szCs w:val="24"/>
        </w:rPr>
        <w:t>C O N S I D E R A N D O</w:t>
      </w:r>
    </w:p>
    <w:p w:rsidR="00A31D9F" w:rsidRPr="00885139" w:rsidRDefault="00A31D9F" w:rsidP="00A31D9F">
      <w:pPr>
        <w:tabs>
          <w:tab w:val="left" w:pos="1418"/>
        </w:tabs>
        <w:spacing w:after="120" w:line="360" w:lineRule="auto"/>
        <w:ind w:firstLine="851"/>
        <w:jc w:val="both"/>
        <w:rPr>
          <w:rFonts w:ascii="Century Gothic" w:hAnsi="Century Gothic" w:cs="Arial"/>
          <w:sz w:val="24"/>
          <w:szCs w:val="24"/>
        </w:rPr>
      </w:pPr>
      <w:r w:rsidRPr="00885139">
        <w:rPr>
          <w:rFonts w:ascii="Century Gothic" w:hAnsi="Century Gothic" w:cs="Arial"/>
          <w:b/>
          <w:bCs/>
          <w:sz w:val="24"/>
          <w:szCs w:val="24"/>
        </w:rPr>
        <w:t>PRIMERO</w:t>
      </w:r>
      <w:r w:rsidRPr="00885139">
        <w:rPr>
          <w:rFonts w:ascii="Century Gothic" w:hAnsi="Century Gothic" w:cs="Arial"/>
          <w:sz w:val="24"/>
          <w:szCs w:val="24"/>
        </w:rPr>
        <w:t xml:space="preserve">. </w:t>
      </w:r>
      <w:r w:rsidRPr="00885139">
        <w:rPr>
          <w:rFonts w:ascii="Century Gothic" w:hAnsi="Century Gothic" w:cs="Arial"/>
          <w:b/>
          <w:bCs/>
          <w:sz w:val="24"/>
          <w:szCs w:val="24"/>
        </w:rPr>
        <w:t>Competencia.</w:t>
      </w:r>
    </w:p>
    <w:p w:rsidR="00885139" w:rsidRDefault="0057613A" w:rsidP="00A31D9F">
      <w:pPr>
        <w:tabs>
          <w:tab w:val="left" w:pos="1418"/>
        </w:tabs>
        <w:spacing w:after="120" w:line="360" w:lineRule="auto"/>
        <w:ind w:firstLine="851"/>
        <w:jc w:val="both"/>
        <w:rPr>
          <w:rFonts w:ascii="Century Gothic" w:hAnsi="Century Gothic" w:cs="Arial"/>
          <w:sz w:val="24"/>
          <w:szCs w:val="24"/>
        </w:rPr>
      </w:pPr>
      <w:r>
        <w:rPr>
          <w:rFonts w:ascii="Century Gothic" w:hAnsi="Century Gothic" w:cs="Arial"/>
          <w:sz w:val="24"/>
          <w:szCs w:val="24"/>
        </w:rPr>
        <w:t>Este</w:t>
      </w:r>
      <w:r w:rsidR="00885139" w:rsidRPr="002A6412">
        <w:rPr>
          <w:rFonts w:ascii="Century Gothic" w:hAnsi="Century Gothic" w:cs="Arial"/>
          <w:sz w:val="24"/>
          <w:szCs w:val="24"/>
        </w:rPr>
        <w:t xml:space="preserve"> Pleno del Supremo Tribunal de Justicia del Estado es competente para resolver el presente recurso de queja, con fundamento en los artículos </w:t>
      </w:r>
      <w:r w:rsidR="00885139" w:rsidRPr="00B51945">
        <w:rPr>
          <w:rFonts w:ascii="Century Gothic" w:hAnsi="Century Gothic" w:cs="Arial"/>
          <w:sz w:val="24"/>
          <w:szCs w:val="24"/>
        </w:rPr>
        <w:t xml:space="preserve">11 y 14, fracción XIV, de la Ley Orgánica del </w:t>
      </w:r>
      <w:r w:rsidR="00885139" w:rsidRPr="00B51945">
        <w:rPr>
          <w:rFonts w:ascii="Century Gothic" w:hAnsi="Century Gothic" w:cs="Arial"/>
          <w:sz w:val="24"/>
          <w:szCs w:val="24"/>
        </w:rPr>
        <w:lastRenderedPageBreak/>
        <w:t>Poder Judicial del Estado</w:t>
      </w:r>
      <w:r w:rsidR="00885139" w:rsidRPr="002A6412">
        <w:rPr>
          <w:rFonts w:ascii="Century Gothic" w:hAnsi="Century Gothic" w:cs="Arial"/>
          <w:sz w:val="24"/>
          <w:szCs w:val="24"/>
        </w:rPr>
        <w:t>,</w:t>
      </w:r>
      <w:r w:rsidR="00885139" w:rsidRPr="002A6412">
        <w:rPr>
          <w:rStyle w:val="Refdenotaalpie"/>
          <w:rFonts w:ascii="Century Gothic" w:hAnsi="Century Gothic" w:cs="Arial"/>
          <w:sz w:val="24"/>
          <w:szCs w:val="24"/>
        </w:rPr>
        <w:footnoteReference w:id="1"/>
      </w:r>
      <w:r w:rsidR="00885139" w:rsidRPr="002A6412">
        <w:rPr>
          <w:rFonts w:ascii="Century Gothic" w:hAnsi="Century Gothic" w:cs="Arial"/>
          <w:sz w:val="24"/>
          <w:szCs w:val="24"/>
        </w:rPr>
        <w:t xml:space="preserve"> en relación con los numerales </w:t>
      </w:r>
      <w:r w:rsidR="00885139" w:rsidRPr="00B51945">
        <w:rPr>
          <w:rFonts w:ascii="Century Gothic" w:hAnsi="Century Gothic" w:cs="Arial"/>
          <w:sz w:val="24"/>
          <w:szCs w:val="24"/>
        </w:rPr>
        <w:t>971, fracción III, y último párrafo del 973 del Código de Procedimientos Civiles del Estado.</w:t>
      </w:r>
      <w:r w:rsidR="00885139" w:rsidRPr="00B51945">
        <w:rPr>
          <w:rStyle w:val="Refdenotaalpie"/>
          <w:rFonts w:ascii="Century Gothic" w:hAnsi="Century Gothic" w:cs="Arial"/>
          <w:sz w:val="24"/>
          <w:szCs w:val="24"/>
        </w:rPr>
        <w:footnoteReference w:id="2"/>
      </w:r>
      <w:r w:rsidR="00885139" w:rsidRPr="00B51945">
        <w:rPr>
          <w:rFonts w:ascii="Century Gothic" w:hAnsi="Century Gothic" w:cs="Arial"/>
          <w:sz w:val="24"/>
          <w:szCs w:val="24"/>
        </w:rPr>
        <w:t xml:space="preserve"> Atento a que el auto recurrido fue dictado por un Juez </w:t>
      </w:r>
      <w:r>
        <w:rPr>
          <w:rFonts w:ascii="Century Gothic" w:hAnsi="Century Gothic" w:cs="Arial"/>
          <w:sz w:val="24"/>
          <w:szCs w:val="24"/>
        </w:rPr>
        <w:t>Familiar</w:t>
      </w:r>
      <w:r w:rsidR="00885139" w:rsidRPr="00B51945">
        <w:rPr>
          <w:rFonts w:ascii="Century Gothic" w:hAnsi="Century Gothic" w:cs="Arial"/>
          <w:sz w:val="24"/>
          <w:szCs w:val="24"/>
        </w:rPr>
        <w:t>, con residencia en e</w:t>
      </w:r>
      <w:r w:rsidR="00885139" w:rsidRPr="002A6412">
        <w:rPr>
          <w:rFonts w:ascii="Century Gothic" w:hAnsi="Century Gothic" w:cs="Arial"/>
          <w:sz w:val="24"/>
          <w:szCs w:val="24"/>
        </w:rPr>
        <w:t>l territorio judicial, donde este Órgano Colegiado ejerce su jurisdicción.</w:t>
      </w:r>
    </w:p>
    <w:p w:rsidR="00A31D9F" w:rsidRPr="00885139" w:rsidRDefault="00A31D9F" w:rsidP="00A31D9F">
      <w:pPr>
        <w:tabs>
          <w:tab w:val="left" w:pos="1418"/>
        </w:tabs>
        <w:spacing w:after="120" w:line="360" w:lineRule="auto"/>
        <w:ind w:firstLine="851"/>
        <w:jc w:val="both"/>
        <w:rPr>
          <w:rFonts w:ascii="Century Gothic" w:hAnsi="Century Gothic" w:cs="Arial"/>
          <w:b/>
          <w:bCs/>
          <w:sz w:val="24"/>
          <w:szCs w:val="24"/>
        </w:rPr>
      </w:pPr>
      <w:r w:rsidRPr="00885139">
        <w:rPr>
          <w:rFonts w:ascii="Century Gothic" w:hAnsi="Century Gothic" w:cs="Arial"/>
          <w:b/>
          <w:bCs/>
          <w:sz w:val="24"/>
          <w:szCs w:val="24"/>
        </w:rPr>
        <w:t>SEGUNDO. Trámite.</w:t>
      </w:r>
    </w:p>
    <w:p w:rsidR="00885139" w:rsidRDefault="00885139" w:rsidP="00885139">
      <w:pPr>
        <w:tabs>
          <w:tab w:val="left" w:pos="1418"/>
        </w:tabs>
        <w:spacing w:after="360" w:line="360" w:lineRule="auto"/>
        <w:ind w:firstLine="851"/>
        <w:jc w:val="both"/>
        <w:rPr>
          <w:rStyle w:val="Refdecomentario"/>
          <w:rFonts w:ascii="Century Gothic" w:hAnsi="Century Gothic"/>
          <w:sz w:val="24"/>
          <w:szCs w:val="24"/>
        </w:rPr>
      </w:pPr>
      <w:r w:rsidRPr="002A6412">
        <w:rPr>
          <w:rFonts w:ascii="Century Gothic" w:hAnsi="Century Gothic" w:cs="Arial"/>
          <w:bCs/>
          <w:sz w:val="24"/>
          <w:szCs w:val="24"/>
        </w:rPr>
        <w:t xml:space="preserve">La substanciación del medio de impugnación de que se trata, se encuentra establecido en los </w:t>
      </w:r>
      <w:r w:rsidRPr="00B51945">
        <w:rPr>
          <w:rFonts w:ascii="Century Gothic" w:hAnsi="Century Gothic" w:cs="Arial"/>
          <w:bCs/>
          <w:sz w:val="24"/>
          <w:szCs w:val="24"/>
        </w:rPr>
        <w:t>artículos 971, fracción III y 973 de la Legislación Adjetiva Civil;</w:t>
      </w:r>
      <w:r w:rsidRPr="00B51945">
        <w:rPr>
          <w:rStyle w:val="Refdenotaalpie"/>
          <w:rFonts w:ascii="Century Gothic" w:hAnsi="Century Gothic" w:cs="Arial"/>
          <w:sz w:val="24"/>
          <w:szCs w:val="24"/>
        </w:rPr>
        <w:footnoteReference w:id="3"/>
      </w:r>
      <w:r w:rsidRPr="00B51945">
        <w:rPr>
          <w:rFonts w:ascii="Century Gothic" w:hAnsi="Century Gothic" w:cs="Arial"/>
          <w:bCs/>
          <w:sz w:val="24"/>
          <w:szCs w:val="24"/>
        </w:rPr>
        <w:t xml:space="preserve"> </w:t>
      </w:r>
      <w:r w:rsidR="0057613A">
        <w:rPr>
          <w:rFonts w:ascii="Century Gothic" w:hAnsi="Century Gothic" w:cs="Arial"/>
          <w:bCs/>
          <w:sz w:val="24"/>
          <w:szCs w:val="24"/>
        </w:rPr>
        <w:t xml:space="preserve">en relación con el artículo </w:t>
      </w:r>
      <w:r w:rsidRPr="00B51945">
        <w:rPr>
          <w:rFonts w:ascii="Century Gothic" w:hAnsi="Century Gothic" w:cs="Arial"/>
          <w:bCs/>
          <w:sz w:val="24"/>
          <w:szCs w:val="24"/>
        </w:rPr>
        <w:t>17, fracción VIII, de la Ley Orgánica del Poder Judicial del Estado,</w:t>
      </w:r>
      <w:r w:rsidRPr="00B51945">
        <w:rPr>
          <w:rStyle w:val="Refdenotaalpie"/>
          <w:rFonts w:ascii="Century Gothic" w:hAnsi="Century Gothic" w:cs="Arial"/>
          <w:sz w:val="24"/>
          <w:szCs w:val="24"/>
        </w:rPr>
        <w:footnoteReference w:id="4"/>
      </w:r>
      <w:r w:rsidRPr="00B51945">
        <w:rPr>
          <w:rFonts w:ascii="Century Gothic" w:hAnsi="Century Gothic" w:cs="Arial"/>
          <w:bCs/>
          <w:sz w:val="24"/>
          <w:szCs w:val="24"/>
        </w:rPr>
        <w:t xml:space="preserve"> e</w:t>
      </w:r>
      <w:r w:rsidRPr="002A6412">
        <w:rPr>
          <w:rFonts w:ascii="Century Gothic" w:hAnsi="Century Gothic" w:cs="Arial"/>
          <w:bCs/>
          <w:sz w:val="24"/>
          <w:szCs w:val="24"/>
        </w:rPr>
        <w:t>n razón de que se interpone en contra de un auto dictado en ejecución de sentencia que niega admitir un recurso de apelación</w:t>
      </w:r>
      <w:r w:rsidRPr="002A6412">
        <w:rPr>
          <w:rStyle w:val="Refdecomentario"/>
          <w:rFonts w:ascii="Century Gothic" w:hAnsi="Century Gothic"/>
          <w:sz w:val="24"/>
          <w:szCs w:val="24"/>
        </w:rPr>
        <w:t>.</w:t>
      </w:r>
    </w:p>
    <w:p w:rsidR="00A31D9F" w:rsidRPr="001A0997" w:rsidRDefault="00A31D9F" w:rsidP="00A31D9F">
      <w:pPr>
        <w:tabs>
          <w:tab w:val="left" w:pos="1418"/>
        </w:tabs>
        <w:spacing w:after="120" w:line="360" w:lineRule="auto"/>
        <w:ind w:firstLine="851"/>
        <w:jc w:val="both"/>
        <w:rPr>
          <w:rFonts w:ascii="Century Gothic" w:hAnsi="Century Gothic" w:cs="Arial"/>
          <w:b/>
          <w:bCs/>
          <w:sz w:val="24"/>
          <w:szCs w:val="24"/>
        </w:rPr>
      </w:pPr>
      <w:r w:rsidRPr="001A0997">
        <w:rPr>
          <w:rFonts w:ascii="Century Gothic" w:hAnsi="Century Gothic" w:cs="Arial"/>
          <w:b/>
          <w:bCs/>
          <w:sz w:val="24"/>
          <w:szCs w:val="24"/>
        </w:rPr>
        <w:t>TERCERO. Oportunidad del recurso.</w:t>
      </w:r>
    </w:p>
    <w:p w:rsidR="005F0236" w:rsidRPr="003855A4" w:rsidRDefault="005F0236" w:rsidP="005F0236">
      <w:pPr>
        <w:tabs>
          <w:tab w:val="left" w:pos="1418"/>
        </w:tabs>
        <w:spacing w:after="360" w:line="360" w:lineRule="auto"/>
        <w:ind w:firstLine="851"/>
        <w:jc w:val="both"/>
        <w:rPr>
          <w:rFonts w:ascii="Century Gothic" w:hAnsi="Century Gothic" w:cs="Arial"/>
          <w:sz w:val="24"/>
          <w:szCs w:val="24"/>
        </w:rPr>
      </w:pPr>
      <w:r>
        <w:rPr>
          <w:rFonts w:ascii="Century Gothic" w:hAnsi="Century Gothic" w:cs="Arial"/>
          <w:sz w:val="24"/>
          <w:szCs w:val="24"/>
        </w:rPr>
        <w:t xml:space="preserve">El presente recurso </w:t>
      </w:r>
      <w:r w:rsidRPr="00B61AD0">
        <w:rPr>
          <w:rFonts w:ascii="Century Gothic" w:hAnsi="Century Gothic" w:cs="Arial"/>
          <w:sz w:val="24"/>
          <w:szCs w:val="24"/>
        </w:rPr>
        <w:t xml:space="preserve">se interpuso dentro del plazo de tres días previsto en el artículo 973, primer párrafo, del Código de Procedimientos Civiles, pues de acuerdo a las constancias que emitió el juez de la causa, </w:t>
      </w:r>
      <w:r>
        <w:rPr>
          <w:rFonts w:ascii="Century Gothic" w:hAnsi="Century Gothic" w:cs="Arial"/>
          <w:sz w:val="24"/>
          <w:szCs w:val="24"/>
        </w:rPr>
        <w:t>e</w:t>
      </w:r>
      <w:r w:rsidRPr="00B61AD0">
        <w:rPr>
          <w:rFonts w:ascii="Century Gothic" w:hAnsi="Century Gothic" w:cs="Arial"/>
          <w:sz w:val="24"/>
          <w:szCs w:val="24"/>
        </w:rPr>
        <w:t xml:space="preserve">l </w:t>
      </w:r>
      <w:r>
        <w:rPr>
          <w:rFonts w:ascii="Century Gothic" w:hAnsi="Century Gothic" w:cs="Arial"/>
          <w:sz w:val="24"/>
          <w:szCs w:val="24"/>
        </w:rPr>
        <w:t xml:space="preserve">auto </w:t>
      </w:r>
      <w:r w:rsidRPr="00B61AD0">
        <w:rPr>
          <w:rFonts w:ascii="Century Gothic" w:hAnsi="Century Gothic" w:cs="Arial"/>
          <w:sz w:val="24"/>
          <w:szCs w:val="24"/>
        </w:rPr>
        <w:t>impugnad</w:t>
      </w:r>
      <w:r>
        <w:rPr>
          <w:rFonts w:ascii="Century Gothic" w:hAnsi="Century Gothic" w:cs="Arial"/>
          <w:sz w:val="24"/>
          <w:szCs w:val="24"/>
        </w:rPr>
        <w:t>o</w:t>
      </w:r>
      <w:r w:rsidRPr="00B61AD0">
        <w:rPr>
          <w:rFonts w:ascii="Century Gothic" w:hAnsi="Century Gothic" w:cs="Arial"/>
          <w:sz w:val="24"/>
          <w:szCs w:val="24"/>
        </w:rPr>
        <w:t xml:space="preserve"> se notificó </w:t>
      </w:r>
      <w:r w:rsidRPr="003855A4">
        <w:rPr>
          <w:rFonts w:ascii="Century Gothic" w:hAnsi="Century Gothic" w:cs="Arial"/>
          <w:sz w:val="24"/>
          <w:szCs w:val="24"/>
        </w:rPr>
        <w:t xml:space="preserve">por medio de lista a la parte quejosa el viernes 20 veinte de noviembre de 2020 dos mil veinte, notificación que surtió sus efectos hasta el lunes 23 veintitrés y concluyó el miércoles 25 veinticinco de ese mes y año; con excepción de los días 21 veintiuno y </w:t>
      </w:r>
      <w:r w:rsidRPr="003855A4">
        <w:rPr>
          <w:rFonts w:ascii="Century Gothic" w:hAnsi="Century Gothic" w:cs="Arial"/>
          <w:sz w:val="24"/>
          <w:szCs w:val="24"/>
        </w:rPr>
        <w:lastRenderedPageBreak/>
        <w:t xml:space="preserve">22 veintidós de noviembre, en virtud de que fueron inhábiles; recurso que fue admitido por auto del Juez </w:t>
      </w:r>
      <w:r>
        <w:rPr>
          <w:rFonts w:ascii="Century Gothic" w:hAnsi="Century Gothic" w:cs="Arial"/>
          <w:sz w:val="24"/>
          <w:szCs w:val="24"/>
        </w:rPr>
        <w:t xml:space="preserve">Natural, </w:t>
      </w:r>
      <w:r w:rsidRPr="003855A4">
        <w:rPr>
          <w:rFonts w:ascii="Century Gothic" w:hAnsi="Century Gothic" w:cs="Arial"/>
          <w:sz w:val="24"/>
          <w:szCs w:val="24"/>
        </w:rPr>
        <w:t xml:space="preserve">el 27 veintisiete de noviembre del año </w:t>
      </w:r>
      <w:r>
        <w:rPr>
          <w:rFonts w:ascii="Century Gothic" w:hAnsi="Century Gothic" w:cs="Arial"/>
          <w:sz w:val="24"/>
          <w:szCs w:val="24"/>
        </w:rPr>
        <w:t>en mención</w:t>
      </w:r>
      <w:r w:rsidRPr="003855A4">
        <w:rPr>
          <w:rFonts w:ascii="Century Gothic" w:hAnsi="Century Gothic" w:cs="Arial"/>
          <w:sz w:val="24"/>
          <w:szCs w:val="24"/>
        </w:rPr>
        <w:t>.</w:t>
      </w:r>
      <w:r w:rsidRPr="003855A4">
        <w:rPr>
          <w:rStyle w:val="Ancladenotaalpie"/>
          <w:rFonts w:ascii="Century Gothic" w:hAnsi="Century Gothic" w:cs="Arial"/>
          <w:sz w:val="18"/>
          <w:szCs w:val="18"/>
        </w:rPr>
        <w:footnoteReference w:id="5"/>
      </w:r>
    </w:p>
    <w:p w:rsidR="005F0236" w:rsidRDefault="005F0236" w:rsidP="005F0236">
      <w:pPr>
        <w:tabs>
          <w:tab w:val="left" w:pos="1418"/>
        </w:tabs>
        <w:spacing w:after="360" w:line="360" w:lineRule="auto"/>
        <w:ind w:firstLine="851"/>
        <w:jc w:val="both"/>
        <w:rPr>
          <w:rFonts w:ascii="Century Gothic" w:hAnsi="Century Gothic" w:cs="Arial"/>
          <w:sz w:val="24"/>
          <w:szCs w:val="24"/>
        </w:rPr>
      </w:pPr>
      <w:r w:rsidRPr="003855A4">
        <w:rPr>
          <w:rFonts w:ascii="Century Gothic" w:hAnsi="Century Gothic" w:cs="Arial"/>
          <w:sz w:val="24"/>
          <w:szCs w:val="24"/>
        </w:rPr>
        <w:t xml:space="preserve">Por tanto, si la </w:t>
      </w:r>
      <w:proofErr w:type="spellStart"/>
      <w:r w:rsidRPr="003855A4">
        <w:rPr>
          <w:rFonts w:ascii="Century Gothic" w:hAnsi="Century Gothic" w:cs="Arial"/>
          <w:sz w:val="24"/>
          <w:szCs w:val="24"/>
        </w:rPr>
        <w:t>promovente</w:t>
      </w:r>
      <w:proofErr w:type="spellEnd"/>
      <w:r w:rsidRPr="003855A4">
        <w:rPr>
          <w:rFonts w:ascii="Century Gothic" w:hAnsi="Century Gothic" w:cs="Arial"/>
          <w:sz w:val="24"/>
          <w:szCs w:val="24"/>
        </w:rPr>
        <w:t xml:space="preserve"> interpuso el recurso de queja en estudio mediante escrito presentado el 25 veinticinco de noviembre de 2020 dos mil veinte, entonces, resulta evidente que el recurso en comento fue promovido en el tercer día del plazo legal y, por consiguiente, en tiempo.</w:t>
      </w:r>
    </w:p>
    <w:p w:rsidR="00A31D9F" w:rsidRPr="001A0997" w:rsidRDefault="00A31D9F" w:rsidP="00A31D9F">
      <w:pPr>
        <w:tabs>
          <w:tab w:val="left" w:pos="1418"/>
        </w:tabs>
        <w:spacing w:after="120" w:line="360" w:lineRule="auto"/>
        <w:ind w:firstLine="851"/>
        <w:jc w:val="both"/>
        <w:rPr>
          <w:rFonts w:ascii="Century Gothic" w:hAnsi="Century Gothic" w:cs="Arial"/>
          <w:b/>
          <w:bCs/>
          <w:sz w:val="24"/>
          <w:szCs w:val="24"/>
        </w:rPr>
      </w:pPr>
      <w:r w:rsidRPr="001A0997">
        <w:rPr>
          <w:rFonts w:ascii="Century Gothic" w:hAnsi="Century Gothic" w:cs="Arial"/>
          <w:b/>
          <w:bCs/>
          <w:sz w:val="24"/>
          <w:szCs w:val="24"/>
        </w:rPr>
        <w:t xml:space="preserve">CUARTO. Fijación de la </w:t>
      </w:r>
      <w:r w:rsidRPr="001A0997">
        <w:rPr>
          <w:rFonts w:ascii="Century Gothic" w:hAnsi="Century Gothic" w:cs="Arial"/>
          <w:b/>
          <w:bCs/>
          <w:iCs/>
          <w:sz w:val="24"/>
          <w:szCs w:val="24"/>
        </w:rPr>
        <w:t>Litis.</w:t>
      </w:r>
    </w:p>
    <w:p w:rsidR="00A31D9F" w:rsidRPr="001A0997" w:rsidRDefault="00A31D9F" w:rsidP="00A31D9F">
      <w:pPr>
        <w:pStyle w:val="Normal1"/>
        <w:spacing w:after="120" w:line="360" w:lineRule="auto"/>
        <w:ind w:firstLine="851"/>
        <w:jc w:val="both"/>
        <w:rPr>
          <w:rFonts w:ascii="Century Gothic" w:hAnsi="Century Gothic"/>
          <w:color w:val="auto"/>
        </w:rPr>
      </w:pPr>
      <w:r w:rsidRPr="001A0997">
        <w:rPr>
          <w:rFonts w:ascii="Century Gothic" w:hAnsi="Century Gothic" w:cs="Arial"/>
          <w:color w:val="auto"/>
        </w:rPr>
        <w:t>Precisado lo anterior, es menester precisar, que el auto combatido en queja literalmente dice:</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cs="Arial"/>
          <w:i/>
        </w:rPr>
        <w:t>“…</w:t>
      </w:r>
      <w:r w:rsidRPr="001A0997">
        <w:rPr>
          <w:rFonts w:ascii="Century Gothic" w:hAnsi="Century Gothic"/>
          <w:i/>
        </w:rPr>
        <w:t xml:space="preserve">San Luis Potosí, San Luis Potosí, a 19 diecinueve de noviembre del año 2020 dos mil veinte. </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i/>
        </w:rPr>
        <w:t xml:space="preserve">Agréguese a los autos cuatro escritos, el primero presentado en el buzón de oficialía de partes común a Juzgados Civiles y Familiares del Poder Judicial del Estado, a las 14:33 catorce horas con treinta minutos del día 11 once de noviembre del año en curso y en la Subsecretaría de este Juzgado el día 12 doce de noviembre del año en curso, signado por </w:t>
      </w:r>
      <w:r w:rsidR="00B728DC">
        <w:rPr>
          <w:rFonts w:ascii="Century Gothic" w:hAnsi="Century Gothic"/>
          <w:i/>
        </w:rPr>
        <w:t>ELIMINADO</w:t>
      </w:r>
      <w:r w:rsidRPr="001A0997">
        <w:rPr>
          <w:rFonts w:ascii="Century Gothic" w:hAnsi="Century Gothic"/>
          <w:i/>
        </w:rPr>
        <w:t xml:space="preserve">. Abogado autorizado de </w:t>
      </w:r>
      <w:r w:rsidR="00B728DC">
        <w:rPr>
          <w:rFonts w:ascii="Century Gothic" w:hAnsi="Century Gothic"/>
          <w:i/>
        </w:rPr>
        <w:t>ELIMINADO</w:t>
      </w:r>
      <w:r w:rsidRPr="001A0997">
        <w:rPr>
          <w:rFonts w:ascii="Century Gothic" w:hAnsi="Century Gothic"/>
          <w:i/>
        </w:rPr>
        <w:t xml:space="preserve">; el segundo y cuarto escritos signados por la Licenciada </w:t>
      </w:r>
      <w:r w:rsidR="00B728DC">
        <w:rPr>
          <w:rFonts w:ascii="Century Gothic" w:hAnsi="Century Gothic"/>
          <w:i/>
        </w:rPr>
        <w:t>ELIMINADO</w:t>
      </w:r>
      <w:r w:rsidRPr="001A0997">
        <w:rPr>
          <w:rFonts w:ascii="Century Gothic" w:hAnsi="Century Gothic"/>
          <w:i/>
        </w:rPr>
        <w:t xml:space="preserve">. Abogada patrona de </w:t>
      </w:r>
      <w:r w:rsidR="00B728DC">
        <w:rPr>
          <w:rFonts w:ascii="Century Gothic" w:hAnsi="Century Gothic"/>
          <w:i/>
        </w:rPr>
        <w:t>ELIMINADO</w:t>
      </w:r>
      <w:r w:rsidRPr="001A0997">
        <w:rPr>
          <w:rFonts w:ascii="Century Gothic" w:hAnsi="Century Gothic"/>
          <w:i/>
        </w:rPr>
        <w:t xml:space="preserve">; el tercer escrito signado por </w:t>
      </w:r>
      <w:r w:rsidR="00B728DC">
        <w:rPr>
          <w:rFonts w:ascii="Century Gothic" w:hAnsi="Century Gothic"/>
          <w:i/>
        </w:rPr>
        <w:t>ELIMINADO</w:t>
      </w:r>
      <w:r w:rsidRPr="001A0997">
        <w:rPr>
          <w:rFonts w:ascii="Century Gothic" w:hAnsi="Century Gothic"/>
          <w:i/>
        </w:rPr>
        <w:t xml:space="preserve">; recibida la cuenta y vistos sus contenidos, se acuerdan: </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i/>
        </w:rPr>
        <w:t xml:space="preserve">Con relación al primer escrito, signado por </w:t>
      </w:r>
      <w:r w:rsidR="00B728DC">
        <w:rPr>
          <w:rFonts w:ascii="Century Gothic" w:hAnsi="Century Gothic"/>
          <w:i/>
        </w:rPr>
        <w:t>ELIMINADO</w:t>
      </w:r>
      <w:r w:rsidRPr="001A0997">
        <w:rPr>
          <w:rFonts w:ascii="Century Gothic" w:hAnsi="Century Gothic"/>
          <w:i/>
        </w:rPr>
        <w:t xml:space="preserve">. Abogado autorizado de </w:t>
      </w:r>
      <w:r w:rsidR="00B728DC">
        <w:rPr>
          <w:rFonts w:ascii="Century Gothic" w:hAnsi="Century Gothic"/>
          <w:i/>
        </w:rPr>
        <w:t>ELIMINADO</w:t>
      </w:r>
      <w:r w:rsidRPr="001A0997">
        <w:rPr>
          <w:rFonts w:ascii="Century Gothic" w:hAnsi="Century Gothic"/>
          <w:i/>
        </w:rPr>
        <w:t xml:space="preserve"> y el segundo escrito signado por la Licenciada </w:t>
      </w:r>
      <w:r w:rsidR="00B728DC">
        <w:rPr>
          <w:rFonts w:ascii="Century Gothic" w:hAnsi="Century Gothic"/>
          <w:i/>
        </w:rPr>
        <w:t>ELIMINADO</w:t>
      </w:r>
      <w:r w:rsidRPr="001A0997">
        <w:rPr>
          <w:rFonts w:ascii="Century Gothic" w:hAnsi="Century Gothic"/>
          <w:i/>
        </w:rPr>
        <w:t xml:space="preserve">. Abogada patrona de </w:t>
      </w:r>
      <w:r w:rsidR="00B728DC">
        <w:rPr>
          <w:rFonts w:ascii="Century Gothic" w:hAnsi="Century Gothic"/>
          <w:i/>
        </w:rPr>
        <w:t>ELIMINADO</w:t>
      </w:r>
      <w:r w:rsidRPr="001A0997">
        <w:rPr>
          <w:rFonts w:ascii="Century Gothic" w:hAnsi="Century Gothic"/>
          <w:i/>
        </w:rPr>
        <w:t xml:space="preserve">; vistos sus contenidos, se acuerdan conjuntamente, al efecto </w:t>
      </w:r>
      <w:r w:rsidRPr="001A0997">
        <w:rPr>
          <w:rFonts w:ascii="Century Gothic" w:hAnsi="Century Gothic"/>
          <w:b/>
          <w:i/>
          <w:u w:val="single"/>
        </w:rPr>
        <w:t xml:space="preserve">se desecha el recurso interpuesto contra la resolución de 05 cinco de noviembre del año 2020 dos mil veinte, cuenta habida que se pronunció en la etapa de ejecución de sentencia y por ende, deviene irrecurrible; de tal suerte que, deviene evidentemente improcedente el recurso </w:t>
      </w:r>
      <w:proofErr w:type="gramStart"/>
      <w:r w:rsidRPr="001A0997">
        <w:rPr>
          <w:rFonts w:ascii="Century Gothic" w:hAnsi="Century Gothic"/>
          <w:b/>
          <w:i/>
          <w:u w:val="single"/>
        </w:rPr>
        <w:t>interpuesto.-</w:t>
      </w:r>
      <w:proofErr w:type="gramEnd"/>
      <w:r w:rsidRPr="001A0997">
        <w:rPr>
          <w:rFonts w:ascii="Century Gothic" w:hAnsi="Century Gothic"/>
          <w:b/>
          <w:i/>
          <w:u w:val="single"/>
        </w:rPr>
        <w:t xml:space="preserve"> Lo anterior de conformidad con los artículos 53, 70 y 1004 del Código de Procedimientos Civiles en el Estado.</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i/>
        </w:rPr>
        <w:t xml:space="preserve">Con relación del tercer escrito signado por </w:t>
      </w:r>
      <w:r w:rsidR="00B728DC">
        <w:rPr>
          <w:rFonts w:ascii="Century Gothic" w:hAnsi="Century Gothic"/>
          <w:i/>
        </w:rPr>
        <w:t>ELIMINADO</w:t>
      </w:r>
      <w:r w:rsidRPr="001A0997">
        <w:rPr>
          <w:rFonts w:ascii="Century Gothic" w:hAnsi="Century Gothic"/>
          <w:i/>
        </w:rPr>
        <w:t xml:space="preserve">; visto su contenido, se le tiene por consignando Billete de depósito FOLIO DC </w:t>
      </w:r>
      <w:r w:rsidR="00D8654E">
        <w:rPr>
          <w:rFonts w:ascii="Century Gothic" w:hAnsi="Century Gothic"/>
          <w:i/>
        </w:rPr>
        <w:t>ELIMINADO</w:t>
      </w:r>
      <w:r w:rsidRPr="001A0997">
        <w:rPr>
          <w:rFonts w:ascii="Century Gothic" w:hAnsi="Century Gothic"/>
          <w:i/>
        </w:rPr>
        <w:t xml:space="preserve">, expedido por la Dirección de Consignaciones y Garantías del Poder del Judicial del Estado, mediante el cual hace consignación de pensión alimenticia, por la cantidad de $1,500.00 Mil Quinientos Pesos, (Mil quinientos pesos 00/100 M.N.) a favor de </w:t>
      </w:r>
      <w:r w:rsidR="00D8654E">
        <w:rPr>
          <w:rFonts w:ascii="Century Gothic" w:hAnsi="Century Gothic"/>
          <w:i/>
        </w:rPr>
        <w:t>ELIMINADO</w:t>
      </w:r>
      <w:r w:rsidRPr="001A0997">
        <w:rPr>
          <w:rFonts w:ascii="Century Gothic" w:hAnsi="Century Gothic"/>
          <w:i/>
        </w:rPr>
        <w:t xml:space="preserve">, </w:t>
      </w:r>
      <w:r w:rsidR="00B728DC">
        <w:rPr>
          <w:rFonts w:ascii="Century Gothic" w:hAnsi="Century Gothic"/>
          <w:i/>
        </w:rPr>
        <w:t>ELIMINADO</w:t>
      </w:r>
      <w:r w:rsidRPr="001A0997">
        <w:rPr>
          <w:rFonts w:ascii="Century Gothic" w:hAnsi="Century Gothic"/>
          <w:i/>
        </w:rPr>
        <w:t xml:space="preserve">, </w:t>
      </w:r>
      <w:r w:rsidR="00D8654E">
        <w:rPr>
          <w:rFonts w:ascii="Century Gothic" w:hAnsi="Century Gothic"/>
          <w:i/>
        </w:rPr>
        <w:t>ELIMINADO</w:t>
      </w:r>
      <w:r w:rsidRPr="001A0997">
        <w:rPr>
          <w:rFonts w:ascii="Century Gothic" w:hAnsi="Century Gothic"/>
          <w:i/>
        </w:rPr>
        <w:t xml:space="preserve">. </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i/>
          <w:u w:val="single"/>
        </w:rPr>
        <w:t>Dicha consignación se deja a disposición de la representante común, bajo su responsabilidad, para que la reciba en días y horas hábiles, en un horario de 8:00 ocho y 13:00 trece horas</w:t>
      </w:r>
      <w:r w:rsidRPr="001A0997">
        <w:rPr>
          <w:rFonts w:ascii="Century Gothic" w:hAnsi="Century Gothic"/>
          <w:i/>
        </w:rPr>
        <w:t xml:space="preserve">; De esta forma se le tiene por consignando billetes de depósito correspondiente al pago de pensión alimenticia. </w:t>
      </w:r>
    </w:p>
    <w:p w:rsidR="00A31D9F" w:rsidRPr="001A0997" w:rsidRDefault="00A31D9F" w:rsidP="001A0997">
      <w:pPr>
        <w:spacing w:after="120" w:line="240" w:lineRule="auto"/>
        <w:ind w:left="708" w:firstLine="851"/>
        <w:jc w:val="both"/>
        <w:rPr>
          <w:rFonts w:ascii="Century Gothic" w:hAnsi="Century Gothic" w:cs="Arial"/>
          <w:i/>
        </w:rPr>
      </w:pPr>
      <w:r w:rsidRPr="001A0997">
        <w:rPr>
          <w:rFonts w:ascii="Century Gothic" w:hAnsi="Century Gothic"/>
          <w:i/>
        </w:rPr>
        <w:lastRenderedPageBreak/>
        <w:t xml:space="preserve">Respecto del cuarto escrito signado por la Licenciada </w:t>
      </w:r>
      <w:r w:rsidR="00B728DC">
        <w:rPr>
          <w:rFonts w:ascii="Century Gothic" w:hAnsi="Century Gothic"/>
          <w:i/>
        </w:rPr>
        <w:t>ELIMINADO</w:t>
      </w:r>
      <w:r w:rsidRPr="001A0997">
        <w:rPr>
          <w:rFonts w:ascii="Century Gothic" w:hAnsi="Century Gothic"/>
          <w:i/>
        </w:rPr>
        <w:t xml:space="preserve">. Abogada patrona de </w:t>
      </w:r>
      <w:r w:rsidR="00B728DC">
        <w:rPr>
          <w:rFonts w:ascii="Century Gothic" w:hAnsi="Century Gothic"/>
          <w:i/>
        </w:rPr>
        <w:t>ELIMINADO</w:t>
      </w:r>
      <w:r w:rsidRPr="001A0997">
        <w:rPr>
          <w:rFonts w:ascii="Century Gothic" w:hAnsi="Century Gothic"/>
          <w:i/>
        </w:rPr>
        <w:t xml:space="preserve">; visto su contenido, dígasele que se esté a lo acordado en líneas </w:t>
      </w:r>
      <w:proofErr w:type="gramStart"/>
      <w:r w:rsidRPr="001A0997">
        <w:rPr>
          <w:rFonts w:ascii="Century Gothic" w:hAnsi="Century Gothic"/>
          <w:i/>
        </w:rPr>
        <w:t>superiores.-</w:t>
      </w:r>
      <w:proofErr w:type="gramEnd"/>
      <w:r w:rsidRPr="001A0997">
        <w:rPr>
          <w:rFonts w:ascii="Century Gothic" w:hAnsi="Century Gothic"/>
          <w:i/>
        </w:rPr>
        <w:t xml:space="preserve"> </w:t>
      </w:r>
      <w:r w:rsidRPr="001A0997">
        <w:rPr>
          <w:rFonts w:ascii="Century Gothic" w:hAnsi="Century Gothic"/>
          <w:b/>
          <w:i/>
        </w:rPr>
        <w:t>NOTIFIQUESE POR LISTA</w:t>
      </w:r>
      <w:r w:rsidRPr="001A0997">
        <w:rPr>
          <w:rFonts w:ascii="Century Gothic" w:hAnsi="Century Gothic" w:cs="Arial"/>
          <w:i/>
        </w:rPr>
        <w:t>”.</w:t>
      </w:r>
    </w:p>
    <w:p w:rsidR="001A0997" w:rsidRDefault="001A0997" w:rsidP="00A31D9F">
      <w:pPr>
        <w:pStyle w:val="Normal1"/>
        <w:spacing w:after="120" w:line="360" w:lineRule="auto"/>
        <w:ind w:firstLine="851"/>
        <w:jc w:val="both"/>
        <w:rPr>
          <w:rFonts w:ascii="Century Gothic" w:hAnsi="Century Gothic" w:cs="Arial"/>
          <w:color w:val="auto"/>
        </w:rPr>
      </w:pPr>
    </w:p>
    <w:p w:rsidR="00A31D9F" w:rsidRPr="001A0997" w:rsidRDefault="00A31D9F" w:rsidP="00A31D9F">
      <w:pPr>
        <w:pStyle w:val="Normal1"/>
        <w:spacing w:after="120" w:line="360" w:lineRule="auto"/>
        <w:ind w:firstLine="851"/>
        <w:jc w:val="both"/>
        <w:rPr>
          <w:rFonts w:ascii="Century Gothic" w:hAnsi="Century Gothic" w:cs="Arial"/>
          <w:b/>
          <w:color w:val="auto"/>
        </w:rPr>
      </w:pPr>
      <w:r w:rsidRPr="001A0997">
        <w:rPr>
          <w:rFonts w:ascii="Century Gothic" w:hAnsi="Century Gothic" w:cs="Arial"/>
          <w:color w:val="auto"/>
        </w:rPr>
        <w:t>En contra de</w:t>
      </w:r>
      <w:r w:rsidR="00184E51">
        <w:rPr>
          <w:rFonts w:ascii="Century Gothic" w:hAnsi="Century Gothic" w:cs="Arial"/>
          <w:color w:val="auto"/>
        </w:rPr>
        <w:t xml:space="preserve"> la inadmisión del recurso de apelación interpuesto, la mencionada abogada </w:t>
      </w:r>
      <w:r w:rsidR="00184E51" w:rsidRPr="00C02C04">
        <w:rPr>
          <w:rFonts w:ascii="Century Gothic" w:hAnsi="Century Gothic" w:cs="Arial"/>
          <w:bCs/>
        </w:rPr>
        <w:t xml:space="preserve">de </w:t>
      </w:r>
      <w:r w:rsidR="00B728DC">
        <w:rPr>
          <w:rFonts w:ascii="Century Gothic" w:hAnsi="Century Gothic" w:cs="Arial"/>
          <w:bCs/>
        </w:rPr>
        <w:t>ELIMINADO</w:t>
      </w:r>
      <w:r w:rsidR="00184E51" w:rsidRPr="00184E51">
        <w:rPr>
          <w:rFonts w:ascii="Century Gothic" w:hAnsi="Century Gothic" w:cs="Arial"/>
          <w:bCs/>
        </w:rPr>
        <w:t xml:space="preserve">, </w:t>
      </w:r>
      <w:r w:rsidR="00B728DC">
        <w:rPr>
          <w:rFonts w:ascii="Century Gothic" w:hAnsi="Century Gothic" w:cs="Arial"/>
          <w:bCs/>
        </w:rPr>
        <w:t>ELIMINADO</w:t>
      </w:r>
      <w:r w:rsidR="00184E51" w:rsidRPr="00184E51">
        <w:rPr>
          <w:rFonts w:ascii="Century Gothic" w:hAnsi="Century Gothic" w:cs="Arial"/>
          <w:bCs/>
        </w:rPr>
        <w:t>, promovi</w:t>
      </w:r>
      <w:r w:rsidR="00184E51">
        <w:rPr>
          <w:rFonts w:ascii="Century Gothic" w:hAnsi="Century Gothic" w:cs="Arial"/>
          <w:bCs/>
        </w:rPr>
        <w:t xml:space="preserve">ó recurso de queja, dentro del cual </w:t>
      </w:r>
      <w:r w:rsidRPr="001A0997">
        <w:rPr>
          <w:rFonts w:ascii="Century Gothic" w:hAnsi="Century Gothic" w:cs="Arial"/>
          <w:color w:val="auto"/>
        </w:rPr>
        <w:t xml:space="preserve">formuló como </w:t>
      </w:r>
      <w:r w:rsidRPr="001A0997">
        <w:rPr>
          <w:rFonts w:ascii="Century Gothic" w:hAnsi="Century Gothic" w:cs="Arial"/>
          <w:b/>
          <w:color w:val="auto"/>
        </w:rPr>
        <w:t>agravios:</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cs="Century Gothic"/>
          <w:i/>
        </w:rPr>
        <w:t xml:space="preserve">“[…] </w:t>
      </w:r>
      <w:r w:rsidRPr="001A0997">
        <w:rPr>
          <w:rFonts w:ascii="Century Gothic" w:hAnsi="Century Gothic"/>
          <w:i/>
        </w:rPr>
        <w:t xml:space="preserve">1.- Me causa agravio la sentencia el auto de fecha 19 de noviembre de 2020 donde desecha el recurso de apelación que interpuse en contra de la sentencia interlocutoria de fecha 5 de noviembre de 2020 dictada dentro del incidente de liquidación de pensión alimenticia que se está tramitando, esto en virtud de que ser los alimentos prioridad, y al ser una sentencia que no tiene cantidad liquida en virtud de que no existencia (sic) prueba que demuestre el sueldo fijo del demandado </w:t>
      </w:r>
      <w:proofErr w:type="spellStart"/>
      <w:r w:rsidRPr="001A0997">
        <w:rPr>
          <w:rFonts w:ascii="Century Gothic" w:hAnsi="Century Gothic"/>
          <w:i/>
        </w:rPr>
        <w:t>incidentista</w:t>
      </w:r>
      <w:proofErr w:type="spellEnd"/>
      <w:r w:rsidRPr="001A0997">
        <w:rPr>
          <w:rFonts w:ascii="Century Gothic" w:hAnsi="Century Gothic"/>
          <w:i/>
        </w:rPr>
        <w:t xml:space="preserve"> y que se fijó el porcentaje del 50% de sus ingresos ordinarios y extraordinarios, por lo cual en base a lo que se dedica el demandado se estipuló y las pruebas se demostró que percibe aproximadamente $</w:t>
      </w:r>
      <w:r w:rsidR="00D8654E">
        <w:rPr>
          <w:rFonts w:ascii="Century Gothic" w:hAnsi="Century Gothic"/>
          <w:i/>
        </w:rPr>
        <w:t>ELIMINADO</w:t>
      </w:r>
      <w:r w:rsidRPr="001A0997">
        <w:rPr>
          <w:rFonts w:ascii="Century Gothic" w:hAnsi="Century Gothic"/>
          <w:i/>
        </w:rPr>
        <w:t xml:space="preserve"> (</w:t>
      </w:r>
      <w:r w:rsidR="00D8654E">
        <w:rPr>
          <w:rFonts w:ascii="Century Gothic" w:hAnsi="Century Gothic"/>
          <w:i/>
        </w:rPr>
        <w:t>ELIMINADO</w:t>
      </w:r>
      <w:r w:rsidRPr="001A0997">
        <w:rPr>
          <w:rFonts w:ascii="Century Gothic" w:hAnsi="Century Gothic"/>
          <w:i/>
        </w:rPr>
        <w:t xml:space="preserve">) y como en la resolución que condena al demandado </w:t>
      </w:r>
      <w:r w:rsidR="00B728DC">
        <w:rPr>
          <w:rFonts w:ascii="Century Gothic" w:hAnsi="Century Gothic"/>
          <w:i/>
        </w:rPr>
        <w:t>ELIMINADO</w:t>
      </w:r>
      <w:r w:rsidRPr="001A0997">
        <w:rPr>
          <w:rFonts w:ascii="Century Gothic" w:hAnsi="Century Gothic"/>
          <w:i/>
        </w:rPr>
        <w:t xml:space="preserve"> al pago del 50% de su (sic) ingresos ordinarios y extraordinarios a favor de sus tres hijos los CC. </w:t>
      </w:r>
      <w:r w:rsidR="00D8654E">
        <w:rPr>
          <w:rFonts w:ascii="Century Gothic" w:hAnsi="Century Gothic"/>
          <w:i/>
        </w:rPr>
        <w:t>ELIMINADO</w:t>
      </w:r>
      <w:r w:rsidRPr="001A0997">
        <w:rPr>
          <w:rFonts w:ascii="Century Gothic" w:hAnsi="Century Gothic"/>
          <w:i/>
        </w:rPr>
        <w:t xml:space="preserve">, </w:t>
      </w:r>
      <w:r w:rsidR="00D8654E">
        <w:rPr>
          <w:rFonts w:ascii="Century Gothic" w:hAnsi="Century Gothic"/>
          <w:i/>
        </w:rPr>
        <w:t>ELIMINADO</w:t>
      </w:r>
      <w:r w:rsidRPr="001A0997">
        <w:rPr>
          <w:rFonts w:ascii="Century Gothic" w:hAnsi="Century Gothic"/>
          <w:i/>
        </w:rPr>
        <w:t xml:space="preserve"> y </w:t>
      </w:r>
      <w:r w:rsidR="00D8654E">
        <w:rPr>
          <w:rFonts w:ascii="Century Gothic" w:hAnsi="Century Gothic"/>
          <w:i/>
        </w:rPr>
        <w:t>ELIMINADO</w:t>
      </w:r>
      <w:r w:rsidRPr="001A0997">
        <w:rPr>
          <w:rFonts w:ascii="Century Gothic" w:hAnsi="Century Gothic"/>
          <w:i/>
        </w:rPr>
        <w:t xml:space="preserve"> todos de apellidos </w:t>
      </w:r>
      <w:r w:rsidR="00D8654E">
        <w:rPr>
          <w:rFonts w:ascii="Century Gothic" w:hAnsi="Century Gothic"/>
          <w:i/>
        </w:rPr>
        <w:t>ELIMINADO</w:t>
      </w:r>
      <w:r w:rsidRPr="001A0997">
        <w:rPr>
          <w:rFonts w:ascii="Century Gothic" w:hAnsi="Century Gothic"/>
          <w:i/>
        </w:rPr>
        <w:t>; (…). Como se puede apreciar la sentencia que condena a la parte deudora de los alimentos solamente condena a un porcentaje y no se señala cantidad liquida por lo que es obligación del juez estudiar la liquidación toda vez que no obra en autos la cantidad que el demandado percibe como sueldo, y en autos con pruebas se acreditó que tiene varios negocios, como es la venta de terrenos, se dedica a la crianza de animales, renta de inmuebles, además de que es agricultor, y en virtud del porcentaje para cada uno de los acreedores alimenticios es como se debió de autorizar, la planilla marcar el porcentaje en base de los $</w:t>
      </w:r>
      <w:r w:rsidR="00D8654E">
        <w:rPr>
          <w:rFonts w:ascii="Century Gothic" w:hAnsi="Century Gothic"/>
          <w:i/>
        </w:rPr>
        <w:t>ELIMINADO</w:t>
      </w:r>
      <w:r w:rsidRPr="001A0997">
        <w:rPr>
          <w:rFonts w:ascii="Century Gothic" w:hAnsi="Century Gothic"/>
          <w:i/>
        </w:rPr>
        <w:t xml:space="preserve"> (</w:t>
      </w:r>
      <w:r w:rsidR="00D8654E">
        <w:rPr>
          <w:rFonts w:ascii="Century Gothic" w:hAnsi="Century Gothic"/>
          <w:i/>
        </w:rPr>
        <w:t>ELIMINADO</w:t>
      </w:r>
      <w:r w:rsidRPr="001A0997">
        <w:rPr>
          <w:rFonts w:ascii="Century Gothic" w:hAnsi="Century Gothic"/>
          <w:i/>
        </w:rPr>
        <w:t>) mensuales que percibe.</w:t>
      </w:r>
    </w:p>
    <w:p w:rsidR="00A31D9F" w:rsidRPr="001A0997" w:rsidRDefault="00A31D9F" w:rsidP="001A0997">
      <w:pPr>
        <w:spacing w:after="120" w:line="240" w:lineRule="auto"/>
        <w:ind w:left="708" w:firstLine="851"/>
        <w:jc w:val="both"/>
        <w:rPr>
          <w:rFonts w:ascii="Century Gothic" w:hAnsi="Century Gothic"/>
          <w:i/>
        </w:rPr>
      </w:pPr>
      <w:r w:rsidRPr="001A0997">
        <w:rPr>
          <w:rFonts w:ascii="Century Gothic" w:hAnsi="Century Gothic"/>
          <w:i/>
        </w:rPr>
        <w:t xml:space="preserve">2.- Ahora como el trámite se debe realizar como incidente en donde se ofrecieron pruebas para demostrar lo que el demandado percibe como ingresos ordinarios y extraordinarios; de acuerdo al primero constitucional y la convención interamericana de los derechos humanos de san José, debe existir un medio de defensa y si en este caso se tramitó como incidente procede el recurso de apelación en contra de sentencias interlocutorias así lo estipula el código de procedimientos civiles, aunado a que son alimentos y son prioridad; además de que en dicha sentencia que se combate se debe revisar ya que el juez quinto (sic) de lo familiar en la sentencia interlocutoria de fecha 5 de noviembre de 2020 (sic) dice que la vía no era la correcta y después en el auto de fecha 19 de noviembre de 2020 (sic) que se publicó el 20 de noviembre de 2020 (sic) dice que se trata de ejecución de sentencia, cuando en autos se aprecia que se tramitó vía incidental y así la admitió el juez (sic) donde la (sic) pruebas fueron para demostrar lo que percibe de ingresos ordinarios y extraordinarios el demandado, así como desde que fecha dejó de pagar los alimentos y la necesidad del actor </w:t>
      </w:r>
      <w:proofErr w:type="spellStart"/>
      <w:r w:rsidRPr="001A0997">
        <w:rPr>
          <w:rFonts w:ascii="Century Gothic" w:hAnsi="Century Gothic"/>
          <w:i/>
        </w:rPr>
        <w:t>incidentista</w:t>
      </w:r>
      <w:proofErr w:type="spellEnd"/>
      <w:r w:rsidRPr="001A0997">
        <w:rPr>
          <w:rFonts w:ascii="Century Gothic" w:hAnsi="Century Gothic"/>
          <w:i/>
        </w:rPr>
        <w:t xml:space="preserve"> de recibir los alimentos</w:t>
      </w:r>
      <w:r w:rsidRPr="001A0997">
        <w:rPr>
          <w:rFonts w:ascii="Century Gothic" w:hAnsi="Century Gothic" w:cs="Century Gothic"/>
          <w:i/>
        </w:rPr>
        <w:t>…”.</w:t>
      </w:r>
    </w:p>
    <w:p w:rsidR="00D46935" w:rsidRDefault="00D46935" w:rsidP="00A31D9F">
      <w:pPr>
        <w:spacing w:after="120" w:line="360" w:lineRule="auto"/>
        <w:ind w:firstLine="851"/>
        <w:jc w:val="both"/>
        <w:rPr>
          <w:rFonts w:ascii="Century Gothic" w:hAnsi="Century Gothic" w:cs="Arial"/>
          <w:sz w:val="24"/>
          <w:szCs w:val="24"/>
          <w:lang w:eastAsia="es-MX"/>
        </w:rPr>
      </w:pPr>
    </w:p>
    <w:p w:rsidR="00117D95" w:rsidRDefault="00117D95" w:rsidP="00117D95">
      <w:pPr>
        <w:spacing w:after="120" w:line="360" w:lineRule="auto"/>
        <w:ind w:firstLine="851"/>
        <w:jc w:val="both"/>
        <w:rPr>
          <w:rFonts w:ascii="Century Gothic" w:hAnsi="Century Gothic" w:cs="Arial"/>
          <w:sz w:val="24"/>
          <w:szCs w:val="24"/>
          <w:lang w:eastAsia="es-MX"/>
        </w:rPr>
      </w:pPr>
      <w:r w:rsidRPr="001A0997">
        <w:rPr>
          <w:rFonts w:ascii="Century Gothic" w:hAnsi="Century Gothic" w:cs="Arial"/>
          <w:sz w:val="24"/>
          <w:szCs w:val="24"/>
          <w:lang w:eastAsia="es-MX"/>
        </w:rPr>
        <w:lastRenderedPageBreak/>
        <w:t xml:space="preserve">Por su parte, el </w:t>
      </w:r>
      <w:r w:rsidRPr="00117D95">
        <w:rPr>
          <w:rFonts w:ascii="Century Gothic" w:hAnsi="Century Gothic" w:cs="Arial"/>
          <w:sz w:val="24"/>
          <w:szCs w:val="24"/>
          <w:lang w:eastAsia="es-MX"/>
        </w:rPr>
        <w:t>Juez Quinto del Ramo Familiar,</w:t>
      </w:r>
      <w:r>
        <w:rPr>
          <w:rFonts w:ascii="Century Gothic" w:hAnsi="Century Gothic" w:cs="Arial"/>
          <w:sz w:val="24"/>
          <w:szCs w:val="24"/>
          <w:lang w:eastAsia="es-MX"/>
        </w:rPr>
        <w:t xml:space="preserve"> de esta ciudad, </w:t>
      </w:r>
      <w:r w:rsidR="00FC7E29">
        <w:rPr>
          <w:rFonts w:ascii="Century Gothic" w:hAnsi="Century Gothic" w:cs="Arial"/>
          <w:sz w:val="24"/>
          <w:szCs w:val="24"/>
          <w:lang w:eastAsia="es-MX"/>
        </w:rPr>
        <w:t>Sergio Eduardo Sánchez Rodríguez</w:t>
      </w:r>
      <w:r>
        <w:rPr>
          <w:rFonts w:ascii="Century Gothic" w:hAnsi="Century Gothic" w:cs="Arial"/>
          <w:sz w:val="24"/>
          <w:szCs w:val="24"/>
          <w:lang w:eastAsia="es-MX"/>
        </w:rPr>
        <w:t xml:space="preserve">, en el </w:t>
      </w:r>
      <w:r w:rsidRPr="00117D95">
        <w:rPr>
          <w:rFonts w:ascii="Century Gothic" w:hAnsi="Century Gothic" w:cs="Arial"/>
          <w:sz w:val="24"/>
          <w:szCs w:val="24"/>
          <w:lang w:eastAsia="es-MX"/>
        </w:rPr>
        <w:t>informe con justificación</w:t>
      </w:r>
      <w:r>
        <w:rPr>
          <w:rFonts w:ascii="Century Gothic" w:hAnsi="Century Gothic" w:cs="Arial"/>
          <w:sz w:val="24"/>
          <w:szCs w:val="24"/>
          <w:lang w:eastAsia="es-MX"/>
        </w:rPr>
        <w:t xml:space="preserve"> que le fue requerido, manifestó</w:t>
      </w:r>
      <w:r w:rsidRPr="001A0997">
        <w:rPr>
          <w:rFonts w:ascii="Century Gothic" w:hAnsi="Century Gothic" w:cs="Arial"/>
          <w:sz w:val="24"/>
          <w:szCs w:val="24"/>
          <w:lang w:eastAsia="es-MX"/>
        </w:rPr>
        <w:t>:</w:t>
      </w:r>
    </w:p>
    <w:p w:rsidR="00117D95" w:rsidRPr="004D1281" w:rsidRDefault="00117D95" w:rsidP="00117D95">
      <w:pPr>
        <w:spacing w:after="120"/>
        <w:ind w:left="708" w:firstLine="698"/>
        <w:jc w:val="both"/>
        <w:rPr>
          <w:rFonts w:ascii="Century Gothic" w:hAnsi="Century Gothic" w:cs="Arial"/>
          <w:i/>
          <w:lang w:eastAsia="es-MX"/>
        </w:rPr>
      </w:pPr>
      <w:r w:rsidRPr="00D60DB6">
        <w:rPr>
          <w:rFonts w:ascii="Century Gothic" w:hAnsi="Century Gothic" w:cs="Arial"/>
          <w:lang w:eastAsia="es-MX"/>
        </w:rPr>
        <w:t>“</w:t>
      </w:r>
      <w:r w:rsidRPr="00D60DB6">
        <w:rPr>
          <w:rFonts w:ascii="Century Gothic" w:hAnsi="Century Gothic" w:cs="Arial"/>
          <w:i/>
          <w:lang w:eastAsia="es-MX"/>
        </w:rPr>
        <w:t xml:space="preserve">Comparezco </w:t>
      </w:r>
      <w:r>
        <w:rPr>
          <w:rFonts w:ascii="Century Gothic" w:hAnsi="Century Gothic" w:cs="Arial"/>
          <w:i/>
          <w:lang w:eastAsia="es-MX"/>
        </w:rPr>
        <w:t xml:space="preserve">ante usted en términos del artículo 973 del código de procedimientos civiles, con motivo del </w:t>
      </w:r>
      <w:r>
        <w:rPr>
          <w:rFonts w:ascii="Century Gothic" w:hAnsi="Century Gothic" w:cs="Arial"/>
          <w:b/>
          <w:i/>
          <w:lang w:eastAsia="es-MX"/>
        </w:rPr>
        <w:t xml:space="preserve">Recurso de Queja </w:t>
      </w:r>
      <w:r>
        <w:rPr>
          <w:rFonts w:ascii="Century Gothic" w:hAnsi="Century Gothic" w:cs="Arial"/>
          <w:i/>
          <w:lang w:eastAsia="es-MX"/>
        </w:rPr>
        <w:t xml:space="preserve">promovido por LIC. </w:t>
      </w:r>
      <w:r w:rsidR="00B728DC">
        <w:rPr>
          <w:rFonts w:ascii="Century Gothic" w:hAnsi="Century Gothic" w:cs="Arial"/>
          <w:i/>
          <w:lang w:eastAsia="es-MX"/>
        </w:rPr>
        <w:t>ELIMINADO</w:t>
      </w:r>
      <w:r>
        <w:rPr>
          <w:rFonts w:ascii="Century Gothic" w:hAnsi="Century Gothic" w:cs="Arial"/>
          <w:i/>
          <w:lang w:eastAsia="es-MX"/>
        </w:rPr>
        <w:t xml:space="preserve"> con el carácter de abogada patrono de </w:t>
      </w:r>
      <w:r w:rsidR="00B728DC">
        <w:rPr>
          <w:rFonts w:ascii="Century Gothic" w:hAnsi="Century Gothic" w:cs="Arial"/>
          <w:i/>
          <w:lang w:eastAsia="es-MX"/>
        </w:rPr>
        <w:t>ELIMINADO</w:t>
      </w:r>
      <w:r>
        <w:rPr>
          <w:rFonts w:ascii="Century Gothic" w:hAnsi="Century Gothic" w:cs="Arial"/>
          <w:i/>
          <w:lang w:eastAsia="es-MX"/>
        </w:rPr>
        <w:t xml:space="preserve">, contra el auto dictado el 19 diecinueve de noviembre del año 2020 dos mil veinte, dentro de la Controversia Familiar por Alimentos expediente 74/2020 del índice de este a mi cargo, a efecto de rendir </w:t>
      </w:r>
      <w:r w:rsidRPr="00A61E30">
        <w:rPr>
          <w:rFonts w:ascii="Century Gothic" w:hAnsi="Century Gothic" w:cs="Arial"/>
          <w:b/>
          <w:i/>
          <w:lang w:eastAsia="es-MX"/>
        </w:rPr>
        <w:t>INFORME CON JUSTIFICACIÓN,</w:t>
      </w:r>
      <w:r>
        <w:rPr>
          <w:rFonts w:ascii="Century Gothic" w:hAnsi="Century Gothic" w:cs="Arial"/>
          <w:i/>
          <w:lang w:eastAsia="es-MX"/>
        </w:rPr>
        <w:t xml:space="preserve"> en los términos del auto que a la letra dice: </w:t>
      </w:r>
    </w:p>
    <w:p w:rsidR="00117D95" w:rsidRPr="00D46935" w:rsidRDefault="00117D95" w:rsidP="00117D95">
      <w:pPr>
        <w:spacing w:after="120" w:line="240" w:lineRule="auto"/>
        <w:ind w:left="708" w:firstLine="851"/>
        <w:jc w:val="both"/>
        <w:rPr>
          <w:rFonts w:ascii="Century Gothic" w:hAnsi="Century Gothic"/>
          <w:i/>
        </w:rPr>
      </w:pPr>
      <w:r w:rsidRPr="00D46935">
        <w:rPr>
          <w:rFonts w:ascii="Century Gothic" w:hAnsi="Century Gothic" w:cs="Century Gothic"/>
          <w:i/>
          <w:lang w:eastAsia="es-MX"/>
        </w:rPr>
        <w:t>“</w:t>
      </w:r>
      <w:r w:rsidRPr="00D46935">
        <w:rPr>
          <w:rFonts w:ascii="Century Gothic" w:hAnsi="Century Gothic"/>
          <w:i/>
        </w:rPr>
        <w:t xml:space="preserve">San Luis Potosí, San Luis Potosí, a 09 nueve de abril del año 2021 </w:t>
      </w:r>
      <w:proofErr w:type="gramStart"/>
      <w:r w:rsidRPr="00D46935">
        <w:rPr>
          <w:rFonts w:ascii="Century Gothic" w:hAnsi="Century Gothic"/>
          <w:i/>
        </w:rPr>
        <w:t>dos mil veintiuno</w:t>
      </w:r>
      <w:proofErr w:type="gramEnd"/>
      <w:r w:rsidRPr="00D46935">
        <w:rPr>
          <w:rFonts w:ascii="Century Gothic" w:hAnsi="Century Gothic"/>
          <w:i/>
        </w:rPr>
        <w:t>.</w:t>
      </w:r>
    </w:p>
    <w:p w:rsidR="00117D95" w:rsidRPr="00D46935" w:rsidRDefault="00117D95" w:rsidP="00117D95">
      <w:pPr>
        <w:spacing w:after="120" w:line="240" w:lineRule="auto"/>
        <w:ind w:left="708" w:firstLine="851"/>
        <w:jc w:val="both"/>
        <w:rPr>
          <w:rFonts w:ascii="Century Gothic" w:hAnsi="Century Gothic"/>
          <w:i/>
        </w:rPr>
      </w:pPr>
      <w:r w:rsidRPr="00D46935">
        <w:rPr>
          <w:rFonts w:ascii="Century Gothic" w:hAnsi="Century Gothic"/>
          <w:i/>
        </w:rPr>
        <w:t xml:space="preserve">Téngase por recibido en la Subsecretaría de este Juzgado, el día 08 ocho de abril del año en curso, oficio 1713 signado por la PRESIDENTA DEL SUPREMO TRIBUNAL DE JUSTICIA Y DEL CONSEJO DE LA JUDICATURA DEL ESTADO, MAGISTRADA OLGA REGINA GARCÍA LÓPEZ, el que se agrega a los autos para que surta los efectos legales conducentes. Visto el contenido del de cuenta téngasele por haciendo del conocimiento de este Juzgado el contenido del auto de fecha 29 veintinueve de marzo del 2021 </w:t>
      </w:r>
      <w:proofErr w:type="gramStart"/>
      <w:r w:rsidRPr="00D46935">
        <w:rPr>
          <w:rFonts w:ascii="Century Gothic" w:hAnsi="Century Gothic"/>
          <w:i/>
        </w:rPr>
        <w:t>dos mil veintiuno</w:t>
      </w:r>
      <w:proofErr w:type="gramEnd"/>
      <w:r w:rsidRPr="00D46935">
        <w:rPr>
          <w:rFonts w:ascii="Century Gothic" w:hAnsi="Century Gothic"/>
          <w:i/>
        </w:rPr>
        <w:t xml:space="preserve">, dictado en autos del toca número 193-20 formado con motivo del recurso de queja promovido por la licenciada </w:t>
      </w:r>
      <w:r w:rsidR="00B728DC">
        <w:rPr>
          <w:rFonts w:ascii="Century Gothic" w:hAnsi="Century Gothic"/>
          <w:i/>
        </w:rPr>
        <w:t>ELIMINADO</w:t>
      </w:r>
      <w:r w:rsidRPr="00D46935">
        <w:rPr>
          <w:rFonts w:ascii="Century Gothic" w:hAnsi="Century Gothic"/>
          <w:i/>
        </w:rPr>
        <w:t xml:space="preserve"> con el carácter de abogada patrono de </w:t>
      </w:r>
      <w:r w:rsidR="00B728DC">
        <w:rPr>
          <w:rFonts w:ascii="Century Gothic" w:hAnsi="Century Gothic"/>
          <w:i/>
        </w:rPr>
        <w:t>ELIMINADO</w:t>
      </w:r>
      <w:r w:rsidRPr="00D46935">
        <w:rPr>
          <w:rFonts w:ascii="Century Gothic" w:hAnsi="Century Gothic"/>
          <w:i/>
        </w:rPr>
        <w:t xml:space="preserve">, así como por apremiando a esta autoridad para que dentro del término tres días rinda el informe que precisa. En consecuencia, visto el estado de autos, de donde se advierte que si bien es cierto en fecha 25 veinticinco de noviembre de 2020 dos mil veinte, se recibió escrito signado por la LIC. </w:t>
      </w:r>
      <w:r w:rsidR="00B728DC">
        <w:rPr>
          <w:rFonts w:ascii="Century Gothic" w:hAnsi="Century Gothic"/>
          <w:i/>
        </w:rPr>
        <w:t>ELIMINADO</w:t>
      </w:r>
      <w:r w:rsidRPr="00D46935">
        <w:rPr>
          <w:rFonts w:ascii="Century Gothic" w:hAnsi="Century Gothic"/>
          <w:i/>
        </w:rPr>
        <w:t xml:space="preserve"> con el carácter de abogada patrono de </w:t>
      </w:r>
      <w:r w:rsidR="00B728DC">
        <w:rPr>
          <w:rFonts w:ascii="Century Gothic" w:hAnsi="Century Gothic"/>
          <w:i/>
        </w:rPr>
        <w:t>ELIMINADO</w:t>
      </w:r>
      <w:r w:rsidRPr="00D46935">
        <w:rPr>
          <w:rFonts w:ascii="Century Gothic" w:hAnsi="Century Gothic"/>
          <w:i/>
        </w:rPr>
        <w:t xml:space="preserve">, al cual acompañó únicamente un juego de copias de su acuse de recibido del Recurso de Queja interpuesto en contra del auto de fecha 19 diecinueve de noviembre del 2020 dos mil veinte, dicho escrito se acordó mediante proveído de fecha 27 veintisiete de noviembre del 2020 dos mil veinte, y en ese mismo auto se previno a la </w:t>
      </w:r>
      <w:proofErr w:type="spellStart"/>
      <w:r w:rsidRPr="00D46935">
        <w:rPr>
          <w:rFonts w:ascii="Century Gothic" w:hAnsi="Century Gothic"/>
          <w:i/>
        </w:rPr>
        <w:t>ocursante</w:t>
      </w:r>
      <w:proofErr w:type="spellEnd"/>
      <w:r w:rsidRPr="00D46935">
        <w:rPr>
          <w:rFonts w:ascii="Century Gothic" w:hAnsi="Century Gothic"/>
          <w:i/>
        </w:rPr>
        <w:t xml:space="preserve"> por la exhibición del duplicado de su acuse de escrito de queja, ello en los términos y para los efectos a que se refiere el numeral 973 segundo párrafo del Código de Procedimientos Civiles del Estado, otorgándosele un plazo de TRES DIAS, auto que se notificó por lista de acuerdos en fecha 30 treinta de noviembre del 2020 dos mil veinte, sin que hasta la fecha obre constancia de que la quejosa haya dado cumplimiento a tal requerimiento. Por lo tanto y afecto de no retardar más la resolución de la queja planteada por la LIC. </w:t>
      </w:r>
      <w:r w:rsidR="00B728DC">
        <w:rPr>
          <w:rFonts w:ascii="Century Gothic" w:hAnsi="Century Gothic"/>
          <w:i/>
        </w:rPr>
        <w:t>ELIMINADO</w:t>
      </w:r>
      <w:r w:rsidRPr="00D46935">
        <w:rPr>
          <w:rFonts w:ascii="Century Gothic" w:hAnsi="Century Gothic"/>
          <w:i/>
        </w:rPr>
        <w:t xml:space="preserve"> con el carácter de abogada patrono de </w:t>
      </w:r>
      <w:r w:rsidR="00B728DC">
        <w:rPr>
          <w:rFonts w:ascii="Century Gothic" w:hAnsi="Century Gothic"/>
          <w:i/>
        </w:rPr>
        <w:t>ELIMINADO</w:t>
      </w:r>
      <w:r w:rsidRPr="00D46935">
        <w:rPr>
          <w:rFonts w:ascii="Century Gothic" w:hAnsi="Century Gothic"/>
          <w:i/>
        </w:rPr>
        <w:t xml:space="preserve">, de oficio se ordena obtener copia del acuse de recibido del escrito de fecha 25 veinticinco de noviembre del año 2020 dos mil veinte, así como de su anexo consistente copia del acuse de recibido del Recurso de Queja interpuesto en contra del auto de fecha 19 diecinueve de noviembre del 2020 dos mil veinte y recibido en la Secretaría General de Acuerdos en la misma fecha, y con las mismas córrase traslado a </w:t>
      </w:r>
      <w:r w:rsidR="00B728DC">
        <w:rPr>
          <w:rFonts w:ascii="Century Gothic" w:hAnsi="Century Gothic"/>
          <w:i/>
        </w:rPr>
        <w:t>ELIMINADO</w:t>
      </w:r>
      <w:r w:rsidRPr="00D46935">
        <w:rPr>
          <w:rFonts w:ascii="Century Gothic" w:hAnsi="Century Gothic"/>
          <w:i/>
        </w:rPr>
        <w:t>, a efecto de que dentro del término de tres días, posteriores al en que reciba la copia de mérito, esté en posibilidad de ocurrir ante el Superior para manifestar lo que a su derecho legal corresponda.</w:t>
      </w:r>
    </w:p>
    <w:p w:rsidR="00117D95" w:rsidRDefault="00117D95" w:rsidP="00117D95">
      <w:pPr>
        <w:spacing w:after="120" w:line="240" w:lineRule="auto"/>
        <w:ind w:left="708" w:firstLine="851"/>
        <w:jc w:val="both"/>
        <w:rPr>
          <w:rFonts w:ascii="Century Gothic" w:hAnsi="Century Gothic"/>
          <w:b/>
          <w:i/>
        </w:rPr>
      </w:pPr>
      <w:r w:rsidRPr="00D46935">
        <w:rPr>
          <w:rFonts w:ascii="Century Gothic" w:hAnsi="Century Gothic"/>
          <w:i/>
          <w:u w:val="single"/>
        </w:rPr>
        <w:t>Asimismo ríndase el informe que corresponde a esta autoridad</w:t>
      </w:r>
      <w:r w:rsidRPr="00D46935">
        <w:rPr>
          <w:rFonts w:ascii="Century Gothic" w:hAnsi="Century Gothic"/>
          <w:i/>
        </w:rPr>
        <w:t xml:space="preserve"> conforme a lo dispuesto por los artículos 53 y 973 del Código de Procedimientos Civiles, </w:t>
      </w:r>
      <w:r w:rsidRPr="00D46935">
        <w:rPr>
          <w:rFonts w:ascii="Century Gothic" w:hAnsi="Century Gothic"/>
          <w:i/>
          <w:u w:val="single"/>
        </w:rPr>
        <w:t>ello en el sentido de que es cierto que con fecha 19 diecinueve de noviembre del 2020 dos mil veinte, se emitió proveído del cual se inconforma la quejosa</w:t>
      </w:r>
      <w:r w:rsidRPr="00D46935">
        <w:rPr>
          <w:rFonts w:ascii="Century Gothic" w:hAnsi="Century Gothic"/>
          <w:i/>
        </w:rPr>
        <w:t xml:space="preserve">, dentro de autos del expediente </w:t>
      </w:r>
      <w:r w:rsidRPr="00D46935">
        <w:rPr>
          <w:rFonts w:ascii="Century Gothic" w:hAnsi="Century Gothic"/>
          <w:i/>
        </w:rPr>
        <w:lastRenderedPageBreak/>
        <w:t xml:space="preserve">74/2020 del índice de este Juzgado, mediante el cual, entre otras cosas, se acordó escrito de la Licenciada </w:t>
      </w:r>
      <w:r w:rsidR="00B728DC">
        <w:rPr>
          <w:rFonts w:ascii="Century Gothic" w:hAnsi="Century Gothic"/>
          <w:i/>
        </w:rPr>
        <w:t>ELIMINADO</w:t>
      </w:r>
      <w:r w:rsidRPr="00D46935">
        <w:rPr>
          <w:rFonts w:ascii="Century Gothic" w:hAnsi="Century Gothic"/>
          <w:i/>
        </w:rPr>
        <w:t xml:space="preserve"> en su carácter de Abogada Patrona de </w:t>
      </w:r>
      <w:r w:rsidR="00B728DC">
        <w:rPr>
          <w:rFonts w:ascii="Century Gothic" w:hAnsi="Century Gothic"/>
          <w:i/>
        </w:rPr>
        <w:t>ELIMINADO</w:t>
      </w:r>
      <w:r w:rsidRPr="00D46935">
        <w:rPr>
          <w:rFonts w:ascii="Century Gothic" w:hAnsi="Century Gothic"/>
          <w:i/>
        </w:rPr>
        <w:t xml:space="preserve">, desechando el recurso interpuesto en contra de la resolución de 05 cinco de noviembre del 2020 dos mil veinte, en razón de que la misma se pronunció en etapa de ejecución de sentencia y por ende resultaba irrecurrible. Adjúntense al informe de mérito copias certificadas de diversas constancias con que se acredita lo aquí expuesto. Lo anterior de conformidad con lo dispuesto por los artículos 53 y 70 y 1004 del Código de Procedimientos Civiles en el Estado. </w:t>
      </w:r>
      <w:r w:rsidRPr="00D46935">
        <w:rPr>
          <w:rFonts w:ascii="Century Gothic" w:hAnsi="Century Gothic"/>
          <w:b/>
          <w:i/>
        </w:rPr>
        <w:t>NOTIFIQUESE POR LISTA</w:t>
      </w:r>
      <w:r>
        <w:rPr>
          <w:rFonts w:ascii="Century Gothic" w:hAnsi="Century Gothic"/>
          <w:b/>
          <w:i/>
        </w:rPr>
        <w:t>.</w:t>
      </w:r>
    </w:p>
    <w:p w:rsidR="00184E51" w:rsidRDefault="00184E51" w:rsidP="00A31D9F">
      <w:pPr>
        <w:spacing w:after="120" w:line="360" w:lineRule="auto"/>
        <w:ind w:firstLine="851"/>
        <w:jc w:val="both"/>
        <w:rPr>
          <w:rFonts w:ascii="Century Gothic" w:hAnsi="Century Gothic" w:cs="Arial"/>
          <w:sz w:val="24"/>
          <w:szCs w:val="24"/>
          <w:lang w:eastAsia="es-MX"/>
        </w:rPr>
      </w:pPr>
    </w:p>
    <w:p w:rsidR="00A31D9F" w:rsidRDefault="00C961B5" w:rsidP="00A31D9F">
      <w:pPr>
        <w:spacing w:after="120" w:line="360" w:lineRule="auto"/>
        <w:ind w:firstLine="851"/>
        <w:jc w:val="both"/>
        <w:rPr>
          <w:rFonts w:ascii="Century Gothic" w:hAnsi="Century Gothic" w:cs="Arial"/>
          <w:sz w:val="24"/>
          <w:szCs w:val="24"/>
          <w:lang w:eastAsia="es-MX"/>
        </w:rPr>
      </w:pPr>
      <w:r>
        <w:rPr>
          <w:rFonts w:ascii="Century Gothic" w:hAnsi="Century Gothic" w:cs="Arial"/>
          <w:sz w:val="24"/>
          <w:szCs w:val="24"/>
          <w:lang w:eastAsia="es-MX"/>
        </w:rPr>
        <w:t>Mediante acuerdo de</w:t>
      </w:r>
      <w:r w:rsidR="00A31D9F" w:rsidRPr="001A0997">
        <w:rPr>
          <w:rFonts w:ascii="Century Gothic" w:hAnsi="Century Gothic" w:cs="Arial"/>
          <w:sz w:val="24"/>
          <w:szCs w:val="24"/>
          <w:lang w:eastAsia="es-MX"/>
        </w:rPr>
        <w:t xml:space="preserve"> 28 veintiocho de abril del año que corre, pronu</w:t>
      </w:r>
      <w:r>
        <w:rPr>
          <w:rFonts w:ascii="Century Gothic" w:hAnsi="Century Gothic" w:cs="Arial"/>
          <w:sz w:val="24"/>
          <w:szCs w:val="24"/>
          <w:lang w:eastAsia="es-MX"/>
        </w:rPr>
        <w:t xml:space="preserve">nciado por la Presidenta del </w:t>
      </w:r>
      <w:r w:rsidR="00A31D9F" w:rsidRPr="001A0997">
        <w:rPr>
          <w:rFonts w:ascii="Century Gothic" w:hAnsi="Century Gothic" w:cs="Arial"/>
          <w:sz w:val="24"/>
          <w:szCs w:val="24"/>
          <w:lang w:eastAsia="es-MX"/>
        </w:rPr>
        <w:t>Supremo Tribunal de Justicia y del Consejo de la Judicatura del Estado, se tuvo a</w:t>
      </w:r>
      <w:r>
        <w:rPr>
          <w:rFonts w:ascii="Century Gothic" w:hAnsi="Century Gothic" w:cs="Arial"/>
          <w:sz w:val="24"/>
          <w:szCs w:val="24"/>
          <w:lang w:eastAsia="es-MX"/>
        </w:rPr>
        <w:t>l demandado</w:t>
      </w:r>
      <w:r w:rsidR="00A31D9F" w:rsidRPr="001A0997">
        <w:rPr>
          <w:rFonts w:ascii="Century Gothic" w:hAnsi="Century Gothic" w:cs="Arial"/>
          <w:sz w:val="24"/>
          <w:szCs w:val="24"/>
          <w:lang w:eastAsia="es-MX"/>
        </w:rPr>
        <w:t xml:space="preserve"> </w:t>
      </w:r>
      <w:r w:rsidR="00B728DC">
        <w:rPr>
          <w:rFonts w:ascii="Century Gothic" w:hAnsi="Century Gothic" w:cs="Arial"/>
          <w:sz w:val="24"/>
          <w:szCs w:val="24"/>
          <w:lang w:eastAsia="es-MX"/>
        </w:rPr>
        <w:t>ELIMINADO</w:t>
      </w:r>
      <w:r w:rsidR="00A31D9F" w:rsidRPr="001A0997">
        <w:rPr>
          <w:rFonts w:ascii="Century Gothic" w:hAnsi="Century Gothic" w:cs="Arial"/>
          <w:sz w:val="24"/>
          <w:szCs w:val="24"/>
          <w:lang w:eastAsia="es-MX"/>
        </w:rPr>
        <w:t xml:space="preserve">, por desinteresado por hacer valer el derecho que le asistía de conformidad con lo dispuesto por el numeral </w:t>
      </w:r>
      <w:r w:rsidR="00A31D9F" w:rsidRPr="001A0997">
        <w:rPr>
          <w:rFonts w:ascii="Century Gothic" w:hAnsi="Century Gothic" w:cs="Arial"/>
          <w:b/>
          <w:sz w:val="24"/>
          <w:szCs w:val="24"/>
          <w:lang w:eastAsia="es-MX"/>
        </w:rPr>
        <w:t>973</w:t>
      </w:r>
      <w:r w:rsidR="00A31D9F" w:rsidRPr="001A0997">
        <w:rPr>
          <w:rFonts w:ascii="Century Gothic" w:hAnsi="Century Gothic" w:cs="Arial"/>
          <w:sz w:val="24"/>
          <w:szCs w:val="24"/>
          <w:lang w:eastAsia="es-MX"/>
        </w:rPr>
        <w:t xml:space="preserve"> de la Ley Adjetiva Civil.</w:t>
      </w:r>
    </w:p>
    <w:p w:rsidR="004F0D90" w:rsidRDefault="004F0D90" w:rsidP="00A31D9F">
      <w:pPr>
        <w:spacing w:after="120" w:line="360" w:lineRule="auto"/>
        <w:ind w:firstLine="851"/>
        <w:jc w:val="both"/>
        <w:rPr>
          <w:rFonts w:ascii="Century Gothic" w:hAnsi="Century Gothic" w:cs="Arial"/>
          <w:iCs/>
          <w:sz w:val="24"/>
          <w:szCs w:val="24"/>
        </w:rPr>
      </w:pPr>
      <w:r w:rsidRPr="004F0D90">
        <w:rPr>
          <w:rFonts w:ascii="Century Gothic" w:hAnsi="Century Gothic" w:cs="Arial"/>
          <w:sz w:val="24"/>
          <w:szCs w:val="24"/>
        </w:rPr>
        <w:t xml:space="preserve">Por tanto, la </w:t>
      </w:r>
      <w:proofErr w:type="spellStart"/>
      <w:r w:rsidRPr="004F0D90">
        <w:rPr>
          <w:rFonts w:ascii="Century Gothic" w:hAnsi="Century Gothic" w:cs="Arial"/>
          <w:sz w:val="24"/>
          <w:szCs w:val="24"/>
        </w:rPr>
        <w:t>litis</w:t>
      </w:r>
      <w:proofErr w:type="spellEnd"/>
      <w:r w:rsidRPr="004F0D90">
        <w:rPr>
          <w:rFonts w:ascii="Century Gothic" w:hAnsi="Century Gothic" w:cs="Arial"/>
          <w:sz w:val="24"/>
          <w:szCs w:val="24"/>
        </w:rPr>
        <w:t xml:space="preserve"> en el presente recurso, consiste en determinar si fue correcto o no que el juez de la causa </w:t>
      </w:r>
      <w:r>
        <w:rPr>
          <w:rFonts w:ascii="Century Gothic" w:hAnsi="Century Gothic" w:cs="Arial"/>
          <w:sz w:val="24"/>
          <w:szCs w:val="24"/>
        </w:rPr>
        <w:t xml:space="preserve">desechara </w:t>
      </w:r>
      <w:r w:rsidRPr="004F0D90">
        <w:rPr>
          <w:rFonts w:ascii="Century Gothic" w:hAnsi="Century Gothic" w:cs="Arial"/>
          <w:sz w:val="24"/>
          <w:szCs w:val="24"/>
        </w:rPr>
        <w:t xml:space="preserve">el recurso de apelación interpuesto en contra de una sentencia interlocutoria dictada en ejecución de sentencia en un juicio </w:t>
      </w:r>
      <w:r>
        <w:rPr>
          <w:rFonts w:ascii="Century Gothic" w:hAnsi="Century Gothic" w:cs="Arial"/>
          <w:sz w:val="24"/>
          <w:szCs w:val="24"/>
        </w:rPr>
        <w:t>de controversia familiar por alimentos</w:t>
      </w:r>
      <w:r w:rsidRPr="004F0D90">
        <w:rPr>
          <w:rFonts w:ascii="Century Gothic" w:hAnsi="Century Gothic" w:cs="Arial"/>
          <w:iCs/>
          <w:sz w:val="24"/>
          <w:szCs w:val="24"/>
        </w:rPr>
        <w:t xml:space="preserve">, al considerar que </w:t>
      </w:r>
      <w:r>
        <w:rPr>
          <w:rFonts w:ascii="Century Gothic" w:hAnsi="Century Gothic" w:cs="Arial"/>
          <w:iCs/>
          <w:sz w:val="24"/>
          <w:szCs w:val="24"/>
        </w:rPr>
        <w:t xml:space="preserve">en etapa de ejecución de sentencia deviene </w:t>
      </w:r>
      <w:r w:rsidR="00C42326">
        <w:rPr>
          <w:rFonts w:ascii="Century Gothic" w:hAnsi="Century Gothic" w:cs="Arial"/>
          <w:iCs/>
          <w:sz w:val="24"/>
          <w:szCs w:val="24"/>
        </w:rPr>
        <w:t>irrecurrible la resolución combatida</w:t>
      </w:r>
      <w:r>
        <w:rPr>
          <w:rFonts w:ascii="Century Gothic" w:hAnsi="Century Gothic" w:cs="Arial"/>
          <w:iCs/>
          <w:sz w:val="24"/>
          <w:szCs w:val="24"/>
        </w:rPr>
        <w:t xml:space="preserve">, de conformidad con los artículos 53, 70 y 1004 del Código de Procedimientos Civiles en el Estado. </w:t>
      </w:r>
    </w:p>
    <w:p w:rsidR="00A31D9F" w:rsidRPr="001A0997" w:rsidRDefault="00A31D9F" w:rsidP="00A31D9F">
      <w:pPr>
        <w:spacing w:after="120" w:line="360" w:lineRule="auto"/>
        <w:ind w:firstLine="851"/>
        <w:jc w:val="both"/>
        <w:rPr>
          <w:rFonts w:ascii="Century Gothic" w:hAnsi="Century Gothic" w:cs="Arial"/>
          <w:b/>
          <w:bCs/>
          <w:sz w:val="24"/>
          <w:szCs w:val="24"/>
        </w:rPr>
      </w:pPr>
      <w:r w:rsidRPr="001A0997">
        <w:rPr>
          <w:rFonts w:ascii="Century Gothic" w:hAnsi="Century Gothic" w:cs="Arial"/>
          <w:b/>
          <w:bCs/>
          <w:sz w:val="24"/>
          <w:szCs w:val="24"/>
        </w:rPr>
        <w:t xml:space="preserve">QUINTO. </w:t>
      </w:r>
      <w:r w:rsidR="00C961B5">
        <w:rPr>
          <w:rFonts w:ascii="Century Gothic" w:hAnsi="Century Gothic" w:cs="Arial"/>
          <w:b/>
          <w:sz w:val="24"/>
          <w:szCs w:val="24"/>
        </w:rPr>
        <w:t>Idoneidad</w:t>
      </w:r>
      <w:r w:rsidR="00C961B5" w:rsidRPr="0031162D">
        <w:rPr>
          <w:rFonts w:ascii="Century Gothic" w:hAnsi="Century Gothic" w:cs="Arial"/>
          <w:b/>
          <w:sz w:val="24"/>
          <w:szCs w:val="24"/>
        </w:rPr>
        <w:t xml:space="preserve"> del recurso</w:t>
      </w:r>
      <w:r w:rsidRPr="001A0997">
        <w:rPr>
          <w:rFonts w:ascii="Century Gothic" w:hAnsi="Century Gothic" w:cs="Arial"/>
          <w:b/>
          <w:bCs/>
          <w:sz w:val="24"/>
          <w:szCs w:val="24"/>
        </w:rPr>
        <w:t>.</w:t>
      </w:r>
    </w:p>
    <w:p w:rsidR="00C961B5" w:rsidRPr="00B51945" w:rsidRDefault="00C961B5" w:rsidP="00C961B5">
      <w:pPr>
        <w:spacing w:after="360" w:line="360" w:lineRule="auto"/>
        <w:ind w:firstLine="851"/>
        <w:jc w:val="both"/>
        <w:rPr>
          <w:rFonts w:ascii="Century Gothic" w:hAnsi="Century Gothic" w:cs="Arial"/>
          <w:sz w:val="24"/>
          <w:szCs w:val="24"/>
        </w:rPr>
      </w:pPr>
      <w:r w:rsidRPr="00B51945">
        <w:rPr>
          <w:rFonts w:ascii="Century Gothic" w:hAnsi="Century Gothic" w:cs="Arial"/>
          <w:sz w:val="24"/>
          <w:szCs w:val="24"/>
        </w:rPr>
        <w:t xml:space="preserve">Previo al estudio de fondo del caso planteado y objeto de análisis, es pertinente determinar si el auto de 19 diecinueve de agosto de 2020 dos mil veinte, dictado en ejecución de sentencia, </w:t>
      </w:r>
      <w:r>
        <w:rPr>
          <w:rFonts w:ascii="Century Gothic" w:hAnsi="Century Gothic" w:cs="Arial"/>
          <w:sz w:val="24"/>
          <w:szCs w:val="24"/>
        </w:rPr>
        <w:t xml:space="preserve">que desechó el recurso de apelación interpuesto en contra de la sentencia interlocutoria de resolvió la planilla de liquidación de pensiones alimenticias, </w:t>
      </w:r>
      <w:r w:rsidRPr="00B51945">
        <w:rPr>
          <w:rFonts w:ascii="Century Gothic" w:hAnsi="Century Gothic" w:cs="Arial"/>
          <w:sz w:val="24"/>
          <w:szCs w:val="24"/>
        </w:rPr>
        <w:t xml:space="preserve">es recurrible o no en queja. </w:t>
      </w:r>
    </w:p>
    <w:p w:rsidR="00C961B5" w:rsidRPr="00B51945" w:rsidRDefault="00C961B5" w:rsidP="00C961B5">
      <w:pPr>
        <w:spacing w:after="360" w:line="360" w:lineRule="auto"/>
        <w:ind w:firstLine="851"/>
        <w:jc w:val="both"/>
        <w:rPr>
          <w:rFonts w:ascii="Century Gothic" w:hAnsi="Century Gothic" w:cs="Arial"/>
          <w:sz w:val="24"/>
          <w:szCs w:val="24"/>
        </w:rPr>
      </w:pPr>
      <w:r w:rsidRPr="00B51945">
        <w:rPr>
          <w:rFonts w:ascii="Century Gothic" w:hAnsi="Century Gothic" w:cs="Arial"/>
          <w:sz w:val="24"/>
          <w:szCs w:val="24"/>
        </w:rPr>
        <w:t xml:space="preserve">Sobre ese tenor, el Primer y Segundo Tribunal Colegiado en Materia Civil y Administrativa del Noveno Circuito, han sostenido que, de conformidad con el artículo 1004 de la Ley Adjetiva Civil en el Estado, para determinar si una resolución dictada en ejecución de sentencia es recurrible o no, debe atenderse al objeto o finalidad de dicha determinación; si está dirigida directamente a cumplir con lo ordenado en el fallo, es irrecurrible, pero si la resolución no tiene vinculación con el </w:t>
      </w:r>
      <w:r w:rsidRPr="00B51945">
        <w:rPr>
          <w:rFonts w:ascii="Century Gothic" w:hAnsi="Century Gothic" w:cs="Arial"/>
          <w:sz w:val="24"/>
          <w:szCs w:val="24"/>
        </w:rPr>
        <w:lastRenderedPageBreak/>
        <w:t xml:space="preserve">cumplimiento del fallo o niega ese cumplimiento, entonces sí es recurrible, a través del medio ordinario defensa respectivo. </w:t>
      </w:r>
    </w:p>
    <w:p w:rsidR="00C961B5" w:rsidRPr="0031162D" w:rsidRDefault="00C961B5" w:rsidP="00C961B5">
      <w:pPr>
        <w:spacing w:after="360" w:line="360" w:lineRule="auto"/>
        <w:ind w:firstLine="851"/>
        <w:jc w:val="both"/>
        <w:rPr>
          <w:rFonts w:ascii="Century Gothic" w:hAnsi="Century Gothic" w:cs="Arial"/>
          <w:sz w:val="24"/>
          <w:szCs w:val="24"/>
        </w:rPr>
      </w:pPr>
      <w:r w:rsidRPr="00B51945">
        <w:rPr>
          <w:rFonts w:ascii="Century Gothic" w:hAnsi="Century Gothic" w:cs="Arial"/>
          <w:sz w:val="24"/>
          <w:szCs w:val="24"/>
        </w:rPr>
        <w:t xml:space="preserve">En virtud de lo anterior, y una vez analizado el auto impugnado, se concluye que no fue dictado para lograr la ejecución de la sentencia, pues no tiene relación directa e inmediata con la ejecución de la misma, por tanto, sí es recurrible en queja, de conformidad con lo </w:t>
      </w:r>
      <w:r w:rsidRPr="00B51945">
        <w:rPr>
          <w:rFonts w:ascii="Century Gothic" w:hAnsi="Century Gothic" w:cs="Arial"/>
          <w:bCs/>
          <w:sz w:val="24"/>
          <w:szCs w:val="24"/>
        </w:rPr>
        <w:t>establecido en el artículo 971, fracción III de la Legislación Adjetiva Civil.</w:t>
      </w:r>
    </w:p>
    <w:p w:rsidR="00A31D9F" w:rsidRPr="001A0997" w:rsidRDefault="00A31D9F" w:rsidP="00A31D9F">
      <w:pPr>
        <w:spacing w:after="120" w:line="360" w:lineRule="auto"/>
        <w:ind w:firstLine="851"/>
        <w:jc w:val="both"/>
        <w:rPr>
          <w:rFonts w:ascii="Century Gothic" w:hAnsi="Century Gothic" w:cs="Arial"/>
          <w:b/>
          <w:bCs/>
          <w:sz w:val="24"/>
          <w:szCs w:val="24"/>
        </w:rPr>
      </w:pPr>
      <w:r w:rsidRPr="001A0997">
        <w:rPr>
          <w:rFonts w:ascii="Century Gothic" w:hAnsi="Century Gothic" w:cs="Arial"/>
          <w:b/>
          <w:bCs/>
          <w:sz w:val="24"/>
          <w:szCs w:val="24"/>
        </w:rPr>
        <w:t>SEXTO. Estudio del recurso.</w:t>
      </w:r>
    </w:p>
    <w:p w:rsidR="00A31D9F" w:rsidRPr="001A0997" w:rsidRDefault="00A31D9F" w:rsidP="00A31D9F">
      <w:pPr>
        <w:pStyle w:val="Normal0"/>
        <w:spacing w:after="120" w:line="360" w:lineRule="auto"/>
        <w:ind w:firstLine="851"/>
        <w:jc w:val="both"/>
        <w:rPr>
          <w:rFonts w:ascii="Century Gothic" w:hAnsi="Century Gothic"/>
          <w:b/>
        </w:rPr>
      </w:pPr>
      <w:r w:rsidRPr="001A0997">
        <w:rPr>
          <w:rFonts w:ascii="Century Gothic" w:hAnsi="Century Gothic"/>
          <w:b/>
        </w:rPr>
        <w:t>I. Antecedentes.</w:t>
      </w:r>
    </w:p>
    <w:p w:rsidR="004F0D90" w:rsidRDefault="00A31D9F" w:rsidP="004F0D90">
      <w:pPr>
        <w:pStyle w:val="Textoindependiente"/>
        <w:spacing w:after="360" w:line="360" w:lineRule="auto"/>
        <w:ind w:firstLine="851"/>
        <w:rPr>
          <w:rFonts w:ascii="Century Gothic" w:hAnsi="Century Gothic"/>
          <w:bCs/>
          <w:iCs/>
          <w:sz w:val="24"/>
        </w:rPr>
      </w:pPr>
      <w:r w:rsidRPr="001A0997">
        <w:rPr>
          <w:rFonts w:ascii="Century Gothic" w:hAnsi="Century Gothic"/>
          <w:sz w:val="24"/>
          <w:szCs w:val="24"/>
        </w:rPr>
        <w:t xml:space="preserve">A fin de emitir un mejor estudio, resulta necesario hacer una breve reseña de los antecedentes del caso que nos ocupa, los cuales se desprenden del testimonio de constancias que a su vez remitió el Juez Natural con su informe respectivo, el cual adquiere eficacia demostrativa plena en términos de lo previsto por </w:t>
      </w:r>
      <w:r w:rsidR="004F0D90" w:rsidRPr="0012514B">
        <w:rPr>
          <w:rFonts w:ascii="Century Gothic" w:hAnsi="Century Gothic"/>
          <w:bCs/>
          <w:iCs/>
          <w:sz w:val="24"/>
        </w:rPr>
        <w:t xml:space="preserve">los </w:t>
      </w:r>
      <w:r w:rsidR="004F0D90" w:rsidRPr="00B51945">
        <w:rPr>
          <w:rFonts w:ascii="Century Gothic" w:hAnsi="Century Gothic"/>
          <w:bCs/>
          <w:iCs/>
          <w:sz w:val="24"/>
        </w:rPr>
        <w:t>artículos 323, fracción II y 391 del Código de Procedimientos Civiles</w:t>
      </w:r>
      <w:r w:rsidR="004F0D90" w:rsidRPr="00B51945">
        <w:rPr>
          <w:rStyle w:val="Refdenotaalpie"/>
          <w:rFonts w:ascii="Century Gothic" w:hAnsi="Century Gothic"/>
          <w:sz w:val="20"/>
          <w:szCs w:val="20"/>
        </w:rPr>
        <w:footnoteReference w:id="6"/>
      </w:r>
      <w:r w:rsidR="004F0D90" w:rsidRPr="00B51945">
        <w:rPr>
          <w:rFonts w:ascii="Century Gothic" w:hAnsi="Century Gothic"/>
          <w:bCs/>
          <w:iCs/>
          <w:sz w:val="24"/>
        </w:rPr>
        <w:t>.</w:t>
      </w:r>
    </w:p>
    <w:p w:rsidR="001A1A75" w:rsidRPr="001A1A75" w:rsidRDefault="00C77F4A" w:rsidP="001A1A75">
      <w:pPr>
        <w:pStyle w:val="Normal0"/>
        <w:spacing w:after="120" w:line="360" w:lineRule="auto"/>
        <w:ind w:firstLine="851"/>
        <w:jc w:val="both"/>
        <w:rPr>
          <w:rFonts w:ascii="Century Gothic" w:hAnsi="Century Gothic"/>
        </w:rPr>
      </w:pPr>
      <w:r w:rsidRPr="00C77F4A">
        <w:rPr>
          <w:rFonts w:ascii="Century Gothic" w:hAnsi="Century Gothic"/>
          <w:b/>
        </w:rPr>
        <w:t>1.</w:t>
      </w:r>
      <w:r w:rsidR="0016750C">
        <w:rPr>
          <w:rFonts w:ascii="Century Gothic" w:hAnsi="Century Gothic"/>
        </w:rPr>
        <w:t xml:space="preserve"> </w:t>
      </w:r>
      <w:r w:rsidRPr="00C77F4A">
        <w:rPr>
          <w:rFonts w:ascii="Century Gothic" w:hAnsi="Century Gothic"/>
        </w:rPr>
        <w:t xml:space="preserve">El presente recurso de queja tiene su origen en el </w:t>
      </w:r>
      <w:r w:rsidRPr="00C77F4A">
        <w:rPr>
          <w:rFonts w:ascii="Century Gothic" w:hAnsi="Century Gothic"/>
          <w:b/>
        </w:rPr>
        <w:t>juicio de controversia familiar por alimentos,</w:t>
      </w:r>
      <w:r w:rsidRPr="00C77F4A">
        <w:rPr>
          <w:rFonts w:ascii="Century Gothic" w:hAnsi="Century Gothic"/>
        </w:rPr>
        <w:t xml:space="preserve"> tramitado ante el Juez Quinto del Ramo Familiar de este Distrito Judicial, bajo el expediente </w:t>
      </w:r>
      <w:r w:rsidR="00E97A1C">
        <w:rPr>
          <w:rFonts w:ascii="Century Gothic" w:hAnsi="Century Gothic"/>
        </w:rPr>
        <w:t>74</w:t>
      </w:r>
      <w:r w:rsidRPr="00C77F4A">
        <w:rPr>
          <w:rFonts w:ascii="Century Gothic" w:hAnsi="Century Gothic"/>
        </w:rPr>
        <w:t xml:space="preserve">/2020, siendo que el </w:t>
      </w:r>
      <w:r w:rsidR="00A31D9F" w:rsidRPr="00C77F4A">
        <w:rPr>
          <w:rFonts w:ascii="Century Gothic" w:hAnsi="Century Gothic"/>
        </w:rPr>
        <w:t xml:space="preserve">1° primero de septiembre del 2004 dos mil cuatro, </w:t>
      </w:r>
      <w:r w:rsidRPr="00C77F4A">
        <w:rPr>
          <w:rFonts w:ascii="Century Gothic" w:hAnsi="Century Gothic"/>
        </w:rPr>
        <w:t>el Juez de la causa</w:t>
      </w:r>
      <w:r w:rsidR="00A31D9F" w:rsidRPr="00C77F4A">
        <w:rPr>
          <w:rFonts w:ascii="Century Gothic" w:hAnsi="Century Gothic"/>
        </w:rPr>
        <w:t xml:space="preserve"> dictó </w:t>
      </w:r>
      <w:r w:rsidR="00804DCE">
        <w:rPr>
          <w:rFonts w:ascii="Century Gothic" w:hAnsi="Century Gothic"/>
          <w:b/>
        </w:rPr>
        <w:t>sentencia c</w:t>
      </w:r>
      <w:r w:rsidR="00A31D9F" w:rsidRPr="00C77F4A">
        <w:rPr>
          <w:rFonts w:ascii="Century Gothic" w:hAnsi="Century Gothic"/>
          <w:b/>
        </w:rPr>
        <w:t>ondenatoria</w:t>
      </w:r>
      <w:r w:rsidR="00A31D9F" w:rsidRPr="00C77F4A">
        <w:rPr>
          <w:rFonts w:ascii="Century Gothic" w:hAnsi="Century Gothic"/>
        </w:rPr>
        <w:t xml:space="preserve"> en contra de </w:t>
      </w:r>
      <w:r w:rsidR="00B728DC">
        <w:rPr>
          <w:rFonts w:ascii="Century Gothic" w:hAnsi="Century Gothic"/>
        </w:rPr>
        <w:t>ELIMINADO</w:t>
      </w:r>
      <w:r w:rsidR="00804DCE" w:rsidRPr="00C77F4A">
        <w:rPr>
          <w:rFonts w:ascii="Century Gothic" w:hAnsi="Century Gothic"/>
        </w:rPr>
        <w:t xml:space="preserve">, </w:t>
      </w:r>
      <w:r w:rsidR="001A1A75" w:rsidRPr="001A1A75">
        <w:rPr>
          <w:rFonts w:ascii="Century Gothic" w:hAnsi="Century Gothic"/>
        </w:rPr>
        <w:t>en cuyo Resolutivo Quinto se le condenó a proporcionar por concepto de pensión alimenticia definitiva el 50% cincuenta por ciento de sus percepciones ordinarias y extraordinarias que obtiene mensualmente por su trabajo, a favor de sus hijos</w:t>
      </w:r>
      <w:r w:rsidR="00E97A1C">
        <w:rPr>
          <w:rFonts w:ascii="Century Gothic" w:hAnsi="Century Gothic"/>
        </w:rPr>
        <w:t>, entre ellos, el hoy quejoso</w:t>
      </w:r>
      <w:r w:rsidR="001A1A75" w:rsidRPr="001A1A75">
        <w:rPr>
          <w:rFonts w:ascii="Century Gothic" w:hAnsi="Century Gothic"/>
        </w:rPr>
        <w:t xml:space="preserve">. </w:t>
      </w:r>
    </w:p>
    <w:p w:rsidR="00804DCE" w:rsidRDefault="00804DCE" w:rsidP="0016750C">
      <w:pPr>
        <w:spacing w:after="120" w:line="360" w:lineRule="auto"/>
        <w:ind w:firstLine="851"/>
        <w:jc w:val="both"/>
        <w:rPr>
          <w:rFonts w:ascii="Century Gothic" w:hAnsi="Century Gothic" w:cs="Arial"/>
          <w:sz w:val="24"/>
          <w:szCs w:val="24"/>
          <w:lang w:val="es-ES"/>
        </w:rPr>
      </w:pPr>
      <w:r>
        <w:rPr>
          <w:rFonts w:ascii="Century Gothic" w:hAnsi="Century Gothic" w:cs="Arial"/>
          <w:sz w:val="24"/>
          <w:szCs w:val="24"/>
          <w:lang w:val="es-ES"/>
        </w:rPr>
        <w:t xml:space="preserve">Dicha resolución causó ejecutoria por auto </w:t>
      </w:r>
      <w:r w:rsidRPr="00804DCE">
        <w:rPr>
          <w:rFonts w:ascii="Century Gothic" w:hAnsi="Century Gothic" w:cs="Arial"/>
          <w:sz w:val="24"/>
          <w:szCs w:val="24"/>
          <w:lang w:val="es-ES"/>
        </w:rPr>
        <w:t>del 17 diecisiete de se</w:t>
      </w:r>
      <w:r>
        <w:rPr>
          <w:rFonts w:ascii="Century Gothic" w:hAnsi="Century Gothic" w:cs="Arial"/>
          <w:sz w:val="24"/>
          <w:szCs w:val="24"/>
          <w:lang w:val="es-ES"/>
        </w:rPr>
        <w:t>ptiembre de 2004 dos mil cuatro.</w:t>
      </w:r>
    </w:p>
    <w:p w:rsidR="00804DCE" w:rsidRDefault="00804DCE" w:rsidP="0016750C">
      <w:pPr>
        <w:pStyle w:val="Textoindependiente"/>
        <w:spacing w:before="240" w:after="240" w:line="360" w:lineRule="auto"/>
        <w:ind w:firstLine="851"/>
        <w:rPr>
          <w:rFonts w:ascii="Century Gothic" w:hAnsi="Century Gothic" w:cs="Arial"/>
          <w:b/>
          <w:sz w:val="24"/>
        </w:rPr>
      </w:pPr>
      <w:r>
        <w:rPr>
          <w:rFonts w:ascii="Century Gothic" w:hAnsi="Century Gothic" w:cs="Arial"/>
          <w:b/>
          <w:sz w:val="24"/>
        </w:rPr>
        <w:t>Por tanto, el presente asunto se encuentra en la etapa de ejecución de sentencia.</w:t>
      </w:r>
    </w:p>
    <w:p w:rsidR="00A31D9F" w:rsidRPr="001A0997" w:rsidRDefault="00C77F4A" w:rsidP="0016750C">
      <w:pPr>
        <w:pStyle w:val="Textoindependiente"/>
        <w:spacing w:before="240" w:after="240" w:line="360" w:lineRule="auto"/>
        <w:ind w:firstLine="851"/>
        <w:rPr>
          <w:rFonts w:ascii="Century Gothic" w:hAnsi="Century Gothic" w:cs="Arial"/>
          <w:sz w:val="24"/>
          <w:szCs w:val="24"/>
        </w:rPr>
      </w:pPr>
      <w:r w:rsidRPr="00687FAF">
        <w:rPr>
          <w:rFonts w:ascii="Century Gothic" w:hAnsi="Century Gothic" w:cs="Arial"/>
          <w:b/>
          <w:sz w:val="24"/>
          <w:szCs w:val="24"/>
          <w:lang w:val="es-ES"/>
        </w:rPr>
        <w:lastRenderedPageBreak/>
        <w:t>2</w:t>
      </w:r>
      <w:r w:rsidR="00A31D9F" w:rsidRPr="00687FAF">
        <w:rPr>
          <w:rFonts w:ascii="Century Gothic" w:hAnsi="Century Gothic" w:cs="Arial"/>
          <w:b/>
          <w:sz w:val="24"/>
          <w:szCs w:val="24"/>
          <w:lang w:val="es-ES"/>
        </w:rPr>
        <w:t>.</w:t>
      </w:r>
      <w:r w:rsidR="00687FAF" w:rsidRPr="00687FAF">
        <w:rPr>
          <w:rFonts w:ascii="Century Gothic" w:hAnsi="Century Gothic" w:cs="Arial"/>
          <w:b/>
          <w:sz w:val="24"/>
          <w:szCs w:val="24"/>
          <w:lang w:val="es-ES"/>
        </w:rPr>
        <w:t xml:space="preserve"> </w:t>
      </w:r>
      <w:r w:rsidR="00687FAF" w:rsidRPr="00687FAF">
        <w:rPr>
          <w:rFonts w:ascii="Century Gothic" w:hAnsi="Century Gothic" w:cs="Arial"/>
          <w:sz w:val="24"/>
          <w:szCs w:val="24"/>
          <w:lang w:val="es-ES"/>
        </w:rPr>
        <w:t>Mediante</w:t>
      </w:r>
      <w:r w:rsidR="00687FAF" w:rsidRPr="00687FAF">
        <w:rPr>
          <w:rFonts w:ascii="Century Gothic" w:hAnsi="Century Gothic" w:cs="Arial"/>
          <w:b/>
          <w:sz w:val="24"/>
          <w:szCs w:val="24"/>
          <w:lang w:val="es-ES"/>
        </w:rPr>
        <w:t xml:space="preserve"> </w:t>
      </w:r>
      <w:r w:rsidR="00687FAF" w:rsidRPr="00687FAF">
        <w:rPr>
          <w:rFonts w:ascii="Century Gothic" w:hAnsi="Century Gothic" w:cs="Arial"/>
          <w:sz w:val="24"/>
          <w:szCs w:val="24"/>
          <w:lang w:val="es-ES"/>
        </w:rPr>
        <w:t>auto de 29 veintinueve y su acl</w:t>
      </w:r>
      <w:r w:rsidR="00687FAF">
        <w:rPr>
          <w:rFonts w:ascii="Century Gothic" w:hAnsi="Century Gothic" w:cs="Arial"/>
          <w:sz w:val="24"/>
          <w:szCs w:val="24"/>
          <w:lang w:val="es-ES"/>
        </w:rPr>
        <w:t xml:space="preserve">aratorio del 30 treinta, se tuvo al diverso actor </w:t>
      </w:r>
      <w:r w:rsidR="00B728DC">
        <w:rPr>
          <w:rFonts w:ascii="Century Gothic" w:hAnsi="Century Gothic" w:cs="Arial"/>
          <w:sz w:val="24"/>
          <w:szCs w:val="24"/>
          <w:lang w:val="es-ES"/>
        </w:rPr>
        <w:t>ELIMINADO</w:t>
      </w:r>
      <w:r w:rsidR="00687FAF">
        <w:rPr>
          <w:rFonts w:ascii="Century Gothic" w:hAnsi="Century Gothic" w:cs="Arial"/>
          <w:sz w:val="24"/>
          <w:szCs w:val="24"/>
          <w:lang w:val="es-ES"/>
        </w:rPr>
        <w:t xml:space="preserve"> por promoviendo la </w:t>
      </w:r>
      <w:r w:rsidR="00687FAF" w:rsidRPr="00172EBB">
        <w:rPr>
          <w:rFonts w:ascii="Century Gothic" w:hAnsi="Century Gothic" w:cs="Arial"/>
          <w:b/>
          <w:sz w:val="24"/>
          <w:szCs w:val="24"/>
          <w:lang w:val="es-ES"/>
        </w:rPr>
        <w:t>liquidación de pensiones alimenticias</w:t>
      </w:r>
      <w:r w:rsidR="00687FAF">
        <w:rPr>
          <w:rFonts w:ascii="Century Gothic" w:hAnsi="Century Gothic" w:cs="Arial"/>
          <w:sz w:val="24"/>
          <w:szCs w:val="24"/>
          <w:lang w:val="es-ES"/>
        </w:rPr>
        <w:t xml:space="preserve"> en contra del demandado; </w:t>
      </w:r>
      <w:r w:rsidR="00E97A1C">
        <w:rPr>
          <w:rFonts w:ascii="Century Gothic" w:hAnsi="Century Gothic" w:cs="Arial"/>
          <w:sz w:val="24"/>
          <w:szCs w:val="24"/>
          <w:lang w:val="es-ES"/>
        </w:rPr>
        <w:t xml:space="preserve">de la cual se le dio </w:t>
      </w:r>
      <w:r w:rsidR="00687FAF">
        <w:rPr>
          <w:rFonts w:ascii="Century Gothic" w:hAnsi="Century Gothic" w:cs="Arial"/>
          <w:sz w:val="24"/>
          <w:szCs w:val="24"/>
          <w:lang w:val="es-ES"/>
        </w:rPr>
        <w:t xml:space="preserve">vista y por auto de 12 doce de febrero de 2020 se le tuvo por oponiéndose a la planilla de liquidación propuesta; se abrió el incidente a prueba y </w:t>
      </w:r>
      <w:r w:rsidR="00687FAF">
        <w:rPr>
          <w:rFonts w:ascii="Century Gothic" w:hAnsi="Century Gothic" w:cs="Arial"/>
          <w:sz w:val="24"/>
          <w:szCs w:val="24"/>
        </w:rPr>
        <w:t>e</w:t>
      </w:r>
      <w:r w:rsidR="00A31D9F" w:rsidRPr="001A0997">
        <w:rPr>
          <w:rFonts w:ascii="Century Gothic" w:hAnsi="Century Gothic" w:cs="Arial"/>
          <w:sz w:val="24"/>
          <w:szCs w:val="24"/>
        </w:rPr>
        <w:t>l 05 cinco de noviembre del 2020 dos mil veinte, el A quo, dictó sentencia interlocutoria</w:t>
      </w:r>
      <w:r w:rsidR="00687FAF">
        <w:rPr>
          <w:rFonts w:ascii="Century Gothic" w:hAnsi="Century Gothic" w:cs="Arial"/>
          <w:sz w:val="24"/>
          <w:szCs w:val="24"/>
        </w:rPr>
        <w:t xml:space="preserve">, </w:t>
      </w:r>
      <w:r w:rsidR="00E97A1C">
        <w:rPr>
          <w:rFonts w:ascii="Century Gothic" w:hAnsi="Century Gothic" w:cs="Arial"/>
          <w:sz w:val="24"/>
          <w:szCs w:val="24"/>
        </w:rPr>
        <w:t>mediante</w:t>
      </w:r>
      <w:r w:rsidR="00A31D9F" w:rsidRPr="001A0997">
        <w:rPr>
          <w:rFonts w:ascii="Century Gothic" w:hAnsi="Century Gothic" w:cs="Arial"/>
          <w:sz w:val="24"/>
          <w:szCs w:val="24"/>
        </w:rPr>
        <w:t xml:space="preserve"> la cual </w:t>
      </w:r>
      <w:r w:rsidR="00687FAF">
        <w:rPr>
          <w:rFonts w:ascii="Century Gothic" w:hAnsi="Century Gothic" w:cs="Arial"/>
          <w:sz w:val="24"/>
          <w:szCs w:val="24"/>
        </w:rPr>
        <w:t>declaró</w:t>
      </w:r>
      <w:r w:rsidR="00A31D9F" w:rsidRPr="001A0997">
        <w:rPr>
          <w:rFonts w:ascii="Century Gothic" w:hAnsi="Century Gothic" w:cs="Arial"/>
          <w:sz w:val="24"/>
          <w:szCs w:val="24"/>
        </w:rPr>
        <w:t xml:space="preserve"> </w:t>
      </w:r>
      <w:r w:rsidR="00A31D9F" w:rsidRPr="00681E8F">
        <w:rPr>
          <w:rFonts w:ascii="Century Gothic" w:hAnsi="Century Gothic" w:cs="Arial"/>
          <w:b/>
          <w:sz w:val="24"/>
          <w:szCs w:val="24"/>
        </w:rPr>
        <w:t>improcedente</w:t>
      </w:r>
      <w:r w:rsidR="00E97A1C">
        <w:rPr>
          <w:rFonts w:ascii="Century Gothic" w:hAnsi="Century Gothic" w:cs="Arial"/>
          <w:sz w:val="24"/>
          <w:szCs w:val="24"/>
        </w:rPr>
        <w:t xml:space="preserve"> el incidente de liquidación de pensiones alimenticias</w:t>
      </w:r>
      <w:r w:rsidR="00687FAF">
        <w:rPr>
          <w:rFonts w:ascii="Century Gothic" w:hAnsi="Century Gothic" w:cs="Arial"/>
          <w:sz w:val="24"/>
          <w:szCs w:val="24"/>
        </w:rPr>
        <w:t xml:space="preserve">, en razón de que la cuantificación que el </w:t>
      </w:r>
      <w:r w:rsidR="00E97A1C">
        <w:rPr>
          <w:rFonts w:ascii="Century Gothic" w:hAnsi="Century Gothic" w:cs="Arial"/>
          <w:sz w:val="24"/>
          <w:szCs w:val="24"/>
        </w:rPr>
        <w:t xml:space="preserve">acreedor </w:t>
      </w:r>
      <w:r w:rsidR="00687FAF">
        <w:rPr>
          <w:rFonts w:ascii="Century Gothic" w:hAnsi="Century Gothic" w:cs="Arial"/>
          <w:sz w:val="24"/>
          <w:szCs w:val="24"/>
        </w:rPr>
        <w:t>reclama</w:t>
      </w:r>
      <w:r w:rsidR="00964200">
        <w:rPr>
          <w:rFonts w:ascii="Century Gothic" w:hAnsi="Century Gothic" w:cs="Arial"/>
          <w:sz w:val="24"/>
          <w:szCs w:val="24"/>
        </w:rPr>
        <w:t>ba</w:t>
      </w:r>
      <w:r w:rsidR="00687FAF">
        <w:rPr>
          <w:rFonts w:ascii="Century Gothic" w:hAnsi="Century Gothic" w:cs="Arial"/>
          <w:sz w:val="24"/>
          <w:szCs w:val="24"/>
        </w:rPr>
        <w:t xml:space="preserve"> tenía un porcentaje</w:t>
      </w:r>
      <w:r w:rsidR="00E97A1C">
        <w:rPr>
          <w:rFonts w:ascii="Century Gothic" w:hAnsi="Century Gothic" w:cs="Arial"/>
          <w:sz w:val="24"/>
          <w:szCs w:val="24"/>
        </w:rPr>
        <w:t xml:space="preserve"> distinto (10%) al que como condena al pago de pensión alimenticia fue fijado con cargo al demandado (50%) y que esa circunstancia impedía establecer en cantidad líquida, el monto que le correspondía</w:t>
      </w:r>
      <w:r w:rsidR="00A31D9F" w:rsidRPr="001A0997">
        <w:rPr>
          <w:rFonts w:ascii="Century Gothic" w:hAnsi="Century Gothic" w:cs="Arial"/>
          <w:sz w:val="24"/>
          <w:szCs w:val="24"/>
        </w:rPr>
        <w:t>.</w:t>
      </w:r>
    </w:p>
    <w:p w:rsidR="00A31D9F" w:rsidRDefault="00E97A1C" w:rsidP="00A31D9F">
      <w:pPr>
        <w:pStyle w:val="Prrafodelista"/>
        <w:spacing w:after="120" w:line="360" w:lineRule="auto"/>
        <w:ind w:left="0" w:firstLine="851"/>
        <w:jc w:val="both"/>
        <w:rPr>
          <w:rFonts w:ascii="Century Gothic" w:hAnsi="Century Gothic" w:cs="Arial"/>
          <w:lang w:val="es-ES"/>
        </w:rPr>
      </w:pPr>
      <w:r w:rsidRPr="00E97A1C">
        <w:rPr>
          <w:rFonts w:ascii="Century Gothic" w:hAnsi="Century Gothic" w:cs="Arial"/>
          <w:b/>
          <w:lang w:val="es-ES"/>
        </w:rPr>
        <w:t>3.-</w:t>
      </w:r>
      <w:r>
        <w:rPr>
          <w:rFonts w:ascii="Century Gothic" w:hAnsi="Century Gothic" w:cs="Arial"/>
          <w:lang w:val="es-ES"/>
        </w:rPr>
        <w:t xml:space="preserve"> </w:t>
      </w:r>
      <w:r w:rsidR="00132CFD">
        <w:rPr>
          <w:rFonts w:ascii="Century Gothic" w:hAnsi="Century Gothic" w:cs="Arial"/>
          <w:lang w:val="es-ES"/>
        </w:rPr>
        <w:t xml:space="preserve">En contra de dicha resolución el diverso acreedor </w:t>
      </w:r>
      <w:r w:rsidR="00964200">
        <w:rPr>
          <w:rFonts w:ascii="Century Gothic" w:hAnsi="Century Gothic" w:cs="Arial"/>
          <w:lang w:val="es-ES"/>
        </w:rPr>
        <w:t xml:space="preserve">por conducto de su abogada </w:t>
      </w:r>
      <w:r w:rsidR="00132CFD">
        <w:rPr>
          <w:rFonts w:ascii="Century Gothic" w:hAnsi="Century Gothic" w:cs="Arial"/>
          <w:lang w:val="es-ES"/>
        </w:rPr>
        <w:t xml:space="preserve">interpuso </w:t>
      </w:r>
      <w:r w:rsidR="00132CFD" w:rsidRPr="00172EBB">
        <w:rPr>
          <w:rFonts w:ascii="Century Gothic" w:hAnsi="Century Gothic" w:cs="Arial"/>
          <w:b/>
          <w:lang w:val="es-ES"/>
        </w:rPr>
        <w:t>recurso de apelación</w:t>
      </w:r>
      <w:r w:rsidR="00132CFD">
        <w:rPr>
          <w:rFonts w:ascii="Century Gothic" w:hAnsi="Century Gothic" w:cs="Arial"/>
          <w:lang w:val="es-ES"/>
        </w:rPr>
        <w:t xml:space="preserve">, el cual, por determinación de </w:t>
      </w:r>
      <w:r w:rsidR="00A31D9F" w:rsidRPr="001A0997">
        <w:rPr>
          <w:rFonts w:ascii="Century Gothic" w:hAnsi="Century Gothic" w:cs="Arial"/>
          <w:lang w:val="es-ES"/>
        </w:rPr>
        <w:t>19 diecinueve de noviembre de 2020 dos mil veinte, el Ju</w:t>
      </w:r>
      <w:r w:rsidR="00132CFD">
        <w:rPr>
          <w:rFonts w:ascii="Century Gothic" w:hAnsi="Century Gothic" w:cs="Arial"/>
          <w:lang w:val="es-ES"/>
        </w:rPr>
        <w:t xml:space="preserve">ez Natural </w:t>
      </w:r>
      <w:r w:rsidR="00132CFD" w:rsidRPr="001A0997">
        <w:rPr>
          <w:rFonts w:ascii="Century Gothic" w:hAnsi="Century Gothic" w:cs="Arial"/>
          <w:b/>
          <w:lang w:val="es-ES"/>
        </w:rPr>
        <w:t>desechó</w:t>
      </w:r>
      <w:r w:rsidR="00132CFD" w:rsidRPr="001A0997">
        <w:rPr>
          <w:rFonts w:ascii="Century Gothic" w:hAnsi="Century Gothic" w:cs="Arial"/>
          <w:lang w:val="es-ES"/>
        </w:rPr>
        <w:t xml:space="preserve">, en razón de </w:t>
      </w:r>
      <w:proofErr w:type="gramStart"/>
      <w:r w:rsidR="00132CFD" w:rsidRPr="001A0997">
        <w:rPr>
          <w:rFonts w:ascii="Century Gothic" w:hAnsi="Century Gothic" w:cs="Arial"/>
          <w:lang w:val="es-ES"/>
        </w:rPr>
        <w:t>que</w:t>
      </w:r>
      <w:proofErr w:type="gramEnd"/>
      <w:r w:rsidR="00132CFD" w:rsidRPr="001A0997">
        <w:rPr>
          <w:rFonts w:ascii="Century Gothic" w:hAnsi="Century Gothic" w:cs="Arial"/>
          <w:lang w:val="es-ES"/>
        </w:rPr>
        <w:t xml:space="preserve"> </w:t>
      </w:r>
      <w:r w:rsidR="00132CFD">
        <w:rPr>
          <w:rFonts w:ascii="Century Gothic" w:hAnsi="Century Gothic" w:cs="Arial"/>
          <w:lang w:val="es-ES"/>
        </w:rPr>
        <w:t xml:space="preserve">al haber sido </w:t>
      </w:r>
      <w:r w:rsidR="00132CFD" w:rsidRPr="001A0997">
        <w:rPr>
          <w:rFonts w:ascii="Century Gothic" w:hAnsi="Century Gothic" w:cs="Arial"/>
          <w:lang w:val="es-ES"/>
        </w:rPr>
        <w:t>pronun</w:t>
      </w:r>
      <w:r w:rsidR="00132CFD">
        <w:rPr>
          <w:rFonts w:ascii="Century Gothic" w:hAnsi="Century Gothic" w:cs="Arial"/>
          <w:lang w:val="es-ES"/>
        </w:rPr>
        <w:t xml:space="preserve">ciado </w:t>
      </w:r>
      <w:r w:rsidR="00132CFD" w:rsidRPr="001A0997">
        <w:rPr>
          <w:rFonts w:ascii="Century Gothic" w:hAnsi="Century Gothic" w:cs="Arial"/>
          <w:lang w:val="es-ES"/>
        </w:rPr>
        <w:t>en la eta</w:t>
      </w:r>
      <w:r w:rsidR="00132CFD">
        <w:rPr>
          <w:rFonts w:ascii="Century Gothic" w:hAnsi="Century Gothic" w:cs="Arial"/>
          <w:lang w:val="es-ES"/>
        </w:rPr>
        <w:t>pa de ejecución de sentencia,</w:t>
      </w:r>
      <w:r w:rsidR="00132CFD" w:rsidRPr="001A0997">
        <w:rPr>
          <w:rFonts w:ascii="Century Gothic" w:hAnsi="Century Gothic" w:cs="Arial"/>
          <w:lang w:val="es-ES"/>
        </w:rPr>
        <w:t xml:space="preserve"> </w:t>
      </w:r>
      <w:r w:rsidR="00132CFD">
        <w:rPr>
          <w:rFonts w:ascii="Century Gothic" w:hAnsi="Century Gothic" w:cs="Arial"/>
          <w:lang w:val="es-ES"/>
        </w:rPr>
        <w:t xml:space="preserve">era </w:t>
      </w:r>
      <w:r w:rsidR="00132CFD" w:rsidRPr="001A0997">
        <w:rPr>
          <w:rFonts w:ascii="Century Gothic" w:hAnsi="Century Gothic" w:cs="Arial"/>
          <w:lang w:val="es-ES"/>
        </w:rPr>
        <w:t>irrecurri</w:t>
      </w:r>
      <w:r w:rsidR="00132CFD">
        <w:rPr>
          <w:rFonts w:ascii="Century Gothic" w:hAnsi="Century Gothic" w:cs="Arial"/>
          <w:lang w:val="es-ES"/>
        </w:rPr>
        <w:t xml:space="preserve">ble, de conformidad con lo </w:t>
      </w:r>
      <w:r w:rsidR="00A31D9F" w:rsidRPr="001A0997">
        <w:rPr>
          <w:rFonts w:ascii="Century Gothic" w:hAnsi="Century Gothic" w:cs="Arial"/>
          <w:lang w:val="es-ES"/>
        </w:rPr>
        <w:t xml:space="preserve">previsto por los artículos 53, 70 y 1004 </w:t>
      </w:r>
      <w:r w:rsidR="00132CFD">
        <w:rPr>
          <w:rFonts w:ascii="Century Gothic" w:hAnsi="Century Gothic" w:cs="Arial"/>
          <w:lang w:val="es-ES"/>
        </w:rPr>
        <w:t>de la Ley Adjetiva Civil.</w:t>
      </w:r>
    </w:p>
    <w:p w:rsidR="00172EBB" w:rsidRPr="00172EBB" w:rsidRDefault="00132CFD" w:rsidP="0016750C">
      <w:pPr>
        <w:pStyle w:val="Textoindependiente"/>
        <w:spacing w:before="240" w:after="240" w:line="360" w:lineRule="auto"/>
        <w:ind w:firstLine="851"/>
        <w:rPr>
          <w:rFonts w:ascii="Century Gothic" w:hAnsi="Century Gothic" w:cs="Arial"/>
          <w:sz w:val="24"/>
          <w:szCs w:val="24"/>
        </w:rPr>
      </w:pPr>
      <w:r w:rsidRPr="00172EBB">
        <w:rPr>
          <w:rFonts w:ascii="Century Gothic" w:hAnsi="Century Gothic" w:cs="Arial"/>
          <w:sz w:val="24"/>
          <w:szCs w:val="24"/>
        </w:rPr>
        <w:t>Determinación esta última que constituye la materi</w:t>
      </w:r>
      <w:r w:rsidR="00172EBB" w:rsidRPr="00172EBB">
        <w:rPr>
          <w:rFonts w:ascii="Century Gothic" w:hAnsi="Century Gothic" w:cs="Arial"/>
          <w:sz w:val="24"/>
          <w:szCs w:val="24"/>
        </w:rPr>
        <w:t xml:space="preserve">a del presente recurso de queja, siendo la Litis en esta Alzada, determinar a la luz de los agravios esgrimidos, si fue correcta o incorrecta la determinación del Juzgador, inmersa en el auto de </w:t>
      </w:r>
      <w:r w:rsidR="00172EBB" w:rsidRPr="00172EBB">
        <w:rPr>
          <w:rFonts w:ascii="Century Gothic" w:hAnsi="Century Gothic" w:cs="Arial"/>
          <w:sz w:val="24"/>
          <w:szCs w:val="24"/>
          <w:lang w:val="es-ES"/>
        </w:rPr>
        <w:t>19 diecinueve de noviembre de 2020 dos mil veinte,</w:t>
      </w:r>
      <w:r w:rsidR="00172EBB">
        <w:rPr>
          <w:rFonts w:ascii="Century Gothic" w:hAnsi="Century Gothic" w:cs="Arial"/>
          <w:sz w:val="24"/>
          <w:szCs w:val="24"/>
          <w:lang w:val="es-ES"/>
        </w:rPr>
        <w:t xml:space="preserve"> al negar la admisión del recurso de apelación interpuesto por </w:t>
      </w:r>
      <w:r w:rsidR="00B728DC">
        <w:rPr>
          <w:rFonts w:ascii="Century Gothic" w:hAnsi="Century Gothic" w:cs="Arial"/>
          <w:b/>
          <w:bCs/>
          <w:sz w:val="24"/>
          <w:szCs w:val="24"/>
        </w:rPr>
        <w:t>ELIMINADO</w:t>
      </w:r>
      <w:r w:rsidR="00172EBB" w:rsidRPr="00C02C04">
        <w:rPr>
          <w:rFonts w:ascii="Century Gothic" w:hAnsi="Century Gothic" w:cs="Arial"/>
          <w:b/>
          <w:bCs/>
          <w:sz w:val="24"/>
          <w:szCs w:val="24"/>
        </w:rPr>
        <w:t xml:space="preserve">, </w:t>
      </w:r>
      <w:r w:rsidR="00172EBB">
        <w:rPr>
          <w:rFonts w:ascii="Century Gothic" w:hAnsi="Century Gothic" w:cs="Arial"/>
          <w:bCs/>
          <w:sz w:val="24"/>
          <w:szCs w:val="24"/>
        </w:rPr>
        <w:t xml:space="preserve">como </w:t>
      </w:r>
      <w:r w:rsidR="00172EBB" w:rsidRPr="00C02C04">
        <w:rPr>
          <w:rFonts w:ascii="Century Gothic" w:hAnsi="Century Gothic" w:cs="Arial"/>
          <w:bCs/>
          <w:sz w:val="24"/>
          <w:szCs w:val="24"/>
        </w:rPr>
        <w:t xml:space="preserve">abogada de </w:t>
      </w:r>
      <w:r w:rsidR="00B728DC">
        <w:rPr>
          <w:rFonts w:ascii="Century Gothic" w:hAnsi="Century Gothic" w:cs="Arial"/>
          <w:b/>
          <w:bCs/>
          <w:sz w:val="24"/>
          <w:szCs w:val="24"/>
        </w:rPr>
        <w:t>ELIMINADO</w:t>
      </w:r>
      <w:r w:rsidR="00172EBB">
        <w:rPr>
          <w:rFonts w:ascii="Century Gothic" w:hAnsi="Century Gothic" w:cs="Arial"/>
          <w:b/>
          <w:bCs/>
          <w:sz w:val="24"/>
          <w:szCs w:val="24"/>
        </w:rPr>
        <w:t>.</w:t>
      </w:r>
    </w:p>
    <w:p w:rsidR="00132CFD" w:rsidRPr="00E84E50" w:rsidRDefault="00132CFD" w:rsidP="0016750C">
      <w:pPr>
        <w:pStyle w:val="Textoindependiente"/>
        <w:spacing w:before="240" w:after="240" w:line="360" w:lineRule="auto"/>
        <w:ind w:firstLine="851"/>
        <w:rPr>
          <w:rFonts w:ascii="Century Gothic" w:hAnsi="Century Gothic" w:cs="Arial"/>
          <w:bCs/>
          <w:sz w:val="24"/>
        </w:rPr>
      </w:pPr>
      <w:r w:rsidRPr="00E84E50">
        <w:rPr>
          <w:rFonts w:ascii="Century Gothic" w:hAnsi="Century Gothic" w:cs="Arial"/>
          <w:b/>
          <w:sz w:val="24"/>
        </w:rPr>
        <w:t xml:space="preserve">II.- Contestación de los agravios </w:t>
      </w:r>
    </w:p>
    <w:p w:rsidR="00132CFD" w:rsidRPr="003D26CC" w:rsidRDefault="0070388B" w:rsidP="0016750C">
      <w:pPr>
        <w:pStyle w:val="Textoindependiente"/>
        <w:spacing w:before="240" w:after="240" w:line="360" w:lineRule="auto"/>
        <w:ind w:firstLine="851"/>
        <w:rPr>
          <w:rFonts w:ascii="Century Gothic" w:hAnsi="Century Gothic" w:cs="Arial"/>
          <w:b/>
          <w:sz w:val="24"/>
        </w:rPr>
      </w:pPr>
      <w:r>
        <w:rPr>
          <w:rFonts w:ascii="Century Gothic" w:hAnsi="Century Gothic" w:cs="Arial"/>
          <w:sz w:val="24"/>
        </w:rPr>
        <w:t>Una vez analizado</w:t>
      </w:r>
      <w:r w:rsidR="00132CFD" w:rsidRPr="003D26CC">
        <w:rPr>
          <w:rFonts w:ascii="Century Gothic" w:hAnsi="Century Gothic" w:cs="Arial"/>
          <w:sz w:val="24"/>
        </w:rPr>
        <w:t xml:space="preserve">s las constancias que integran el recurso de queja, </w:t>
      </w:r>
      <w:r>
        <w:rPr>
          <w:rFonts w:ascii="Century Gothic" w:hAnsi="Century Gothic" w:cs="Arial"/>
          <w:sz w:val="24"/>
        </w:rPr>
        <w:t xml:space="preserve">para las y los integrantes de este </w:t>
      </w:r>
      <w:r w:rsidR="00132CFD" w:rsidRPr="003D26CC">
        <w:rPr>
          <w:rFonts w:ascii="Century Gothic" w:hAnsi="Century Gothic" w:cs="Arial"/>
          <w:sz w:val="24"/>
        </w:rPr>
        <w:t>este Tribunal actuando en Pleno determina</w:t>
      </w:r>
      <w:r>
        <w:rPr>
          <w:rFonts w:ascii="Century Gothic" w:hAnsi="Century Gothic" w:cs="Arial"/>
          <w:sz w:val="24"/>
        </w:rPr>
        <w:t>n</w:t>
      </w:r>
      <w:r w:rsidR="00132CFD" w:rsidRPr="003D26CC">
        <w:rPr>
          <w:rFonts w:ascii="Century Gothic" w:hAnsi="Century Gothic" w:cs="Arial"/>
          <w:sz w:val="24"/>
        </w:rPr>
        <w:t xml:space="preserve"> que </w:t>
      </w:r>
      <w:r w:rsidR="00132CFD">
        <w:rPr>
          <w:rFonts w:ascii="Century Gothic" w:hAnsi="Century Gothic" w:cs="Arial"/>
          <w:sz w:val="24"/>
        </w:rPr>
        <w:t xml:space="preserve">los agravios formulados por </w:t>
      </w:r>
      <w:r w:rsidR="00132CFD" w:rsidRPr="003D26CC">
        <w:rPr>
          <w:rFonts w:ascii="Century Gothic" w:hAnsi="Century Gothic" w:cs="Arial"/>
          <w:sz w:val="24"/>
        </w:rPr>
        <w:t>l</w:t>
      </w:r>
      <w:r w:rsidR="00132CFD">
        <w:rPr>
          <w:rFonts w:ascii="Century Gothic" w:hAnsi="Century Gothic" w:cs="Arial"/>
          <w:sz w:val="24"/>
        </w:rPr>
        <w:t>a</w:t>
      </w:r>
      <w:r w:rsidR="00132CFD" w:rsidRPr="003D26CC">
        <w:rPr>
          <w:rFonts w:ascii="Century Gothic" w:hAnsi="Century Gothic" w:cs="Arial"/>
          <w:sz w:val="24"/>
        </w:rPr>
        <w:t xml:space="preserve"> recurrente son </w:t>
      </w:r>
      <w:r w:rsidR="00132CFD" w:rsidRPr="003D26CC">
        <w:rPr>
          <w:rFonts w:ascii="Century Gothic" w:hAnsi="Century Gothic" w:cs="Arial"/>
          <w:b/>
          <w:sz w:val="24"/>
        </w:rPr>
        <w:t>in</w:t>
      </w:r>
      <w:r w:rsidR="00132CFD" w:rsidRPr="003D26CC">
        <w:rPr>
          <w:rFonts w:ascii="Century Gothic" w:hAnsi="Century Gothic" w:cs="Arial"/>
          <w:b/>
          <w:bCs/>
          <w:sz w:val="24"/>
        </w:rPr>
        <w:t>fundados</w:t>
      </w:r>
      <w:r>
        <w:rPr>
          <w:rFonts w:ascii="Century Gothic" w:hAnsi="Century Gothic" w:cs="Arial"/>
          <w:b/>
          <w:bCs/>
          <w:sz w:val="24"/>
        </w:rPr>
        <w:t xml:space="preserve"> </w:t>
      </w:r>
      <w:r w:rsidRPr="0070388B">
        <w:rPr>
          <w:rFonts w:ascii="Century Gothic" w:hAnsi="Century Gothic" w:cs="Arial"/>
          <w:bCs/>
          <w:sz w:val="24"/>
        </w:rPr>
        <w:t>por</w:t>
      </w:r>
      <w:r>
        <w:rPr>
          <w:rFonts w:ascii="Century Gothic" w:hAnsi="Century Gothic" w:cs="Arial"/>
          <w:b/>
          <w:bCs/>
          <w:sz w:val="24"/>
        </w:rPr>
        <w:t xml:space="preserve"> </w:t>
      </w:r>
      <w:r w:rsidRPr="0070388B">
        <w:rPr>
          <w:rFonts w:ascii="Century Gothic" w:hAnsi="Century Gothic" w:cs="Arial"/>
          <w:bCs/>
          <w:sz w:val="24"/>
        </w:rPr>
        <w:t>las razones que se examinarán a continuación</w:t>
      </w:r>
      <w:r w:rsidR="00132CFD" w:rsidRPr="003D26CC">
        <w:rPr>
          <w:rFonts w:ascii="Century Gothic" w:hAnsi="Century Gothic" w:cs="Arial"/>
          <w:b/>
          <w:bCs/>
          <w:sz w:val="24"/>
        </w:rPr>
        <w:t xml:space="preserve"> </w:t>
      </w:r>
      <w:r w:rsidR="00132CFD" w:rsidRPr="003D26CC">
        <w:rPr>
          <w:rFonts w:ascii="Century Gothic" w:hAnsi="Century Gothic" w:cs="Arial"/>
          <w:bCs/>
          <w:sz w:val="24"/>
        </w:rPr>
        <w:t xml:space="preserve">y traen como consecuencia la </w:t>
      </w:r>
      <w:r w:rsidR="00132CFD" w:rsidRPr="0070388B">
        <w:rPr>
          <w:rFonts w:ascii="Century Gothic" w:hAnsi="Century Gothic" w:cs="Arial"/>
          <w:b/>
          <w:bCs/>
          <w:sz w:val="24"/>
        </w:rPr>
        <w:t>confirmación</w:t>
      </w:r>
      <w:r w:rsidR="00132CFD" w:rsidRPr="003D26CC">
        <w:rPr>
          <w:rFonts w:ascii="Century Gothic" w:hAnsi="Century Gothic" w:cs="Arial"/>
          <w:bCs/>
          <w:sz w:val="24"/>
        </w:rPr>
        <w:t xml:space="preserve"> del auto impugnado.</w:t>
      </w:r>
    </w:p>
    <w:p w:rsidR="00406C8B" w:rsidRPr="003D26CC" w:rsidRDefault="00406C8B" w:rsidP="0016750C">
      <w:pPr>
        <w:pStyle w:val="Textoindependiente"/>
        <w:spacing w:before="240" w:after="240" w:line="360" w:lineRule="auto"/>
        <w:ind w:firstLine="851"/>
        <w:rPr>
          <w:rFonts w:ascii="Century Gothic" w:hAnsi="Century Gothic" w:cs="Arial"/>
          <w:b/>
          <w:sz w:val="24"/>
        </w:rPr>
      </w:pPr>
      <w:r w:rsidRPr="003D26CC">
        <w:rPr>
          <w:rFonts w:ascii="Century Gothic" w:hAnsi="Century Gothic" w:cs="Arial"/>
          <w:sz w:val="24"/>
        </w:rPr>
        <w:t xml:space="preserve">La </w:t>
      </w:r>
      <w:r>
        <w:rPr>
          <w:rFonts w:ascii="Century Gothic" w:hAnsi="Century Gothic" w:cs="Arial"/>
          <w:sz w:val="24"/>
        </w:rPr>
        <w:t>materia de</w:t>
      </w:r>
      <w:r w:rsidRPr="003D26CC">
        <w:rPr>
          <w:rFonts w:ascii="Century Gothic" w:hAnsi="Century Gothic" w:cs="Arial"/>
          <w:sz w:val="24"/>
        </w:rPr>
        <w:t xml:space="preserve"> agravio lo constituye la inadmisión del recurso de apelación propuesto por </w:t>
      </w:r>
      <w:r>
        <w:rPr>
          <w:rFonts w:ascii="Century Gothic" w:hAnsi="Century Gothic" w:cs="Arial"/>
          <w:sz w:val="24"/>
        </w:rPr>
        <w:t xml:space="preserve">el actor </w:t>
      </w:r>
      <w:r w:rsidRPr="003D26CC">
        <w:rPr>
          <w:rFonts w:ascii="Century Gothic" w:hAnsi="Century Gothic" w:cs="Arial"/>
          <w:sz w:val="24"/>
        </w:rPr>
        <w:t xml:space="preserve">contra la interlocutoria emitidas en ejecución de sentencia y que señala: </w:t>
      </w:r>
    </w:p>
    <w:p w:rsidR="00406C8B" w:rsidRPr="001A0997" w:rsidRDefault="00406C8B" w:rsidP="00406C8B">
      <w:pPr>
        <w:spacing w:after="120" w:line="240" w:lineRule="auto"/>
        <w:ind w:left="708" w:firstLine="851"/>
        <w:jc w:val="both"/>
        <w:rPr>
          <w:rFonts w:ascii="Century Gothic" w:hAnsi="Century Gothic"/>
          <w:i/>
        </w:rPr>
      </w:pPr>
      <w:r w:rsidRPr="003D26CC">
        <w:rPr>
          <w:rFonts w:ascii="Century Gothic" w:hAnsi="Century Gothic" w:cs="Arial"/>
          <w:sz w:val="20"/>
          <w:szCs w:val="20"/>
        </w:rPr>
        <w:lastRenderedPageBreak/>
        <w:t xml:space="preserve">“… </w:t>
      </w:r>
      <w:r w:rsidRPr="001A0997">
        <w:rPr>
          <w:rFonts w:ascii="Century Gothic" w:hAnsi="Century Gothic"/>
          <w:i/>
        </w:rPr>
        <w:t xml:space="preserve">y el segundo escrito signado por la Licenciada </w:t>
      </w:r>
      <w:r w:rsidR="00B728DC">
        <w:rPr>
          <w:rFonts w:ascii="Century Gothic" w:hAnsi="Century Gothic"/>
          <w:i/>
        </w:rPr>
        <w:t>ELIMINADO</w:t>
      </w:r>
      <w:r w:rsidRPr="001A0997">
        <w:rPr>
          <w:rFonts w:ascii="Century Gothic" w:hAnsi="Century Gothic"/>
          <w:i/>
        </w:rPr>
        <w:t xml:space="preserve">. Abogada patrona de </w:t>
      </w:r>
      <w:r w:rsidR="00B728DC">
        <w:rPr>
          <w:rFonts w:ascii="Century Gothic" w:hAnsi="Century Gothic"/>
          <w:i/>
        </w:rPr>
        <w:t>ELIMINADO</w:t>
      </w:r>
      <w:r w:rsidRPr="001A0997">
        <w:rPr>
          <w:rFonts w:ascii="Century Gothic" w:hAnsi="Century Gothic"/>
          <w:i/>
        </w:rPr>
        <w:t xml:space="preserve">; vistos sus contenidos, se acuerdan conjuntamente, al efecto </w:t>
      </w:r>
      <w:r w:rsidRPr="001A0997">
        <w:rPr>
          <w:rFonts w:ascii="Century Gothic" w:hAnsi="Century Gothic"/>
          <w:b/>
          <w:i/>
          <w:u w:val="single"/>
        </w:rPr>
        <w:t xml:space="preserve">se desecha el recurso interpuesto contra la resolución de 05 cinco de noviembre del año 2020 dos mil veinte, cuenta habida que se pronunció en la etapa de ejecución de sentencia y por ende, deviene irrecurrible; de tal suerte que, deviene evidentemente improcedente el recurso </w:t>
      </w:r>
      <w:proofErr w:type="gramStart"/>
      <w:r w:rsidRPr="001A0997">
        <w:rPr>
          <w:rFonts w:ascii="Century Gothic" w:hAnsi="Century Gothic"/>
          <w:b/>
          <w:i/>
          <w:u w:val="single"/>
        </w:rPr>
        <w:t>interpuesto.-</w:t>
      </w:r>
      <w:proofErr w:type="gramEnd"/>
      <w:r w:rsidRPr="001A0997">
        <w:rPr>
          <w:rFonts w:ascii="Century Gothic" w:hAnsi="Century Gothic"/>
          <w:b/>
          <w:i/>
          <w:u w:val="single"/>
        </w:rPr>
        <w:t xml:space="preserve"> Lo anterior de conformidad con los artículos 53, 70 y 1004 del Código de Procedimientos Civiles en el Estado.</w:t>
      </w:r>
    </w:p>
    <w:p w:rsidR="00406C8B" w:rsidRPr="003D26CC" w:rsidRDefault="00406C8B" w:rsidP="00406C8B">
      <w:pPr>
        <w:spacing w:before="240" w:after="240"/>
        <w:ind w:left="851" w:right="825"/>
        <w:jc w:val="both"/>
        <w:rPr>
          <w:rFonts w:ascii="Century Gothic" w:hAnsi="Century Gothic" w:cs="Arial"/>
          <w:bCs/>
          <w:i/>
          <w:sz w:val="20"/>
          <w:szCs w:val="20"/>
        </w:rPr>
      </w:pPr>
      <w:r w:rsidRPr="003D26CC">
        <w:rPr>
          <w:rFonts w:ascii="Century Gothic" w:hAnsi="Century Gothic" w:cs="Arial"/>
          <w:bCs/>
          <w:i/>
          <w:sz w:val="20"/>
          <w:szCs w:val="20"/>
        </w:rPr>
        <w:t xml:space="preserve"> </w:t>
      </w:r>
    </w:p>
    <w:p w:rsidR="00406C8B" w:rsidRDefault="00406C8B" w:rsidP="0016750C">
      <w:pPr>
        <w:tabs>
          <w:tab w:val="left" w:pos="-16160"/>
        </w:tabs>
        <w:spacing w:before="240" w:after="240" w:line="360" w:lineRule="auto"/>
        <w:ind w:firstLine="851"/>
        <w:jc w:val="both"/>
        <w:rPr>
          <w:rFonts w:ascii="Century Gothic" w:hAnsi="Century Gothic" w:cs="Arial"/>
          <w:sz w:val="24"/>
          <w:szCs w:val="24"/>
        </w:rPr>
      </w:pPr>
      <w:r w:rsidRPr="00406C8B">
        <w:rPr>
          <w:rFonts w:ascii="Century Gothic" w:hAnsi="Century Gothic" w:cs="Arial"/>
          <w:sz w:val="24"/>
          <w:szCs w:val="24"/>
        </w:rPr>
        <w:t xml:space="preserve">En esencia, el </w:t>
      </w:r>
      <w:r w:rsidRPr="00406C8B">
        <w:rPr>
          <w:rFonts w:ascii="Century Gothic" w:hAnsi="Century Gothic" w:cs="Arial"/>
          <w:b/>
          <w:i/>
          <w:sz w:val="24"/>
          <w:szCs w:val="24"/>
        </w:rPr>
        <w:t>a quo</w:t>
      </w:r>
      <w:r w:rsidRPr="00406C8B">
        <w:rPr>
          <w:rFonts w:ascii="Century Gothic" w:hAnsi="Century Gothic" w:cs="Arial"/>
          <w:sz w:val="24"/>
          <w:szCs w:val="24"/>
        </w:rPr>
        <w:t xml:space="preserve"> </w:t>
      </w:r>
      <w:r w:rsidR="0070388B">
        <w:rPr>
          <w:rFonts w:ascii="Century Gothic" w:hAnsi="Century Gothic" w:cs="Arial"/>
          <w:sz w:val="24"/>
          <w:szCs w:val="24"/>
        </w:rPr>
        <w:t xml:space="preserve">denegó la admisión del mencionado recurso en razón de que </w:t>
      </w:r>
      <w:r w:rsidRPr="0070388B">
        <w:rPr>
          <w:rFonts w:ascii="Century Gothic" w:hAnsi="Century Gothic" w:cs="Arial"/>
          <w:sz w:val="24"/>
          <w:szCs w:val="24"/>
        </w:rPr>
        <w:t xml:space="preserve">acorde con lo previsto en los referidos preceptos de la legislación procesal, </w:t>
      </w:r>
      <w:r w:rsidR="0070388B">
        <w:rPr>
          <w:rFonts w:ascii="Century Gothic" w:hAnsi="Century Gothic" w:cs="Arial"/>
          <w:sz w:val="24"/>
          <w:szCs w:val="24"/>
        </w:rPr>
        <w:t xml:space="preserve">en la etapa de ejecución de sentencia no se admite recurso </w:t>
      </w:r>
      <w:r w:rsidR="00681E8F">
        <w:rPr>
          <w:rFonts w:ascii="Century Gothic" w:hAnsi="Century Gothic" w:cs="Arial"/>
          <w:sz w:val="24"/>
          <w:szCs w:val="24"/>
        </w:rPr>
        <w:t>algu</w:t>
      </w:r>
      <w:r w:rsidR="0070388B">
        <w:rPr>
          <w:rFonts w:ascii="Century Gothic" w:hAnsi="Century Gothic" w:cs="Arial"/>
          <w:sz w:val="24"/>
          <w:szCs w:val="24"/>
        </w:rPr>
        <w:t>n</w:t>
      </w:r>
      <w:r w:rsidR="00681E8F">
        <w:rPr>
          <w:rFonts w:ascii="Century Gothic" w:hAnsi="Century Gothic" w:cs="Arial"/>
          <w:sz w:val="24"/>
          <w:szCs w:val="24"/>
        </w:rPr>
        <w:t>o</w:t>
      </w:r>
      <w:r w:rsidR="0070388B">
        <w:rPr>
          <w:rFonts w:ascii="Century Gothic" w:hAnsi="Century Gothic" w:cs="Arial"/>
          <w:sz w:val="24"/>
          <w:szCs w:val="24"/>
        </w:rPr>
        <w:t>, y en el caso que nos ocupa, el auto que se presente impugnar lo es en ejecución de sentencia</w:t>
      </w:r>
      <w:r w:rsidR="008F15D2">
        <w:rPr>
          <w:rFonts w:ascii="Century Gothic" w:hAnsi="Century Gothic" w:cs="Arial"/>
          <w:sz w:val="24"/>
          <w:szCs w:val="24"/>
        </w:rPr>
        <w:t xml:space="preserve">. </w:t>
      </w:r>
    </w:p>
    <w:p w:rsidR="00681E8F" w:rsidRDefault="00681E8F" w:rsidP="0016750C">
      <w:pPr>
        <w:pStyle w:val="Normal1"/>
        <w:spacing w:before="240" w:after="240" w:line="360" w:lineRule="auto"/>
        <w:ind w:firstLine="851"/>
        <w:jc w:val="both"/>
        <w:rPr>
          <w:rFonts w:ascii="Century Gothic" w:hAnsi="Century Gothic" w:cs="Arial"/>
        </w:rPr>
      </w:pPr>
      <w:r>
        <w:rPr>
          <w:rFonts w:ascii="Century Gothic" w:hAnsi="Century Gothic" w:cs="Arial"/>
        </w:rPr>
        <w:t>Contra dicha determinación la quejosa</w:t>
      </w:r>
      <w:r w:rsidRPr="003D26CC">
        <w:rPr>
          <w:rFonts w:ascii="Century Gothic" w:hAnsi="Century Gothic" w:cs="Arial"/>
        </w:rPr>
        <w:t xml:space="preserve"> hace valer</w:t>
      </w:r>
      <w:r>
        <w:rPr>
          <w:rFonts w:ascii="Century Gothic" w:hAnsi="Century Gothic" w:cs="Arial"/>
        </w:rPr>
        <w:t xml:space="preserve"> como agravio </w:t>
      </w:r>
      <w:r w:rsidRPr="003D26CC">
        <w:rPr>
          <w:rFonts w:ascii="Century Gothic" w:hAnsi="Century Gothic" w:cs="Arial"/>
        </w:rPr>
        <w:t>que,</w:t>
      </w:r>
      <w:r>
        <w:rPr>
          <w:rFonts w:ascii="Century Gothic" w:hAnsi="Century Gothic" w:cs="Arial"/>
        </w:rPr>
        <w:t xml:space="preserve"> al haberse tramitado la planilla conforme a las reglas que establece el artículo 991 de la Ley Adjetiva Civil, éste se tramitó en forma de incidente, por lo que sí procedía el recurso de apelación en contra de dicha interlocutoria ya que así lo estipulaba el Código de Procedimientos Civiles, aunado a que eran alimentos y son una prioridad. </w:t>
      </w:r>
    </w:p>
    <w:p w:rsidR="00077EE4" w:rsidRDefault="00077EE4" w:rsidP="0016750C">
      <w:pPr>
        <w:spacing w:line="360" w:lineRule="auto"/>
        <w:ind w:firstLine="851"/>
        <w:jc w:val="both"/>
        <w:rPr>
          <w:rFonts w:ascii="Century Gothic" w:hAnsi="Century Gothic"/>
          <w:sz w:val="24"/>
          <w:szCs w:val="24"/>
        </w:rPr>
      </w:pPr>
      <w:r>
        <w:rPr>
          <w:rFonts w:ascii="Century Gothic" w:hAnsi="Century Gothic"/>
          <w:sz w:val="24"/>
          <w:szCs w:val="24"/>
        </w:rPr>
        <w:t xml:space="preserve">Ahora bien, con el objeto de resolver la Litis planteada, resulta necesario precisar que el Código de Procedimientos Civiles, en sus artículos 991 y 1004, que corresponden al Título Décimo Cuarto que se denomina </w:t>
      </w:r>
      <w:r w:rsidRPr="00172EBB">
        <w:rPr>
          <w:rFonts w:ascii="Century Gothic" w:hAnsi="Century Gothic"/>
          <w:b/>
          <w:sz w:val="24"/>
          <w:szCs w:val="24"/>
        </w:rPr>
        <w:t>“De la ejecución de Sentencias”</w:t>
      </w:r>
      <w:r>
        <w:rPr>
          <w:rFonts w:ascii="Century Gothic" w:hAnsi="Century Gothic"/>
          <w:sz w:val="24"/>
          <w:szCs w:val="24"/>
        </w:rPr>
        <w:t xml:space="preserve"> expone lo siguiente: </w:t>
      </w:r>
    </w:p>
    <w:p w:rsidR="00172EBB" w:rsidRPr="00A73148" w:rsidRDefault="00172EBB" w:rsidP="00172EBB">
      <w:pPr>
        <w:tabs>
          <w:tab w:val="left" w:pos="-16160"/>
        </w:tabs>
        <w:spacing w:after="120" w:line="240" w:lineRule="auto"/>
        <w:ind w:left="709" w:right="-23"/>
        <w:jc w:val="both"/>
        <w:rPr>
          <w:rFonts w:ascii="Century Gothic" w:hAnsi="Century Gothic" w:cs="Arial"/>
        </w:rPr>
      </w:pPr>
      <w:r w:rsidRPr="00A73148">
        <w:rPr>
          <w:rFonts w:ascii="Century Gothic" w:hAnsi="Century Gothic" w:cs="Arial"/>
          <w:b/>
        </w:rPr>
        <w:t>“Artículo 991</w:t>
      </w:r>
      <w:r w:rsidRPr="00A73148">
        <w:rPr>
          <w:rFonts w:ascii="Century Gothic" w:hAnsi="Century Gothic" w:cs="Arial"/>
        </w:rPr>
        <w:t>. Si la sentencia no contiene cantidad líquida, la parte a cuyo favor se pronunció, al promover la ejecución presentará su liquidación de la cual se dará vista por tres días a la parte condenada. Si ésta nada expone dentro del término fijado, se decretará la ejecución por la cantidad que importe la liquidación, más si manifestare inconformidad, ésta se tramitará en la forma de incidente”</w:t>
      </w:r>
    </w:p>
    <w:p w:rsidR="00172EBB" w:rsidRDefault="00172EBB" w:rsidP="00077EE4">
      <w:pPr>
        <w:tabs>
          <w:tab w:val="left" w:pos="-16160"/>
        </w:tabs>
        <w:spacing w:after="120" w:line="240" w:lineRule="auto"/>
        <w:ind w:left="709" w:right="-23"/>
        <w:jc w:val="both"/>
        <w:rPr>
          <w:rFonts w:ascii="Century Gothic" w:hAnsi="Century Gothic" w:cs="Arial"/>
          <w:b/>
          <w:sz w:val="20"/>
          <w:szCs w:val="20"/>
        </w:rPr>
      </w:pPr>
    </w:p>
    <w:p w:rsidR="00077EE4" w:rsidRDefault="00077EE4" w:rsidP="00614467">
      <w:pPr>
        <w:tabs>
          <w:tab w:val="left" w:pos="-16160"/>
        </w:tabs>
        <w:spacing w:after="120" w:line="240" w:lineRule="auto"/>
        <w:ind w:left="709" w:right="-23"/>
        <w:jc w:val="both"/>
        <w:rPr>
          <w:rFonts w:ascii="Century Gothic" w:hAnsi="Century Gothic" w:cs="Arial"/>
          <w:b/>
          <w:u w:val="single"/>
        </w:rPr>
      </w:pPr>
      <w:r w:rsidRPr="00A73148">
        <w:rPr>
          <w:rFonts w:ascii="Century Gothic" w:hAnsi="Century Gothic" w:cs="Arial"/>
          <w:b/>
        </w:rPr>
        <w:t>“Artículo 1004</w:t>
      </w:r>
      <w:r w:rsidRPr="00A73148">
        <w:rPr>
          <w:rFonts w:ascii="Century Gothic" w:hAnsi="Century Gothic" w:cs="Arial"/>
        </w:rPr>
        <w:t xml:space="preserve">. Contra las resoluciones dictadas en ejecución de sentencia, no se admitirá recurso alguno. </w:t>
      </w:r>
      <w:r w:rsidRPr="00A73148">
        <w:rPr>
          <w:rFonts w:ascii="Century Gothic" w:hAnsi="Century Gothic" w:cs="Arial"/>
          <w:b/>
          <w:u w:val="single"/>
        </w:rPr>
        <w:t xml:space="preserve">Si fuere interlocutoria será procedente la queja ante el superior.” </w:t>
      </w:r>
    </w:p>
    <w:p w:rsidR="006D7431" w:rsidRDefault="006D7431" w:rsidP="00614467">
      <w:pPr>
        <w:tabs>
          <w:tab w:val="left" w:pos="-16160"/>
        </w:tabs>
        <w:spacing w:after="120" w:line="240" w:lineRule="auto"/>
        <w:ind w:left="709" w:right="-23"/>
        <w:jc w:val="both"/>
        <w:rPr>
          <w:rFonts w:ascii="Century Gothic" w:hAnsi="Century Gothic" w:cs="Arial"/>
          <w:b/>
          <w:u w:val="single"/>
        </w:rPr>
      </w:pPr>
    </w:p>
    <w:p w:rsidR="00614467" w:rsidRDefault="006D7431" w:rsidP="0016750C">
      <w:pPr>
        <w:tabs>
          <w:tab w:val="left" w:pos="-16160"/>
        </w:tabs>
        <w:spacing w:after="120" w:line="360" w:lineRule="auto"/>
        <w:ind w:right="-23" w:firstLine="851"/>
        <w:jc w:val="both"/>
        <w:rPr>
          <w:rFonts w:ascii="Century Gothic" w:hAnsi="Century Gothic" w:cs="Arial"/>
          <w:sz w:val="24"/>
          <w:szCs w:val="24"/>
        </w:rPr>
      </w:pPr>
      <w:r w:rsidRPr="006D7431">
        <w:rPr>
          <w:rFonts w:ascii="Century Gothic" w:hAnsi="Century Gothic" w:cs="Arial"/>
          <w:sz w:val="24"/>
          <w:szCs w:val="24"/>
        </w:rPr>
        <w:t xml:space="preserve">De conformidad con lo antes transcrito, en caso de que una resolución prevea una </w:t>
      </w:r>
      <w:r>
        <w:rPr>
          <w:rFonts w:ascii="Century Gothic" w:hAnsi="Century Gothic" w:cs="Arial"/>
          <w:sz w:val="24"/>
          <w:szCs w:val="24"/>
        </w:rPr>
        <w:t xml:space="preserve">condena que se traduzca en el pago de cantidades de dinero, pero que no establezca de manera específica a cuánto asciende lo que tiene que pagar quien perdió existe un procedimiento, caracterizado por su brevedad, que tiene por objeto </w:t>
      </w:r>
      <w:r>
        <w:rPr>
          <w:rFonts w:ascii="Century Gothic" w:hAnsi="Century Gothic" w:cs="Arial"/>
          <w:sz w:val="24"/>
          <w:szCs w:val="24"/>
        </w:rPr>
        <w:lastRenderedPageBreak/>
        <w:t>lograr la determinación de las cantidades o, en otras palabras, la liquidación.</w:t>
      </w:r>
    </w:p>
    <w:p w:rsidR="006D7431" w:rsidRPr="006D7431" w:rsidRDefault="006D7431" w:rsidP="0016750C">
      <w:pPr>
        <w:tabs>
          <w:tab w:val="left" w:pos="-16160"/>
        </w:tabs>
        <w:spacing w:after="120" w:line="360" w:lineRule="auto"/>
        <w:ind w:right="-23" w:firstLine="851"/>
        <w:jc w:val="both"/>
        <w:rPr>
          <w:rFonts w:ascii="Century Gothic" w:hAnsi="Century Gothic" w:cs="Arial"/>
          <w:sz w:val="24"/>
          <w:szCs w:val="24"/>
        </w:rPr>
      </w:pPr>
      <w:r>
        <w:rPr>
          <w:rFonts w:ascii="Century Gothic" w:hAnsi="Century Gothic" w:cs="Arial"/>
          <w:sz w:val="24"/>
          <w:szCs w:val="24"/>
        </w:rPr>
        <w:t>Así, según el artículo 991 mencionado, el procedimiento correspondiente inicia a partir de una solicitud de la parte que ganó el juicio, en la cual la misma le hace saber al juez a cuánto, según su criterio, asciende la condena respectiva</w:t>
      </w:r>
      <w:r w:rsidR="009604A1">
        <w:rPr>
          <w:rFonts w:ascii="Century Gothic" w:hAnsi="Century Gothic" w:cs="Arial"/>
          <w:sz w:val="24"/>
          <w:szCs w:val="24"/>
        </w:rPr>
        <w:t>, enseguida, con el objeto de que la parte que resulta condenada tenga la oportunidad de oponerse a lo que solicita quien ganó, se le otorga un plazo de tres días para que manifieste lo que a su derecho convenga, para lo cual, nuestra legislación establece la oportunidad que tiene la parte condenada para manifestar, en el plazo concedido, su conformidad, o bien, su desacuerdo con la liquidación de la sentencia formulada por aquélla a cuyo favor se pronunció la sentencia correspondiente, con la consecuencia de que en caso de no hacer manifestación alguna, el Juez decretará la ejecución por la cantidad que importe la liquidación; por el contrario, si manifiesta su inconformidad, el Juzgador de oficio, le dará trámite en forma de incidente.</w:t>
      </w:r>
    </w:p>
    <w:p w:rsidR="00172EBB" w:rsidRDefault="009604A1" w:rsidP="00614467">
      <w:pPr>
        <w:tabs>
          <w:tab w:val="left" w:pos="-16160"/>
        </w:tabs>
        <w:spacing w:before="240" w:after="240" w:line="360" w:lineRule="auto"/>
        <w:ind w:firstLine="851"/>
        <w:jc w:val="both"/>
        <w:rPr>
          <w:rFonts w:ascii="Century Gothic" w:hAnsi="Century Gothic" w:cs="Arial"/>
          <w:sz w:val="24"/>
          <w:szCs w:val="24"/>
        </w:rPr>
      </w:pPr>
      <w:r>
        <w:rPr>
          <w:rFonts w:ascii="Century Gothic" w:hAnsi="Century Gothic" w:cs="Arial"/>
          <w:sz w:val="24"/>
          <w:szCs w:val="24"/>
        </w:rPr>
        <w:t>Ahora bien</w:t>
      </w:r>
      <w:r w:rsidR="00614467">
        <w:rPr>
          <w:rFonts w:ascii="Century Gothic" w:hAnsi="Century Gothic" w:cs="Arial"/>
          <w:sz w:val="24"/>
          <w:szCs w:val="24"/>
        </w:rPr>
        <w:t xml:space="preserve">, es de destacarse que </w:t>
      </w:r>
      <w:r w:rsidR="00614467" w:rsidRPr="00443F4E">
        <w:rPr>
          <w:rFonts w:ascii="Century Gothic" w:hAnsi="Century Gothic" w:cs="Arial"/>
          <w:sz w:val="24"/>
          <w:szCs w:val="24"/>
        </w:rPr>
        <w:t>el artículo 1004 establece una regulación especial, respe</w:t>
      </w:r>
      <w:r w:rsidR="00614467">
        <w:rPr>
          <w:rFonts w:ascii="Century Gothic" w:hAnsi="Century Gothic" w:cs="Arial"/>
          <w:sz w:val="24"/>
          <w:szCs w:val="24"/>
        </w:rPr>
        <w:t>c</w:t>
      </w:r>
      <w:r w:rsidR="00614467" w:rsidRPr="00443F4E">
        <w:rPr>
          <w:rFonts w:ascii="Century Gothic" w:hAnsi="Century Gothic" w:cs="Arial"/>
          <w:sz w:val="24"/>
          <w:szCs w:val="24"/>
        </w:rPr>
        <w:t>to de aquellas resoluciones que se encuentren encaminadas a ejecutar la sentencia, al señalar que en su c</w:t>
      </w:r>
      <w:r w:rsidR="00614467">
        <w:rPr>
          <w:rFonts w:ascii="Century Gothic" w:hAnsi="Century Gothic" w:cs="Arial"/>
          <w:sz w:val="24"/>
          <w:szCs w:val="24"/>
        </w:rPr>
        <w:t xml:space="preserve">ontra no procede recurso alguno, pero si se </w:t>
      </w:r>
      <w:r w:rsidR="00172EBB" w:rsidRPr="00443F4E">
        <w:rPr>
          <w:rFonts w:ascii="Century Gothic" w:hAnsi="Century Gothic" w:cs="Arial"/>
          <w:sz w:val="24"/>
          <w:szCs w:val="24"/>
        </w:rPr>
        <w:t>trata de sentencias interlocutorias, entonces procederá el recurso de queja, lo cual se encuentra en armonía c</w:t>
      </w:r>
      <w:r w:rsidR="00172EBB">
        <w:rPr>
          <w:rFonts w:ascii="Century Gothic" w:hAnsi="Century Gothic" w:cs="Arial"/>
          <w:sz w:val="24"/>
          <w:szCs w:val="24"/>
        </w:rPr>
        <w:t xml:space="preserve">on el artículo 971, fracción </w:t>
      </w:r>
      <w:r w:rsidR="00172EBB" w:rsidRPr="00523B61">
        <w:rPr>
          <w:rFonts w:ascii="Century Gothic" w:hAnsi="Century Gothic" w:cs="Arial"/>
          <w:sz w:val="24"/>
          <w:szCs w:val="24"/>
        </w:rPr>
        <w:t>II,</w:t>
      </w:r>
      <w:r w:rsidR="00172EBB">
        <w:rPr>
          <w:rFonts w:ascii="Century Gothic" w:hAnsi="Century Gothic" w:cs="Arial"/>
          <w:sz w:val="24"/>
          <w:szCs w:val="24"/>
        </w:rPr>
        <w:t xml:space="preserve"> de la Ley Adjetiva Civil, que dicta:</w:t>
      </w:r>
    </w:p>
    <w:p w:rsidR="00172EBB" w:rsidRPr="00077EE4" w:rsidRDefault="00172EBB" w:rsidP="00A73148">
      <w:pPr>
        <w:tabs>
          <w:tab w:val="left" w:pos="-16160"/>
        </w:tabs>
        <w:spacing w:before="240" w:after="240" w:line="240" w:lineRule="auto"/>
        <w:ind w:firstLine="851"/>
        <w:jc w:val="both"/>
        <w:rPr>
          <w:rFonts w:ascii="Century Gothic" w:hAnsi="Century Gothic" w:cs="Arial"/>
          <w:b/>
        </w:rPr>
      </w:pPr>
      <w:r w:rsidRPr="00077EE4">
        <w:rPr>
          <w:rFonts w:ascii="Century Gothic" w:hAnsi="Century Gothic" w:cs="Arial"/>
          <w:b/>
        </w:rPr>
        <w:t>“El recurso de queja procederá:</w:t>
      </w:r>
    </w:p>
    <w:p w:rsidR="00172EBB" w:rsidRDefault="00172EBB" w:rsidP="00A73148">
      <w:pPr>
        <w:tabs>
          <w:tab w:val="left" w:pos="-16160"/>
        </w:tabs>
        <w:spacing w:before="240" w:after="240" w:line="240" w:lineRule="auto"/>
        <w:ind w:left="851"/>
        <w:jc w:val="both"/>
        <w:rPr>
          <w:rFonts w:ascii="Century Gothic" w:hAnsi="Century Gothic" w:cs="Arial"/>
          <w:b/>
        </w:rPr>
      </w:pPr>
      <w:r w:rsidRPr="00DD4204">
        <w:rPr>
          <w:rFonts w:ascii="Century Gothic" w:hAnsi="Century Gothic" w:cs="Arial"/>
          <w:b/>
        </w:rPr>
        <w:t>“Respecto de las interlocutorias dictadas en la ejecución de sentencias…”.</w:t>
      </w:r>
    </w:p>
    <w:p w:rsidR="00614467" w:rsidRDefault="00614467" w:rsidP="006A03AE">
      <w:pPr>
        <w:tabs>
          <w:tab w:val="left" w:pos="-16160"/>
        </w:tabs>
        <w:spacing w:before="240" w:after="240" w:line="360" w:lineRule="auto"/>
        <w:ind w:firstLine="851"/>
        <w:jc w:val="both"/>
        <w:rPr>
          <w:rFonts w:ascii="Century Gothic" w:hAnsi="Century Gothic" w:cs="Arial"/>
          <w:sz w:val="24"/>
          <w:szCs w:val="24"/>
        </w:rPr>
      </w:pPr>
    </w:p>
    <w:p w:rsidR="006A03AE" w:rsidRPr="00443F4E" w:rsidRDefault="006A03AE" w:rsidP="006A03AE">
      <w:pPr>
        <w:tabs>
          <w:tab w:val="left" w:pos="-16160"/>
        </w:tabs>
        <w:spacing w:before="240" w:after="240" w:line="360" w:lineRule="auto"/>
        <w:ind w:firstLine="851"/>
        <w:jc w:val="both"/>
        <w:rPr>
          <w:rFonts w:ascii="Century Gothic" w:hAnsi="Century Gothic" w:cs="Arial"/>
          <w:sz w:val="24"/>
          <w:szCs w:val="24"/>
        </w:rPr>
      </w:pPr>
      <w:r w:rsidRPr="00443F4E">
        <w:rPr>
          <w:rFonts w:ascii="Century Gothic" w:hAnsi="Century Gothic" w:cs="Arial"/>
          <w:sz w:val="24"/>
          <w:szCs w:val="24"/>
        </w:rPr>
        <w:t xml:space="preserve">Dicho esto, tenemos que, en la especie, la resolución contra la cual se interpuso el recurso de apelación es una interlocutoria que resolvió </w:t>
      </w:r>
      <w:r>
        <w:rPr>
          <w:rFonts w:ascii="Century Gothic" w:hAnsi="Century Gothic" w:cs="Arial"/>
          <w:sz w:val="24"/>
          <w:szCs w:val="24"/>
        </w:rPr>
        <w:t>un</w:t>
      </w:r>
      <w:r w:rsidRPr="00443F4E">
        <w:rPr>
          <w:rFonts w:ascii="Century Gothic" w:hAnsi="Century Gothic" w:cs="Arial"/>
          <w:sz w:val="24"/>
          <w:szCs w:val="24"/>
        </w:rPr>
        <w:t xml:space="preserve"> incidente de </w:t>
      </w:r>
      <w:r>
        <w:rPr>
          <w:rFonts w:ascii="Century Gothic" w:hAnsi="Century Gothic" w:cs="Arial"/>
          <w:sz w:val="24"/>
          <w:szCs w:val="24"/>
        </w:rPr>
        <w:t xml:space="preserve">liquidación de pensiones alimenticias, </w:t>
      </w:r>
      <w:r w:rsidRPr="00443F4E">
        <w:rPr>
          <w:rFonts w:ascii="Century Gothic" w:hAnsi="Century Gothic" w:cs="Arial"/>
          <w:sz w:val="24"/>
          <w:szCs w:val="24"/>
        </w:rPr>
        <w:t xml:space="preserve">en etapa de ejecución de sentencia, por tanto, sigue la regla especial de los artículos </w:t>
      </w:r>
      <w:r w:rsidR="00A73148">
        <w:rPr>
          <w:rFonts w:ascii="Century Gothic" w:hAnsi="Century Gothic" w:cs="Arial"/>
          <w:sz w:val="24"/>
          <w:szCs w:val="24"/>
        </w:rPr>
        <w:t xml:space="preserve">971, fracción II, </w:t>
      </w:r>
      <w:r w:rsidR="00077EE4">
        <w:rPr>
          <w:rFonts w:ascii="Century Gothic" w:hAnsi="Century Gothic" w:cs="Arial"/>
          <w:sz w:val="24"/>
          <w:szCs w:val="24"/>
        </w:rPr>
        <w:t>991 y</w:t>
      </w:r>
      <w:r w:rsidRPr="00443F4E">
        <w:rPr>
          <w:rFonts w:ascii="Century Gothic" w:hAnsi="Century Gothic" w:cs="Arial"/>
          <w:sz w:val="24"/>
          <w:szCs w:val="24"/>
        </w:rPr>
        <w:t xml:space="preserve"> 1004 de</w:t>
      </w:r>
      <w:r w:rsidR="00614467">
        <w:rPr>
          <w:rFonts w:ascii="Century Gothic" w:hAnsi="Century Gothic" w:cs="Arial"/>
          <w:sz w:val="24"/>
          <w:szCs w:val="24"/>
        </w:rPr>
        <w:t xml:space="preserve">l Código de Procedimientos Civiles vigente en el Estado. </w:t>
      </w:r>
    </w:p>
    <w:p w:rsidR="00A73148" w:rsidRPr="00A73148" w:rsidRDefault="00A73148" w:rsidP="00A73148">
      <w:pPr>
        <w:spacing w:line="360" w:lineRule="auto"/>
        <w:ind w:firstLine="708"/>
        <w:jc w:val="both"/>
        <w:rPr>
          <w:rFonts w:ascii="Century Gothic" w:hAnsi="Century Gothic" w:cs="Arial"/>
          <w:b/>
          <w:sz w:val="24"/>
          <w:szCs w:val="24"/>
        </w:rPr>
      </w:pPr>
      <w:r>
        <w:rPr>
          <w:rFonts w:ascii="Century Gothic" w:hAnsi="Century Gothic" w:cs="Arial"/>
          <w:sz w:val="24"/>
          <w:szCs w:val="24"/>
        </w:rPr>
        <w:lastRenderedPageBreak/>
        <w:t>L</w:t>
      </w:r>
      <w:r w:rsidRPr="00A73148">
        <w:rPr>
          <w:rFonts w:ascii="Century Gothic" w:hAnsi="Century Gothic" w:cs="Arial"/>
          <w:sz w:val="24"/>
          <w:szCs w:val="24"/>
        </w:rPr>
        <w:t>a circunstancia de que el incidente se hubiere tramitado conforme a las reglas que establece el artículo 991 de la Ley Adjetiva Civil, no conlleva por sí a la procedencia del recurso de apelación; en razón de que a la luz de los artículos invocados, se colige que la aplicación de tales normas tratándose de incidentes propuestos en términos del artículo 991 de la ley procesal en cita para liquidar la sentencia que no contienen cantidad líquida, son a efecto de regular la tramitación de la oposición al incidente, más no generan el acceso al recurso de apelación en contra de la interlocutoria que recaiga a ese incidente en ejecución de sentencia, sino que, en términos del artículo 782 invocado, las resoluciones incident</w:t>
      </w:r>
      <w:r w:rsidR="00941AAB">
        <w:rPr>
          <w:rFonts w:ascii="Century Gothic" w:hAnsi="Century Gothic" w:cs="Arial"/>
          <w:sz w:val="24"/>
          <w:szCs w:val="24"/>
        </w:rPr>
        <w:t>al</w:t>
      </w:r>
      <w:r w:rsidRPr="00A73148">
        <w:rPr>
          <w:rFonts w:ascii="Century Gothic" w:hAnsi="Century Gothic" w:cs="Arial"/>
          <w:sz w:val="24"/>
          <w:szCs w:val="24"/>
        </w:rPr>
        <w:t>es que son apelables, en los casos en que lo fuere la sentencia en lo principal, son respecto de aquellos que se promueven durante el curso del juicio y antes del dictado de la sentencia de primera instancia, más no las resoluciones interlocutorias que recaigan a un Incidente de liquidación de sentencia respecto a l</w:t>
      </w:r>
      <w:r>
        <w:rPr>
          <w:rFonts w:ascii="Century Gothic" w:hAnsi="Century Gothic" w:cs="Arial"/>
          <w:sz w:val="24"/>
          <w:szCs w:val="24"/>
        </w:rPr>
        <w:t>as pensiones alimenticias</w:t>
      </w:r>
      <w:r w:rsidRPr="00A73148">
        <w:rPr>
          <w:rFonts w:ascii="Century Gothic" w:hAnsi="Century Gothic" w:cs="Arial"/>
          <w:sz w:val="24"/>
          <w:szCs w:val="24"/>
        </w:rPr>
        <w:t xml:space="preserve">, como el que promovió el actor </w:t>
      </w:r>
      <w:r w:rsidR="00B728DC">
        <w:rPr>
          <w:rFonts w:ascii="Century Gothic" w:hAnsi="Century Gothic" w:cs="Arial"/>
          <w:b/>
          <w:bCs/>
          <w:sz w:val="24"/>
          <w:szCs w:val="24"/>
        </w:rPr>
        <w:t>ELIMINADO</w:t>
      </w:r>
      <w:r w:rsidRPr="00A73148">
        <w:rPr>
          <w:rFonts w:ascii="Century Gothic" w:hAnsi="Century Gothic" w:cs="Arial"/>
          <w:b/>
          <w:sz w:val="24"/>
          <w:szCs w:val="24"/>
        </w:rPr>
        <w:t>.</w:t>
      </w:r>
    </w:p>
    <w:p w:rsidR="009604A1" w:rsidRDefault="009604A1" w:rsidP="009604A1">
      <w:pPr>
        <w:pStyle w:val="Normal0"/>
        <w:spacing w:after="120" w:line="360" w:lineRule="auto"/>
        <w:ind w:firstLine="851"/>
        <w:jc w:val="both"/>
        <w:rPr>
          <w:rFonts w:ascii="Century Gothic" w:hAnsi="Century Gothic"/>
        </w:rPr>
      </w:pPr>
      <w:r w:rsidRPr="004225FD">
        <w:rPr>
          <w:rFonts w:ascii="Century Gothic" w:hAnsi="Century Gothic"/>
        </w:rPr>
        <w:t xml:space="preserve">Es decir, la naturaleza de la interlocutoria no condiciona la procedencia del recurso de apelación, pues de acuerdo con la literalidad de los preceptos que lo regulan, basta con que una resolución de esa índole sea emitida en la etapa de ejecución de sentencia, para que se surta la posibilidad de combatirla, a través del tal medio de impugnación a que se refieren los numerales 971 y 1004 del Código Procesal Civil vigente para el Estado. </w:t>
      </w:r>
    </w:p>
    <w:p w:rsidR="00A73148" w:rsidRPr="00EB7319" w:rsidRDefault="00A73148" w:rsidP="00EB7319">
      <w:pPr>
        <w:spacing w:line="360" w:lineRule="auto"/>
        <w:ind w:firstLine="708"/>
        <w:jc w:val="both"/>
        <w:rPr>
          <w:rFonts w:ascii="Century Gothic" w:hAnsi="Century Gothic" w:cs="Arial"/>
          <w:sz w:val="24"/>
          <w:szCs w:val="24"/>
        </w:rPr>
      </w:pPr>
      <w:r w:rsidRPr="00EB7319">
        <w:rPr>
          <w:rFonts w:ascii="Century Gothic" w:hAnsi="Century Gothic" w:cs="Arial"/>
          <w:sz w:val="24"/>
          <w:szCs w:val="24"/>
        </w:rPr>
        <w:t xml:space="preserve">En efecto, a la luz del artículo 1004 del Código Procesal Civil invocado por el A quo en su proveído, es claro que contra las resoluciones dictadas en ejecución de sentencia, no se admitirá recurso alguno, salvo que fuere interlocutoria, en cuyo caso será procedente la queja ante el superior, y en el presente caso la resolución de </w:t>
      </w:r>
      <w:r w:rsidR="00EB7319">
        <w:rPr>
          <w:rFonts w:ascii="Century Gothic" w:hAnsi="Century Gothic" w:cs="Arial"/>
          <w:sz w:val="24"/>
          <w:szCs w:val="24"/>
        </w:rPr>
        <w:t xml:space="preserve">05 cinco de noviembre de 2020 dos mil veinte </w:t>
      </w:r>
      <w:r w:rsidRPr="00EB7319">
        <w:rPr>
          <w:rFonts w:ascii="Century Gothic" w:hAnsi="Century Gothic" w:cs="Arial"/>
          <w:sz w:val="24"/>
          <w:szCs w:val="24"/>
        </w:rPr>
        <w:t xml:space="preserve">que declaró improcedente la planilla de liquidación presentada por el actor </w:t>
      </w:r>
      <w:r w:rsidR="00B728DC">
        <w:rPr>
          <w:rFonts w:ascii="Century Gothic" w:hAnsi="Century Gothic" w:cs="Arial"/>
          <w:b/>
          <w:bCs/>
          <w:sz w:val="24"/>
          <w:szCs w:val="24"/>
        </w:rPr>
        <w:t>ELIMINADO</w:t>
      </w:r>
      <w:r w:rsidRPr="00EB7319">
        <w:rPr>
          <w:rFonts w:ascii="Century Gothic" w:hAnsi="Century Gothic" w:cs="Arial"/>
          <w:sz w:val="24"/>
          <w:szCs w:val="24"/>
        </w:rPr>
        <w:t>, respecto de la liquidación de l</w:t>
      </w:r>
      <w:r w:rsidR="00EB7319">
        <w:rPr>
          <w:rFonts w:ascii="Century Gothic" w:hAnsi="Century Gothic" w:cs="Arial"/>
          <w:sz w:val="24"/>
          <w:szCs w:val="24"/>
        </w:rPr>
        <w:t xml:space="preserve">as pensiones alimenticias en contra de </w:t>
      </w:r>
      <w:r w:rsidR="00B728DC">
        <w:rPr>
          <w:rFonts w:ascii="Century Gothic" w:hAnsi="Century Gothic" w:cs="Arial"/>
          <w:b/>
          <w:bCs/>
          <w:sz w:val="24"/>
          <w:szCs w:val="24"/>
        </w:rPr>
        <w:t>ELIMINADO</w:t>
      </w:r>
      <w:r w:rsidRPr="00EB7319">
        <w:rPr>
          <w:rFonts w:ascii="Century Gothic" w:hAnsi="Century Gothic" w:cs="Arial"/>
          <w:sz w:val="24"/>
          <w:szCs w:val="24"/>
        </w:rPr>
        <w:t>, tiene</w:t>
      </w:r>
      <w:r w:rsidR="00941AAB">
        <w:rPr>
          <w:rFonts w:ascii="Century Gothic" w:hAnsi="Century Gothic" w:cs="Arial"/>
          <w:sz w:val="24"/>
          <w:szCs w:val="24"/>
        </w:rPr>
        <w:t>,</w:t>
      </w:r>
      <w:r w:rsidRPr="00EB7319">
        <w:rPr>
          <w:rFonts w:ascii="Century Gothic" w:hAnsi="Century Gothic" w:cs="Arial"/>
          <w:sz w:val="24"/>
          <w:szCs w:val="24"/>
        </w:rPr>
        <w:t xml:space="preserve"> en término</w:t>
      </w:r>
      <w:r w:rsidR="00941AAB">
        <w:rPr>
          <w:rFonts w:ascii="Century Gothic" w:hAnsi="Century Gothic" w:cs="Arial"/>
          <w:sz w:val="24"/>
          <w:szCs w:val="24"/>
        </w:rPr>
        <w:t>s</w:t>
      </w:r>
      <w:r w:rsidRPr="00EB7319">
        <w:rPr>
          <w:rFonts w:ascii="Century Gothic" w:hAnsi="Century Gothic" w:cs="Arial"/>
          <w:sz w:val="24"/>
          <w:szCs w:val="24"/>
        </w:rPr>
        <w:t xml:space="preserve"> de los artículos 78 fracción III</w:t>
      </w:r>
      <w:r w:rsidRPr="00EB7319">
        <w:rPr>
          <w:rStyle w:val="Refdenotaalpie"/>
          <w:rFonts w:ascii="Century Gothic" w:hAnsi="Century Gothic" w:cs="Arial"/>
          <w:sz w:val="24"/>
          <w:szCs w:val="24"/>
        </w:rPr>
        <w:footnoteReference w:id="7"/>
      </w:r>
      <w:r w:rsidRPr="00EB7319">
        <w:rPr>
          <w:rFonts w:ascii="Century Gothic" w:hAnsi="Century Gothic" w:cs="Arial"/>
          <w:sz w:val="24"/>
          <w:szCs w:val="24"/>
        </w:rPr>
        <w:t xml:space="preserve"> y 1004 del Código Adjetivo Civil el carácter de una resolución interlocutoria dictada en ejecución de la </w:t>
      </w:r>
      <w:r w:rsidRPr="00EB7319">
        <w:rPr>
          <w:rFonts w:ascii="Century Gothic" w:hAnsi="Century Gothic" w:cs="Arial"/>
          <w:sz w:val="24"/>
          <w:szCs w:val="24"/>
        </w:rPr>
        <w:lastRenderedPageBreak/>
        <w:t>sentencia de primera instancia; resolución incidental contra la cual procede la queja ante el superior en términos del artículo 971 fracción</w:t>
      </w:r>
      <w:r w:rsidR="00EB7319">
        <w:rPr>
          <w:rFonts w:ascii="Century Gothic" w:hAnsi="Century Gothic" w:cs="Arial"/>
          <w:sz w:val="24"/>
          <w:szCs w:val="24"/>
        </w:rPr>
        <w:t xml:space="preserve"> II</w:t>
      </w:r>
      <w:r w:rsidRPr="00EB7319">
        <w:rPr>
          <w:rFonts w:ascii="Century Gothic" w:hAnsi="Century Gothic" w:cs="Arial"/>
          <w:sz w:val="24"/>
          <w:szCs w:val="24"/>
        </w:rPr>
        <w:t xml:space="preserve"> del Código Proc</w:t>
      </w:r>
      <w:r w:rsidR="00941AAB">
        <w:rPr>
          <w:rFonts w:ascii="Century Gothic" w:hAnsi="Century Gothic" w:cs="Arial"/>
          <w:sz w:val="24"/>
          <w:szCs w:val="24"/>
        </w:rPr>
        <w:t>esal en consulta, por tanto, si sin recurribles a través de este medio de defensa.</w:t>
      </w:r>
    </w:p>
    <w:p w:rsidR="009604A1" w:rsidRPr="002E7238" w:rsidRDefault="00941AAB" w:rsidP="00BA57A8">
      <w:pPr>
        <w:spacing w:line="360" w:lineRule="auto"/>
        <w:ind w:firstLine="708"/>
        <w:jc w:val="both"/>
        <w:rPr>
          <w:rFonts w:ascii="Century Gothic" w:hAnsi="Century Gothic" w:cs="Arial"/>
          <w:sz w:val="24"/>
          <w:szCs w:val="24"/>
        </w:rPr>
      </w:pPr>
      <w:r>
        <w:rPr>
          <w:rFonts w:ascii="Century Gothic" w:hAnsi="Century Gothic" w:cs="Arial"/>
          <w:sz w:val="24"/>
          <w:szCs w:val="24"/>
        </w:rPr>
        <w:t>Es importante resaltar que, e</w:t>
      </w:r>
      <w:r w:rsidR="002E7238" w:rsidRPr="002E7238">
        <w:rPr>
          <w:rFonts w:ascii="Century Gothic" w:hAnsi="Century Gothic" w:cs="Arial"/>
          <w:sz w:val="24"/>
          <w:szCs w:val="24"/>
        </w:rPr>
        <w:t>l proceso jurisdiccional y la sentencia que los resuelve en el fondo, constituyen el fundamento de la garantía de tutela judicial a que se refiere el artículo 17, segundo párrafo, de la Constitución Política de los Estados Unidos Mexicanos, y es una condición indispensable, para que sea completa y efectiva, que el órgano jurisdicciona</w:t>
      </w:r>
      <w:r w:rsidR="00BA57A8">
        <w:rPr>
          <w:rFonts w:ascii="Century Gothic" w:hAnsi="Century Gothic" w:cs="Arial"/>
          <w:sz w:val="24"/>
          <w:szCs w:val="24"/>
        </w:rPr>
        <w:t xml:space="preserve">l vele porque sus resoluciones </w:t>
      </w:r>
      <w:r w:rsidR="002E7238" w:rsidRPr="002E7238">
        <w:rPr>
          <w:rFonts w:ascii="Century Gothic" w:hAnsi="Century Gothic" w:cs="Arial"/>
          <w:sz w:val="24"/>
          <w:szCs w:val="24"/>
        </w:rPr>
        <w:t xml:space="preserve">se ejecuten, en la medida </w:t>
      </w:r>
      <w:r w:rsidR="00FC7E29">
        <w:rPr>
          <w:rFonts w:ascii="Century Gothic" w:hAnsi="Century Gothic" w:cs="Arial"/>
          <w:sz w:val="24"/>
          <w:szCs w:val="24"/>
        </w:rPr>
        <w:t xml:space="preserve">de lo posible, en sus propios </w:t>
      </w:r>
      <w:r w:rsidR="002E7238" w:rsidRPr="002E7238">
        <w:rPr>
          <w:rFonts w:ascii="Century Gothic" w:hAnsi="Century Gothic" w:cs="Arial"/>
          <w:sz w:val="24"/>
          <w:szCs w:val="24"/>
        </w:rPr>
        <w:t xml:space="preserve">términos, en tanto la ejecución eficaz e inmediata de las sentencias es de interés público; y, en el caso que nos ocupa, de la interpretación armónica del artículo 1004 del Código Procesal Civil del Estado, en relación con los artículos 78 fracción III, 971 fracción II, del mismo cuerpo legal, se considera que el legislador del Estado al disponer en el artículo 1004 del Código Procesal Civil del Estado, </w:t>
      </w:r>
      <w:r w:rsidR="002E7238" w:rsidRPr="002E7238">
        <w:rPr>
          <w:rFonts w:ascii="Century Gothic" w:hAnsi="Century Gothic" w:cs="Arial"/>
          <w:sz w:val="24"/>
          <w:szCs w:val="24"/>
          <w:u w:val="single"/>
        </w:rPr>
        <w:t>que contra las resoluciones dictadas en ejecución de sentencia, no se admitirá recurso alguno y que si fuere interlocutoria será procedente la queja ante el superior;</w:t>
      </w:r>
      <w:r w:rsidR="002E7238" w:rsidRPr="002E7238">
        <w:rPr>
          <w:rFonts w:ascii="Century Gothic" w:hAnsi="Century Gothic" w:cs="Arial"/>
          <w:sz w:val="24"/>
          <w:szCs w:val="24"/>
        </w:rPr>
        <w:t xml:space="preserve"> ha estimado que los procedimientos de ejecución fundados en resolucio</w:t>
      </w:r>
      <w:r w:rsidR="00BA57A8">
        <w:rPr>
          <w:rFonts w:ascii="Century Gothic" w:hAnsi="Century Gothic" w:cs="Arial"/>
          <w:sz w:val="24"/>
          <w:szCs w:val="24"/>
        </w:rPr>
        <w:t>nes o sentencias definitivas</w:t>
      </w:r>
      <w:r w:rsidR="002E7238" w:rsidRPr="002E7238">
        <w:rPr>
          <w:rFonts w:ascii="Century Gothic" w:hAnsi="Century Gothic" w:cs="Arial"/>
          <w:sz w:val="24"/>
          <w:szCs w:val="24"/>
        </w:rPr>
        <w:t>, no deben ser innecesariamente obstaculizados mediante la interposición de recursos, tal como se plasma en el citado artículo 1004, m</w:t>
      </w:r>
      <w:r w:rsidR="00BA57A8">
        <w:rPr>
          <w:rFonts w:ascii="Century Gothic" w:hAnsi="Century Gothic" w:cs="Arial"/>
          <w:sz w:val="24"/>
          <w:szCs w:val="24"/>
        </w:rPr>
        <w:t xml:space="preserve">ás no impide </w:t>
      </w:r>
      <w:r>
        <w:rPr>
          <w:rFonts w:ascii="Century Gothic" w:hAnsi="Century Gothic" w:cs="Arial"/>
          <w:sz w:val="24"/>
          <w:szCs w:val="24"/>
        </w:rPr>
        <w:t xml:space="preserve">la interposición </w:t>
      </w:r>
      <w:r w:rsidR="002E7238" w:rsidRPr="002E7238">
        <w:rPr>
          <w:rFonts w:ascii="Century Gothic" w:hAnsi="Century Gothic" w:cs="Arial"/>
          <w:sz w:val="24"/>
          <w:szCs w:val="24"/>
        </w:rPr>
        <w:t xml:space="preserve">de </w:t>
      </w:r>
      <w:r w:rsidR="00BA57A8">
        <w:rPr>
          <w:rFonts w:ascii="Century Gothic" w:hAnsi="Century Gothic" w:cs="Arial"/>
          <w:sz w:val="24"/>
          <w:szCs w:val="24"/>
        </w:rPr>
        <w:t xml:space="preserve">éstos </w:t>
      </w:r>
      <w:r w:rsidR="002E7238" w:rsidRPr="002E7238">
        <w:rPr>
          <w:rFonts w:ascii="Century Gothic" w:hAnsi="Century Gothic" w:cs="Arial"/>
          <w:sz w:val="24"/>
          <w:szCs w:val="24"/>
        </w:rPr>
        <w:t>en esta etapa,</w:t>
      </w:r>
      <w:r w:rsidR="00BA57A8">
        <w:rPr>
          <w:rFonts w:ascii="Century Gothic" w:hAnsi="Century Gothic" w:cs="Arial"/>
          <w:sz w:val="24"/>
          <w:szCs w:val="24"/>
        </w:rPr>
        <w:t xml:space="preserve"> pues contrario a la manifestado por el juez de la causa, en el caso a estudio dicha resolución sí es irrecurrible a través del recurso de queja, por las razones ya manifestadas.</w:t>
      </w:r>
    </w:p>
    <w:p w:rsidR="00110BD2" w:rsidRDefault="00110BD2" w:rsidP="00110FA8">
      <w:pPr>
        <w:spacing w:line="360" w:lineRule="auto"/>
        <w:ind w:firstLine="708"/>
        <w:jc w:val="both"/>
        <w:rPr>
          <w:rFonts w:ascii="Century Gothic" w:hAnsi="Century Gothic" w:cs="Arial"/>
          <w:sz w:val="24"/>
          <w:szCs w:val="24"/>
        </w:rPr>
      </w:pPr>
      <w:r w:rsidRPr="00110BD2">
        <w:rPr>
          <w:rFonts w:ascii="Century Gothic" w:hAnsi="Century Gothic" w:cs="Arial"/>
          <w:sz w:val="24"/>
          <w:szCs w:val="24"/>
        </w:rPr>
        <w:t xml:space="preserve">Por lo anteriormente expuesto, </w:t>
      </w:r>
      <w:r>
        <w:rPr>
          <w:rFonts w:ascii="Century Gothic" w:hAnsi="Century Gothic" w:cs="Arial"/>
          <w:sz w:val="24"/>
          <w:szCs w:val="24"/>
        </w:rPr>
        <w:t xml:space="preserve">las y </w:t>
      </w:r>
      <w:r w:rsidRPr="00110BD2">
        <w:rPr>
          <w:rFonts w:ascii="Century Gothic" w:hAnsi="Century Gothic" w:cs="Arial"/>
          <w:sz w:val="24"/>
          <w:szCs w:val="24"/>
        </w:rPr>
        <w:t>los que integramos este Pleno consideramos que fue correcto que el Juez de origen denegara</w:t>
      </w:r>
      <w:r w:rsidR="007D6728">
        <w:rPr>
          <w:rFonts w:ascii="Century Gothic" w:hAnsi="Century Gothic" w:cs="Arial"/>
          <w:sz w:val="24"/>
          <w:szCs w:val="24"/>
        </w:rPr>
        <w:t xml:space="preserve"> por acuerdo</w:t>
      </w:r>
      <w:r w:rsidRPr="00110BD2">
        <w:rPr>
          <w:rFonts w:ascii="Century Gothic" w:hAnsi="Century Gothic" w:cs="Arial"/>
          <w:sz w:val="24"/>
          <w:szCs w:val="24"/>
        </w:rPr>
        <w:t xml:space="preserve"> de </w:t>
      </w:r>
      <w:r w:rsidRPr="00C02C04">
        <w:rPr>
          <w:rFonts w:ascii="Century Gothic" w:hAnsi="Century Gothic" w:cs="Arial"/>
          <w:sz w:val="24"/>
          <w:szCs w:val="24"/>
        </w:rPr>
        <w:t>19 diecinueve de noviembre de 2020 dos mil veinte</w:t>
      </w:r>
      <w:r w:rsidRPr="00AD0AA1">
        <w:rPr>
          <w:rFonts w:ascii="Century Gothic" w:hAnsi="Century Gothic" w:cs="Arial"/>
          <w:sz w:val="24"/>
          <w:szCs w:val="24"/>
        </w:rPr>
        <w:t xml:space="preserve">, </w:t>
      </w:r>
      <w:r w:rsidR="00110FA8">
        <w:rPr>
          <w:rFonts w:ascii="Century Gothic" w:hAnsi="Century Gothic" w:cs="Arial"/>
          <w:sz w:val="24"/>
          <w:szCs w:val="24"/>
        </w:rPr>
        <w:t xml:space="preserve">la admisión del </w:t>
      </w:r>
      <w:r w:rsidRPr="00110FA8">
        <w:rPr>
          <w:rFonts w:ascii="Century Gothic" w:hAnsi="Century Gothic" w:cs="Arial"/>
          <w:sz w:val="24"/>
          <w:szCs w:val="24"/>
        </w:rPr>
        <w:t>recurso de apelación</w:t>
      </w:r>
      <w:r>
        <w:rPr>
          <w:rFonts w:ascii="Century Gothic" w:hAnsi="Century Gothic" w:cs="Arial"/>
          <w:b/>
          <w:sz w:val="24"/>
          <w:szCs w:val="24"/>
        </w:rPr>
        <w:t xml:space="preserve"> </w:t>
      </w:r>
      <w:r w:rsidRPr="00783073">
        <w:rPr>
          <w:rFonts w:ascii="Century Gothic" w:hAnsi="Century Gothic" w:cs="Arial"/>
          <w:sz w:val="24"/>
          <w:szCs w:val="24"/>
        </w:rPr>
        <w:t>inter</w:t>
      </w:r>
      <w:r>
        <w:rPr>
          <w:rFonts w:ascii="Century Gothic" w:hAnsi="Century Gothic" w:cs="Arial"/>
          <w:sz w:val="24"/>
          <w:szCs w:val="24"/>
        </w:rPr>
        <w:t xml:space="preserve">puesto a su vez, en contra de la sentencia interlocutoria de </w:t>
      </w:r>
      <w:r w:rsidRPr="00AD0AA1">
        <w:rPr>
          <w:rFonts w:ascii="Century Gothic" w:hAnsi="Century Gothic" w:cs="Arial"/>
          <w:sz w:val="24"/>
          <w:szCs w:val="24"/>
        </w:rPr>
        <w:t xml:space="preserve">5 cinco de </w:t>
      </w:r>
      <w:r>
        <w:rPr>
          <w:rFonts w:ascii="Century Gothic" w:hAnsi="Century Gothic" w:cs="Arial"/>
          <w:sz w:val="24"/>
          <w:szCs w:val="24"/>
        </w:rPr>
        <w:t>noviembre</w:t>
      </w:r>
      <w:r w:rsidRPr="00AD0AA1">
        <w:rPr>
          <w:rFonts w:ascii="Century Gothic" w:hAnsi="Century Gothic" w:cs="Arial"/>
          <w:sz w:val="24"/>
          <w:szCs w:val="24"/>
        </w:rPr>
        <w:t xml:space="preserve"> de 2020 dos mil veinte,</w:t>
      </w:r>
      <w:r>
        <w:rPr>
          <w:rFonts w:ascii="Century Gothic" w:hAnsi="Century Gothic" w:cs="Arial"/>
          <w:sz w:val="24"/>
          <w:szCs w:val="24"/>
        </w:rPr>
        <w:t xml:space="preserve"> que resolvió la planilla de liquidación de pensión alimenticia, dentro del </w:t>
      </w:r>
      <w:r w:rsidRPr="00AD0AA1">
        <w:rPr>
          <w:rFonts w:ascii="Century Gothic" w:hAnsi="Century Gothic" w:cs="Arial"/>
          <w:b/>
          <w:sz w:val="24"/>
          <w:szCs w:val="24"/>
        </w:rPr>
        <w:t xml:space="preserve">juicio </w:t>
      </w:r>
      <w:r>
        <w:rPr>
          <w:rFonts w:ascii="Century Gothic" w:hAnsi="Century Gothic" w:cs="Arial"/>
          <w:b/>
          <w:sz w:val="24"/>
          <w:szCs w:val="24"/>
        </w:rPr>
        <w:t xml:space="preserve">de controversia del orden familiar por alimentos, </w:t>
      </w:r>
      <w:r w:rsidRPr="00F523F8">
        <w:rPr>
          <w:rFonts w:ascii="Century Gothic" w:hAnsi="Century Gothic" w:cs="Arial"/>
          <w:sz w:val="24"/>
          <w:szCs w:val="24"/>
        </w:rPr>
        <w:t>relativo al</w:t>
      </w:r>
      <w:r>
        <w:rPr>
          <w:rFonts w:ascii="Century Gothic" w:hAnsi="Century Gothic" w:cs="Arial"/>
          <w:b/>
          <w:sz w:val="24"/>
          <w:szCs w:val="24"/>
        </w:rPr>
        <w:t xml:space="preserve"> </w:t>
      </w:r>
      <w:r w:rsidRPr="00AD0AA1">
        <w:rPr>
          <w:rFonts w:ascii="Century Gothic" w:hAnsi="Century Gothic" w:cs="Arial"/>
          <w:sz w:val="24"/>
          <w:szCs w:val="24"/>
        </w:rPr>
        <w:t xml:space="preserve">expediente </w:t>
      </w:r>
      <w:r>
        <w:rPr>
          <w:rFonts w:ascii="Century Gothic" w:hAnsi="Century Gothic" w:cs="Arial"/>
          <w:b/>
          <w:sz w:val="24"/>
          <w:szCs w:val="24"/>
        </w:rPr>
        <w:t>74/2020</w:t>
      </w:r>
      <w:r w:rsidRPr="00AD0AA1">
        <w:rPr>
          <w:rFonts w:ascii="Century Gothic" w:hAnsi="Century Gothic" w:cs="Arial"/>
          <w:b/>
          <w:sz w:val="24"/>
          <w:szCs w:val="24"/>
        </w:rPr>
        <w:t>,</w:t>
      </w:r>
      <w:r w:rsidRPr="00AD0AA1">
        <w:rPr>
          <w:rFonts w:ascii="Century Gothic" w:hAnsi="Century Gothic" w:cs="Arial"/>
          <w:sz w:val="24"/>
          <w:szCs w:val="24"/>
        </w:rPr>
        <w:t xml:space="preserve"> </w:t>
      </w:r>
      <w:r w:rsidRPr="009C5BDC">
        <w:rPr>
          <w:rFonts w:ascii="Century Gothic" w:hAnsi="Century Gothic" w:cs="Arial"/>
          <w:sz w:val="24"/>
          <w:szCs w:val="24"/>
        </w:rPr>
        <w:t>promovido</w:t>
      </w:r>
      <w:r>
        <w:rPr>
          <w:rFonts w:ascii="Century Gothic" w:hAnsi="Century Gothic" w:cs="Arial"/>
          <w:b/>
          <w:sz w:val="24"/>
          <w:szCs w:val="24"/>
        </w:rPr>
        <w:t xml:space="preserve"> </w:t>
      </w:r>
      <w:r w:rsidRPr="00AD0AA1">
        <w:rPr>
          <w:rFonts w:ascii="Century Gothic" w:hAnsi="Century Gothic" w:cs="Arial"/>
          <w:sz w:val="24"/>
          <w:szCs w:val="24"/>
        </w:rPr>
        <w:t xml:space="preserve">por </w:t>
      </w:r>
      <w:r w:rsidR="00B728DC">
        <w:rPr>
          <w:rFonts w:ascii="Century Gothic" w:hAnsi="Century Gothic" w:cs="Arial"/>
          <w:b/>
          <w:sz w:val="24"/>
          <w:szCs w:val="24"/>
        </w:rPr>
        <w:t>ELIMINADO</w:t>
      </w:r>
      <w:r w:rsidRPr="00AD0AA1">
        <w:rPr>
          <w:rFonts w:ascii="Century Gothic" w:hAnsi="Century Gothic" w:cs="Arial"/>
          <w:b/>
          <w:sz w:val="24"/>
          <w:szCs w:val="24"/>
        </w:rPr>
        <w:t>,</w:t>
      </w:r>
      <w:r w:rsidRPr="00AD0AA1">
        <w:rPr>
          <w:rFonts w:ascii="Century Gothic" w:hAnsi="Century Gothic" w:cs="Arial"/>
          <w:sz w:val="24"/>
          <w:szCs w:val="24"/>
        </w:rPr>
        <w:t xml:space="preserve"> en contra de </w:t>
      </w:r>
      <w:r w:rsidR="00B728DC">
        <w:rPr>
          <w:rFonts w:ascii="Century Gothic" w:hAnsi="Century Gothic" w:cs="Arial"/>
          <w:b/>
          <w:sz w:val="24"/>
          <w:szCs w:val="24"/>
        </w:rPr>
        <w:t>ELIMINADO</w:t>
      </w:r>
      <w:r>
        <w:rPr>
          <w:rFonts w:ascii="Century Gothic" w:hAnsi="Century Gothic" w:cs="Arial"/>
          <w:b/>
          <w:sz w:val="24"/>
          <w:szCs w:val="24"/>
        </w:rPr>
        <w:t xml:space="preserve"> </w:t>
      </w:r>
      <w:r w:rsidRPr="00F523F8">
        <w:rPr>
          <w:rFonts w:ascii="Century Gothic" w:hAnsi="Century Gothic" w:cs="Arial"/>
          <w:sz w:val="24"/>
          <w:szCs w:val="24"/>
        </w:rPr>
        <w:t xml:space="preserve">ante el </w:t>
      </w:r>
      <w:r>
        <w:rPr>
          <w:rFonts w:ascii="Century Gothic" w:hAnsi="Century Gothic" w:cs="Arial"/>
          <w:sz w:val="24"/>
          <w:szCs w:val="24"/>
        </w:rPr>
        <w:t>Juez Quinto de lo Familiar de esta ciudad</w:t>
      </w:r>
      <w:r w:rsidRPr="00AD0AA1">
        <w:rPr>
          <w:rFonts w:ascii="Century Gothic" w:hAnsi="Century Gothic" w:cs="Arial"/>
          <w:sz w:val="24"/>
          <w:szCs w:val="24"/>
        </w:rPr>
        <w:t>,</w:t>
      </w:r>
      <w:r>
        <w:rPr>
          <w:rFonts w:ascii="Century Gothic" w:hAnsi="Century Gothic" w:cs="Arial"/>
          <w:sz w:val="24"/>
          <w:szCs w:val="24"/>
        </w:rPr>
        <w:t xml:space="preserve"> </w:t>
      </w:r>
      <w:r w:rsidR="00110FA8">
        <w:rPr>
          <w:rFonts w:ascii="Century Gothic" w:hAnsi="Century Gothic" w:cs="Arial"/>
          <w:sz w:val="24"/>
          <w:szCs w:val="24"/>
        </w:rPr>
        <w:t xml:space="preserve">solo que por razones diversas a las expuestas por el juzgador, toda vez </w:t>
      </w:r>
      <w:r w:rsidRPr="00110BD2">
        <w:rPr>
          <w:rFonts w:ascii="Century Gothic" w:hAnsi="Century Gothic" w:cs="Arial"/>
          <w:sz w:val="24"/>
          <w:szCs w:val="24"/>
        </w:rPr>
        <w:t xml:space="preserve">de la etapa </w:t>
      </w:r>
      <w:r w:rsidRPr="00110BD2">
        <w:rPr>
          <w:rFonts w:ascii="Century Gothic" w:hAnsi="Century Gothic" w:cs="Arial"/>
          <w:sz w:val="24"/>
          <w:szCs w:val="24"/>
        </w:rPr>
        <w:lastRenderedPageBreak/>
        <w:t>de ejecución de sentencia, de conformidad con el artículo 1004 del Código de Procedimientos Civiles que establece a literalidad que “</w:t>
      </w:r>
      <w:r>
        <w:rPr>
          <w:rFonts w:ascii="Century Gothic" w:hAnsi="Century Gothic" w:cs="Arial"/>
          <w:sz w:val="24"/>
          <w:szCs w:val="24"/>
        </w:rPr>
        <w:t xml:space="preserve"> </w:t>
      </w:r>
      <w:r w:rsidRPr="00110BD2">
        <w:rPr>
          <w:rFonts w:ascii="Century Gothic" w:hAnsi="Century Gothic" w:cs="Arial"/>
          <w:sz w:val="24"/>
          <w:szCs w:val="24"/>
        </w:rPr>
        <w:t xml:space="preserve">Contra las resoluciones dictadas en ejecución de sentencia, no se admitirá recurso alguno. </w:t>
      </w:r>
      <w:r w:rsidRPr="00110BD2">
        <w:rPr>
          <w:rFonts w:ascii="Century Gothic" w:hAnsi="Century Gothic" w:cs="Arial"/>
          <w:b/>
          <w:sz w:val="24"/>
          <w:szCs w:val="24"/>
          <w:u w:val="single"/>
        </w:rPr>
        <w:t>Si fuere interlocutoria será procede</w:t>
      </w:r>
      <w:r>
        <w:rPr>
          <w:rFonts w:ascii="Century Gothic" w:hAnsi="Century Gothic" w:cs="Arial"/>
          <w:b/>
          <w:sz w:val="24"/>
          <w:szCs w:val="24"/>
          <w:u w:val="single"/>
        </w:rPr>
        <w:t>nte la queja ante el superior.”</w:t>
      </w:r>
      <w:r w:rsidRPr="00110BD2">
        <w:rPr>
          <w:rFonts w:ascii="Century Gothic" w:hAnsi="Century Gothic" w:cs="Arial"/>
          <w:sz w:val="24"/>
          <w:szCs w:val="24"/>
        </w:rPr>
        <w:t>, pues en</w:t>
      </w:r>
      <w:r>
        <w:rPr>
          <w:rFonts w:ascii="Century Gothic" w:hAnsi="Century Gothic" w:cs="Arial"/>
          <w:sz w:val="24"/>
          <w:szCs w:val="24"/>
        </w:rPr>
        <w:t xml:space="preserve"> el caso en concreto, se está ante la presencia de una resolución interlocutoria</w:t>
      </w:r>
      <w:r w:rsidRPr="00110BD2">
        <w:rPr>
          <w:rFonts w:ascii="Century Gothic" w:hAnsi="Century Gothic" w:cs="Arial"/>
          <w:sz w:val="24"/>
          <w:szCs w:val="24"/>
        </w:rPr>
        <w:t xml:space="preserve"> </w:t>
      </w:r>
      <w:r>
        <w:rPr>
          <w:rFonts w:ascii="Century Gothic" w:hAnsi="Century Gothic" w:cs="Arial"/>
          <w:sz w:val="24"/>
          <w:szCs w:val="24"/>
        </w:rPr>
        <w:t>en contra de la cual procede el recurso de queja.</w:t>
      </w:r>
    </w:p>
    <w:p w:rsidR="00614467" w:rsidRPr="00443F4E" w:rsidRDefault="00614467" w:rsidP="00614467">
      <w:pPr>
        <w:tabs>
          <w:tab w:val="left" w:pos="-16160"/>
        </w:tabs>
        <w:spacing w:before="240" w:after="240" w:line="360" w:lineRule="auto"/>
        <w:ind w:firstLine="851"/>
        <w:jc w:val="both"/>
        <w:rPr>
          <w:rFonts w:ascii="Century Gothic" w:hAnsi="Century Gothic" w:cs="Arial"/>
          <w:sz w:val="24"/>
          <w:szCs w:val="24"/>
        </w:rPr>
      </w:pPr>
      <w:r w:rsidRPr="00443F4E">
        <w:rPr>
          <w:rFonts w:ascii="Century Gothic" w:hAnsi="Century Gothic" w:cs="Arial"/>
          <w:sz w:val="24"/>
          <w:szCs w:val="24"/>
        </w:rPr>
        <w:t xml:space="preserve">Sirve de apoyo a lo antes aseverado </w:t>
      </w:r>
      <w:r w:rsidR="00243128">
        <w:rPr>
          <w:rFonts w:ascii="Century Gothic" w:hAnsi="Century Gothic" w:cs="Arial"/>
          <w:sz w:val="24"/>
          <w:szCs w:val="24"/>
        </w:rPr>
        <w:t>la tesis 01/2015, emitida por la Tercera Sala del Supremo Tribunal de Justicia del Estado, el 9 nueve de septiembre de 2015, dos mil quince, de rubro y contenido siguiente</w:t>
      </w:r>
      <w:r w:rsidRPr="00443F4E">
        <w:rPr>
          <w:rFonts w:ascii="Century Gothic" w:hAnsi="Century Gothic" w:cs="Arial"/>
          <w:sz w:val="24"/>
          <w:szCs w:val="24"/>
        </w:rPr>
        <w:t xml:space="preserve">: </w:t>
      </w:r>
    </w:p>
    <w:p w:rsidR="00243128" w:rsidRPr="004225FD" w:rsidRDefault="00243128" w:rsidP="00243128">
      <w:pPr>
        <w:spacing w:line="240" w:lineRule="auto"/>
        <w:ind w:firstLine="708"/>
        <w:jc w:val="both"/>
        <w:rPr>
          <w:rFonts w:ascii="Century Gothic" w:hAnsi="Century Gothic"/>
          <w:b/>
          <w:u w:val="single"/>
        </w:rPr>
      </w:pPr>
      <w:r w:rsidRPr="00243128">
        <w:rPr>
          <w:rFonts w:ascii="Century Gothic" w:hAnsi="Century Gothic"/>
          <w:b/>
        </w:rPr>
        <w:t>APELACIÓN. NO PROCEDE ESTE RECURSO EN CONTRA DE LA INTERLOCUTORIA QUE RECAE AL INCIDENTE DE LIQUIDACION DE SENTENCIA.-</w:t>
      </w:r>
      <w:r w:rsidRPr="00243128">
        <w:rPr>
          <w:rFonts w:ascii="Century Gothic" w:hAnsi="Century Gothic"/>
        </w:rPr>
        <w:t xml:space="preserve"> El medio de impugnación que procede en contra de la interlocutoria que ha recaído a un incidente pronunciado en la etapa de ejecución de sentencia, no se rige por las reglas generales contenidas en los artículos 775 al 782 del Código Adjetivo Civil del Estado, del Capítulo denominado “De los Incidentes en General”, en razón de que, por tratarse de un incidente de liquidación de sentencia que tiende a hacer efectivo el derecho en ella consignado, ésta se debe combatir de acuerdo a las reglas específicas previstas en los diversos numerales 971 fracción II y 1004 del propio Código, pues como la ejecución eficaz e inmediata de las sentencias es de orden público, el legislador potosino ha estimado que los procedimientos de ejecución fundados en resoluciones o sentencias definitivas que han adquirido la naturaleza de cosa juzgada no deben ser innecesariamente obstaculizados mediante la interposición de recursos, conforme a lo dispuesto por el invocado artículo 1004, el cual señala que en contra de las resoluciones dictadas en ejecución de sentencia no se admitirá recurso alguno, señalando expresamente una excepción a esa regla en el sentido de que, si fuere interlocutoria, entonces es procedente la queja ante el Superior. De ahí que, </w:t>
      </w:r>
      <w:r w:rsidRPr="004225FD">
        <w:rPr>
          <w:rFonts w:ascii="Century Gothic" w:hAnsi="Century Gothic"/>
          <w:b/>
          <w:u w:val="single"/>
        </w:rPr>
        <w:t xml:space="preserve">si la interlocutoria mediante la cual se resuelve un incidente de liquidación tiende de manera directa e inmediata a hacer efectiva la sentencia ejecutoria, y por ello fue pronunciada en la etapa de ejecución, toda vez que se encuentra encaminada directamente a cuantificar el monto que debe cubrir quien no obtuvo resolución favorable, evidente resulta que la misma constituye una resolución contra la cual no procede el recurso de apelación sino el de queja. </w:t>
      </w:r>
    </w:p>
    <w:p w:rsidR="00243128" w:rsidRPr="00243128" w:rsidRDefault="00243128" w:rsidP="00243128">
      <w:pPr>
        <w:spacing w:line="240" w:lineRule="auto"/>
        <w:ind w:firstLine="708"/>
        <w:jc w:val="both"/>
        <w:rPr>
          <w:rFonts w:ascii="Century Gothic" w:hAnsi="Century Gothic"/>
        </w:rPr>
      </w:pPr>
      <w:r w:rsidRPr="00243128">
        <w:rPr>
          <w:rFonts w:ascii="Century Gothic" w:hAnsi="Century Gothic"/>
        </w:rPr>
        <w:t xml:space="preserve">TERCERA SALA DEL SUPREMO TRIBUNAL DE JUSTICIA DEL ESTADO. Toca 475-2015. Dina Loredo Vargas. 9 nueve de </w:t>
      </w:r>
      <w:proofErr w:type="gramStart"/>
      <w:r w:rsidRPr="00243128">
        <w:rPr>
          <w:rFonts w:ascii="Century Gothic" w:hAnsi="Century Gothic"/>
        </w:rPr>
        <w:t>Septiembre</w:t>
      </w:r>
      <w:proofErr w:type="gramEnd"/>
      <w:r w:rsidRPr="00243128">
        <w:rPr>
          <w:rFonts w:ascii="Century Gothic" w:hAnsi="Century Gothic"/>
        </w:rPr>
        <w:t xml:space="preserve"> de 2015 dos mil quince. Unanimidad de Votos. Ponente: Magistrada María Refugio González Reyes. Secretaria de Estudio y Cuenta: Licenciada Alma Delia González Centeno.</w:t>
      </w:r>
    </w:p>
    <w:p w:rsidR="00BA57A8" w:rsidRDefault="00BA57A8" w:rsidP="00A31D9F">
      <w:pPr>
        <w:pStyle w:val="Normal0"/>
        <w:spacing w:after="120" w:line="360" w:lineRule="auto"/>
        <w:ind w:firstLine="851"/>
        <w:jc w:val="both"/>
        <w:rPr>
          <w:rFonts w:ascii="Century Gothic" w:hAnsi="Century Gothic"/>
          <w:b/>
          <w:bCs/>
          <w:lang w:eastAsia="en-US"/>
        </w:rPr>
      </w:pPr>
    </w:p>
    <w:p w:rsidR="00A31D9F" w:rsidRPr="001A0997" w:rsidRDefault="001D3EDC" w:rsidP="00A31D9F">
      <w:pPr>
        <w:pStyle w:val="Normal0"/>
        <w:spacing w:after="120" w:line="360" w:lineRule="auto"/>
        <w:ind w:firstLine="851"/>
        <w:jc w:val="both"/>
        <w:rPr>
          <w:rFonts w:ascii="Century Gothic" w:hAnsi="Century Gothic"/>
          <w:b/>
          <w:bCs/>
          <w:lang w:eastAsia="en-US"/>
        </w:rPr>
      </w:pPr>
      <w:r w:rsidRPr="001A0997">
        <w:rPr>
          <w:rFonts w:ascii="Century Gothic" w:hAnsi="Century Gothic"/>
          <w:b/>
          <w:bCs/>
          <w:lang w:eastAsia="en-US"/>
        </w:rPr>
        <w:t>SÉPTIMO</w:t>
      </w:r>
      <w:r w:rsidR="00A31D9F" w:rsidRPr="001A0997">
        <w:rPr>
          <w:rFonts w:ascii="Century Gothic" w:hAnsi="Century Gothic"/>
          <w:b/>
          <w:bCs/>
          <w:lang w:eastAsia="en-US"/>
        </w:rPr>
        <w:t xml:space="preserve">. </w:t>
      </w:r>
      <w:r w:rsidR="00A31D9F" w:rsidRPr="001A0997">
        <w:rPr>
          <w:rFonts w:ascii="Century Gothic" w:hAnsi="Century Gothic"/>
          <w:b/>
          <w:bCs/>
        </w:rPr>
        <w:t>Decisión.</w:t>
      </w:r>
    </w:p>
    <w:p w:rsidR="006A03AE" w:rsidRPr="00DD145E"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sz w:val="24"/>
          <w:szCs w:val="24"/>
        </w:rPr>
        <w:t xml:space="preserve">En ese orden, al no estar fundado en derecho y con sustento en lo dispuesto en los ordinales 974 Ter, fracción II, y 975 del Código de Procedimientos Civiles, </w:t>
      </w:r>
      <w:r w:rsidRPr="001D3EDC">
        <w:rPr>
          <w:rFonts w:ascii="Century Gothic" w:hAnsi="Century Gothic" w:cs="Arial"/>
          <w:b/>
          <w:sz w:val="24"/>
          <w:szCs w:val="24"/>
        </w:rPr>
        <w:t>se desecha el recurso de queja</w:t>
      </w:r>
      <w:r w:rsidRPr="001D3EDC">
        <w:rPr>
          <w:rFonts w:ascii="Century Gothic" w:hAnsi="Century Gothic" w:cs="Arial"/>
          <w:sz w:val="24"/>
          <w:szCs w:val="24"/>
        </w:rPr>
        <w:t xml:space="preserve"> interpuesto por </w:t>
      </w:r>
      <w:r w:rsidR="00B728DC">
        <w:rPr>
          <w:rFonts w:ascii="Century Gothic" w:hAnsi="Century Gothic" w:cs="Arial"/>
          <w:b/>
          <w:bCs/>
          <w:sz w:val="24"/>
          <w:szCs w:val="24"/>
        </w:rPr>
        <w:t>ELIMINADO</w:t>
      </w:r>
      <w:r w:rsidRPr="00C02C04">
        <w:rPr>
          <w:rFonts w:ascii="Century Gothic" w:hAnsi="Century Gothic" w:cs="Arial"/>
          <w:b/>
          <w:bCs/>
          <w:sz w:val="24"/>
          <w:szCs w:val="24"/>
        </w:rPr>
        <w:t xml:space="preserve">, </w:t>
      </w:r>
      <w:r w:rsidRPr="00C02C04">
        <w:rPr>
          <w:rFonts w:ascii="Century Gothic" w:hAnsi="Century Gothic" w:cs="Arial"/>
          <w:bCs/>
          <w:sz w:val="24"/>
          <w:szCs w:val="24"/>
        </w:rPr>
        <w:t xml:space="preserve">abogada de </w:t>
      </w:r>
      <w:r w:rsidR="00B728DC">
        <w:rPr>
          <w:rFonts w:ascii="Century Gothic" w:hAnsi="Century Gothic" w:cs="Arial"/>
          <w:b/>
          <w:bCs/>
          <w:sz w:val="24"/>
          <w:szCs w:val="24"/>
        </w:rPr>
        <w:t>ELIMINADO</w:t>
      </w:r>
      <w:r w:rsidRPr="00AD0AA1">
        <w:rPr>
          <w:rFonts w:ascii="Century Gothic" w:hAnsi="Century Gothic" w:cs="Arial"/>
          <w:sz w:val="24"/>
          <w:szCs w:val="24"/>
        </w:rPr>
        <w:t>,</w:t>
      </w:r>
      <w:r w:rsidRPr="001D3EDC">
        <w:rPr>
          <w:rFonts w:ascii="Century Gothic" w:hAnsi="Century Gothic" w:cs="Arial"/>
          <w:sz w:val="24"/>
          <w:szCs w:val="24"/>
        </w:rPr>
        <w:t xml:space="preserve"> en contra del auto de 19 </w:t>
      </w:r>
      <w:r w:rsidRPr="001D3EDC">
        <w:rPr>
          <w:rFonts w:ascii="Century Gothic" w:hAnsi="Century Gothic" w:cs="Arial"/>
          <w:sz w:val="24"/>
          <w:szCs w:val="24"/>
        </w:rPr>
        <w:lastRenderedPageBreak/>
        <w:t xml:space="preserve">diecinueve de </w:t>
      </w:r>
      <w:r>
        <w:rPr>
          <w:rFonts w:ascii="Century Gothic" w:hAnsi="Century Gothic" w:cs="Arial"/>
          <w:sz w:val="24"/>
          <w:szCs w:val="24"/>
        </w:rPr>
        <w:t xml:space="preserve">noviembre </w:t>
      </w:r>
      <w:r w:rsidRPr="001D3EDC">
        <w:rPr>
          <w:rFonts w:ascii="Century Gothic" w:hAnsi="Century Gothic" w:cs="Arial"/>
          <w:sz w:val="24"/>
          <w:szCs w:val="24"/>
        </w:rPr>
        <w:t>de 202</w:t>
      </w:r>
      <w:r>
        <w:rPr>
          <w:rFonts w:ascii="Century Gothic" w:hAnsi="Century Gothic" w:cs="Arial"/>
          <w:sz w:val="24"/>
          <w:szCs w:val="24"/>
        </w:rPr>
        <w:t>0</w:t>
      </w:r>
      <w:r w:rsidRPr="001D3EDC">
        <w:rPr>
          <w:rFonts w:ascii="Century Gothic" w:hAnsi="Century Gothic" w:cs="Arial"/>
          <w:sz w:val="24"/>
          <w:szCs w:val="24"/>
        </w:rPr>
        <w:t xml:space="preserve"> dos mil veint</w:t>
      </w:r>
      <w:r>
        <w:rPr>
          <w:rFonts w:ascii="Century Gothic" w:hAnsi="Century Gothic" w:cs="Arial"/>
          <w:sz w:val="24"/>
          <w:szCs w:val="24"/>
        </w:rPr>
        <w:t>e</w:t>
      </w:r>
      <w:r w:rsidRPr="001D3EDC">
        <w:rPr>
          <w:rFonts w:ascii="Century Gothic" w:hAnsi="Century Gothic" w:cs="Arial"/>
          <w:sz w:val="24"/>
          <w:szCs w:val="24"/>
        </w:rPr>
        <w:t xml:space="preserve">, dictado por el Juez </w:t>
      </w:r>
      <w:r>
        <w:rPr>
          <w:rFonts w:ascii="Century Gothic" w:hAnsi="Century Gothic" w:cs="Arial"/>
          <w:sz w:val="24"/>
          <w:szCs w:val="24"/>
        </w:rPr>
        <w:t xml:space="preserve">Quinto del Ramo Familiar </w:t>
      </w:r>
      <w:r w:rsidRPr="001D3EDC">
        <w:rPr>
          <w:rFonts w:ascii="Century Gothic" w:hAnsi="Century Gothic" w:cs="Arial"/>
          <w:sz w:val="24"/>
          <w:szCs w:val="24"/>
        </w:rPr>
        <w:t xml:space="preserve">con residencia en </w:t>
      </w:r>
      <w:r>
        <w:rPr>
          <w:rFonts w:ascii="Century Gothic" w:hAnsi="Century Gothic" w:cs="Arial"/>
          <w:sz w:val="24"/>
          <w:szCs w:val="24"/>
        </w:rPr>
        <w:t xml:space="preserve">esta </w:t>
      </w:r>
      <w:r w:rsidRPr="001D3EDC">
        <w:rPr>
          <w:rFonts w:ascii="Century Gothic" w:hAnsi="Century Gothic" w:cs="Arial"/>
          <w:sz w:val="24"/>
          <w:szCs w:val="24"/>
        </w:rPr>
        <w:t>Ciudad de San Luis Potosí, S</w:t>
      </w:r>
      <w:r w:rsidRPr="00D62E03">
        <w:rPr>
          <w:rFonts w:ascii="Century Gothic" w:hAnsi="Century Gothic" w:cs="Arial"/>
          <w:sz w:val="24"/>
          <w:szCs w:val="24"/>
        </w:rPr>
        <w:t xml:space="preserve">.L.P., en el que desechó en recurso de apelación, dentro de los autos del expediente 74/2020, relativo </w:t>
      </w:r>
      <w:r w:rsidRPr="001D3EDC">
        <w:rPr>
          <w:rFonts w:ascii="Century Gothic" w:hAnsi="Century Gothic" w:cs="Arial"/>
          <w:sz w:val="24"/>
          <w:szCs w:val="24"/>
        </w:rPr>
        <w:t xml:space="preserve">al juicio </w:t>
      </w:r>
      <w:r>
        <w:rPr>
          <w:rFonts w:ascii="Century Gothic" w:hAnsi="Century Gothic" w:cs="Arial"/>
          <w:sz w:val="24"/>
          <w:szCs w:val="24"/>
        </w:rPr>
        <w:t xml:space="preserve">de </w:t>
      </w:r>
      <w:r w:rsidRPr="00C12AE2">
        <w:rPr>
          <w:rFonts w:ascii="Century Gothic" w:hAnsi="Century Gothic" w:cs="Arial"/>
          <w:b/>
          <w:sz w:val="24"/>
          <w:szCs w:val="24"/>
        </w:rPr>
        <w:t>Controversia Familiar por Alimentos</w:t>
      </w:r>
      <w:r>
        <w:rPr>
          <w:rFonts w:ascii="Century Gothic" w:hAnsi="Century Gothic" w:cs="Arial"/>
          <w:sz w:val="24"/>
          <w:szCs w:val="24"/>
        </w:rPr>
        <w:t xml:space="preserve"> </w:t>
      </w:r>
      <w:r w:rsidRPr="009C5BDC">
        <w:rPr>
          <w:rFonts w:ascii="Century Gothic" w:hAnsi="Century Gothic" w:cs="Arial"/>
          <w:sz w:val="24"/>
          <w:szCs w:val="24"/>
        </w:rPr>
        <w:t>promovido</w:t>
      </w:r>
      <w:r>
        <w:rPr>
          <w:rFonts w:ascii="Century Gothic" w:hAnsi="Century Gothic" w:cs="Arial"/>
          <w:b/>
          <w:sz w:val="24"/>
          <w:szCs w:val="24"/>
        </w:rPr>
        <w:t xml:space="preserve"> </w:t>
      </w:r>
      <w:r w:rsidRPr="00AD0AA1">
        <w:rPr>
          <w:rFonts w:ascii="Century Gothic" w:hAnsi="Century Gothic" w:cs="Arial"/>
          <w:sz w:val="24"/>
          <w:szCs w:val="24"/>
        </w:rPr>
        <w:t xml:space="preserve">por </w:t>
      </w:r>
      <w:r w:rsidR="00B728DC">
        <w:rPr>
          <w:rFonts w:ascii="Century Gothic" w:hAnsi="Century Gothic" w:cs="Arial"/>
          <w:b/>
          <w:sz w:val="24"/>
          <w:szCs w:val="24"/>
        </w:rPr>
        <w:t>ELIMINADO</w:t>
      </w:r>
      <w:r w:rsidRPr="00AD0AA1">
        <w:rPr>
          <w:rFonts w:ascii="Century Gothic" w:hAnsi="Century Gothic" w:cs="Arial"/>
          <w:b/>
          <w:sz w:val="24"/>
          <w:szCs w:val="24"/>
        </w:rPr>
        <w:t>,</w:t>
      </w:r>
      <w:r w:rsidRPr="00AD0AA1">
        <w:rPr>
          <w:rFonts w:ascii="Century Gothic" w:hAnsi="Century Gothic" w:cs="Arial"/>
          <w:sz w:val="24"/>
          <w:szCs w:val="24"/>
        </w:rPr>
        <w:t xml:space="preserve"> en contra de </w:t>
      </w:r>
      <w:r w:rsidR="00B728DC">
        <w:rPr>
          <w:rFonts w:ascii="Century Gothic" w:hAnsi="Century Gothic" w:cs="Arial"/>
          <w:b/>
          <w:sz w:val="24"/>
          <w:szCs w:val="24"/>
        </w:rPr>
        <w:t>ELIMINADO</w:t>
      </w:r>
      <w:r w:rsidRPr="00DD145E">
        <w:rPr>
          <w:rFonts w:ascii="Century Gothic" w:hAnsi="Century Gothic" w:cs="Arial"/>
          <w:b/>
          <w:sz w:val="24"/>
          <w:szCs w:val="24"/>
        </w:rPr>
        <w:t>;</w:t>
      </w:r>
      <w:r w:rsidRPr="001D3EDC">
        <w:rPr>
          <w:rFonts w:ascii="Century Gothic" w:hAnsi="Century Gothic" w:cs="Arial"/>
          <w:sz w:val="24"/>
          <w:szCs w:val="24"/>
        </w:rPr>
        <w:t xml:space="preserve"> y, en consecuencia, se </w:t>
      </w:r>
      <w:r w:rsidRPr="00E0381B">
        <w:rPr>
          <w:rFonts w:ascii="Century Gothic" w:hAnsi="Century Gothic" w:cs="Arial"/>
          <w:b/>
          <w:sz w:val="24"/>
          <w:szCs w:val="24"/>
        </w:rPr>
        <w:t>confirma</w:t>
      </w:r>
      <w:r w:rsidRPr="001D3EDC">
        <w:rPr>
          <w:rFonts w:ascii="Century Gothic" w:hAnsi="Century Gothic" w:cs="Arial"/>
          <w:sz w:val="24"/>
          <w:szCs w:val="24"/>
        </w:rPr>
        <w:t xml:space="preserve"> la resolución impugnada. </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lang w:val="es-ES" w:eastAsia="es-ES"/>
        </w:rPr>
      </w:pPr>
      <w:r w:rsidRPr="001D3EDC">
        <w:rPr>
          <w:rFonts w:ascii="Century Gothic" w:hAnsi="Century Gothic" w:cs="Arial"/>
          <w:b/>
          <w:sz w:val="24"/>
          <w:szCs w:val="24"/>
        </w:rPr>
        <w:t>O</w:t>
      </w:r>
      <w:r>
        <w:rPr>
          <w:rFonts w:ascii="Century Gothic" w:hAnsi="Century Gothic" w:cs="Arial"/>
          <w:b/>
          <w:sz w:val="24"/>
          <w:szCs w:val="24"/>
        </w:rPr>
        <w:t>CTAVO</w:t>
      </w:r>
      <w:r w:rsidRPr="001D3EDC">
        <w:rPr>
          <w:rFonts w:ascii="Century Gothic" w:hAnsi="Century Gothic" w:cs="Arial"/>
          <w:b/>
          <w:sz w:val="24"/>
          <w:szCs w:val="24"/>
        </w:rPr>
        <w:t>. Multa.</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sz w:val="24"/>
          <w:szCs w:val="24"/>
        </w:rPr>
        <w:t xml:space="preserve">Al no advertir que la promoción del presente recurso tuvo como finalidad entorpecer el trámite del procedimiento, ni que la parte quejosa se condujo con dolo o mala fe, no se impone la multa a que se refiere el artículo 975 del Código de Procedimientos Civiles. </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sz w:val="24"/>
          <w:szCs w:val="24"/>
        </w:rPr>
        <w:t>Además de que este Órgano Colegiado considera que su procedencia constituiría un obstáculo al derecho que tienen los gobernados en el acceso a la justicia, pues redunda en un desaliento e inhibe de manera indebida el derecho fundamental de pedir justicia, ya que dicho dispositivo condiciona en forma injustificada el acceso a la justicia, pues la multa constituye una traba innecesaria para los justiciables para ejercer planteamientos discordantes con las decisiones de los tribunales de primer grado, siendo esta una clara violación al derecho de acceso a la justicia prevista en e</w:t>
      </w:r>
      <w:r>
        <w:rPr>
          <w:rFonts w:ascii="Century Gothic" w:hAnsi="Century Gothic" w:cs="Arial"/>
          <w:sz w:val="24"/>
          <w:szCs w:val="24"/>
        </w:rPr>
        <w:t>l artículo 17 Constitucional.</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sz w:val="24"/>
          <w:szCs w:val="24"/>
        </w:rPr>
        <w:t xml:space="preserve">Sirve de apoyo a lo anterior, la tesis 1a. LXXXI/2013 (10a.) de la Primera Sala de Suprema Corte de Justicia de la Nación, Semanario Judicial de la Federación y su Gaceta. Libro XVIII, marzo de 2013, Tomo 1, página 879, Materias(s): Constitucional, Civil. Décima Época. registro 2002945, cuyo rubro y texto es al tenor de lo siguiente: </w:t>
      </w:r>
    </w:p>
    <w:p w:rsidR="006A03AE" w:rsidRPr="00BA57A8" w:rsidRDefault="006A03AE" w:rsidP="00BA57A8">
      <w:pPr>
        <w:tabs>
          <w:tab w:val="left" w:pos="-16160"/>
        </w:tabs>
        <w:spacing w:before="240" w:after="240" w:line="240" w:lineRule="auto"/>
        <w:ind w:left="567" w:right="258"/>
        <w:jc w:val="both"/>
        <w:rPr>
          <w:rFonts w:ascii="Century Gothic" w:hAnsi="Century Gothic" w:cs="Arial"/>
        </w:rPr>
      </w:pPr>
      <w:r w:rsidRPr="00BA57A8">
        <w:rPr>
          <w:rFonts w:ascii="Century Gothic" w:hAnsi="Century Gothic" w:cs="Arial"/>
        </w:rPr>
        <w:t>“</w:t>
      </w:r>
      <w:r w:rsidRPr="00BA57A8">
        <w:rPr>
          <w:rFonts w:ascii="Century Gothic" w:hAnsi="Century Gothic" w:cs="Arial"/>
          <w:b/>
        </w:rPr>
        <w:t>ACCESO A LA TUTELA JURISDICCIONAL. EL ARTÍCULO 1.399 DEL CÓDIGO DE PROCEDIMIENTOS CIVILES DEL ESTADO DE MÉXICO, AL PREVER LA IMPOSICIÓN DE UNA MULTA SI EL RECURSO DE QUEJA ES INFUNDADO, VIOLA DICHO DERECHO FUNDAMENTAL.</w:t>
      </w:r>
      <w:r w:rsidRPr="00BA57A8">
        <w:rPr>
          <w:rFonts w:ascii="Century Gothic" w:hAnsi="Century Gothic" w:cs="Arial"/>
        </w:rPr>
        <w:t xml:space="preserve">- El citado precepto, al establecer la imposición de una multa a la parte quejosa y su abogado solidariamente, si el recurso de queja interpuesto contra la resolución que niega la admisión de la demanda o la que deniega una apelación es infundado, viola el derecho fundamental a la tutela jurisdiccional previsto en el artículo 17 de la Constitución Política de los Estados Unidos Mexicanos, en virtud de que dicha imposición constituye un impedimento legal para acceder a la justicia, al desalentar e inhibir su promoción y condicionar injustificadamente el acceso a ésta. En efecto, el establecimiento de una multa en atención al sentido en que se resuelva en lo material el recurso, constituye una traba innecesaria </w:t>
      </w:r>
      <w:r w:rsidRPr="00BA57A8">
        <w:rPr>
          <w:rFonts w:ascii="Century Gothic" w:hAnsi="Century Gothic" w:cs="Arial"/>
        </w:rPr>
        <w:lastRenderedPageBreak/>
        <w:t>entre los gobernados y los tribunales para acceder a plantear una pretensión de inconformidad, lo cual restringe indebidamente el derecho fundamental de pedir justicia.”</w:t>
      </w:r>
    </w:p>
    <w:p w:rsidR="006A03AE" w:rsidRPr="001D3EDC" w:rsidRDefault="006A03AE" w:rsidP="006A03AE">
      <w:pPr>
        <w:tabs>
          <w:tab w:val="left" w:pos="-16160"/>
        </w:tabs>
        <w:spacing w:before="240" w:after="240" w:line="360" w:lineRule="auto"/>
        <w:ind w:firstLine="851"/>
        <w:jc w:val="both"/>
        <w:rPr>
          <w:rFonts w:ascii="Century Gothic" w:hAnsi="Century Gothic" w:cs="Arial"/>
          <w:b/>
          <w:sz w:val="24"/>
          <w:szCs w:val="24"/>
        </w:rPr>
      </w:pPr>
      <w:r>
        <w:rPr>
          <w:rFonts w:ascii="Century Gothic" w:hAnsi="Century Gothic" w:cs="Arial"/>
          <w:b/>
          <w:sz w:val="24"/>
          <w:szCs w:val="24"/>
        </w:rPr>
        <w:t>NOVENO</w:t>
      </w:r>
      <w:r w:rsidRPr="001D3EDC">
        <w:rPr>
          <w:rFonts w:ascii="Century Gothic" w:hAnsi="Century Gothic" w:cs="Arial"/>
          <w:b/>
          <w:sz w:val="24"/>
          <w:szCs w:val="24"/>
        </w:rPr>
        <w:t>. Transparencia.</w:t>
      </w:r>
    </w:p>
    <w:p w:rsidR="006A03AE" w:rsidRPr="001D3EDC" w:rsidRDefault="006A03AE" w:rsidP="006A03AE">
      <w:pPr>
        <w:tabs>
          <w:tab w:val="left" w:pos="-16160"/>
        </w:tabs>
        <w:spacing w:before="240" w:after="240" w:line="360" w:lineRule="auto"/>
        <w:ind w:firstLine="851"/>
        <w:jc w:val="both"/>
        <w:rPr>
          <w:rFonts w:ascii="Century Gothic" w:hAnsi="Century Gothic" w:cs="Arial"/>
          <w:b/>
          <w:sz w:val="24"/>
          <w:szCs w:val="24"/>
        </w:rPr>
      </w:pPr>
      <w:r w:rsidRPr="001D3EDC">
        <w:rPr>
          <w:rFonts w:ascii="Century Gothic" w:hAnsi="Century Gothic"/>
          <w:sz w:val="24"/>
          <w:szCs w:val="24"/>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rsidR="006A03AE" w:rsidRPr="001D3EDC" w:rsidRDefault="006A03AE" w:rsidP="006A03AE">
      <w:pPr>
        <w:tabs>
          <w:tab w:val="left" w:pos="-16160"/>
        </w:tabs>
        <w:spacing w:before="240" w:after="240" w:line="360" w:lineRule="auto"/>
        <w:ind w:firstLine="851"/>
        <w:jc w:val="both"/>
        <w:rPr>
          <w:rFonts w:ascii="Century Gothic" w:hAnsi="Century Gothic" w:cs="Arial"/>
          <w:b/>
          <w:sz w:val="24"/>
          <w:szCs w:val="24"/>
        </w:rPr>
      </w:pPr>
      <w:r>
        <w:rPr>
          <w:rFonts w:ascii="Century Gothic" w:hAnsi="Century Gothic" w:cs="Arial"/>
          <w:b/>
          <w:sz w:val="24"/>
          <w:szCs w:val="24"/>
        </w:rPr>
        <w:t>DÉCIMO</w:t>
      </w:r>
      <w:r w:rsidRPr="001D3EDC">
        <w:rPr>
          <w:rFonts w:ascii="Century Gothic" w:hAnsi="Century Gothic" w:cs="Arial"/>
          <w:b/>
          <w:sz w:val="24"/>
          <w:szCs w:val="24"/>
        </w:rPr>
        <w:t>. Notificación y archivo.</w:t>
      </w:r>
    </w:p>
    <w:p w:rsidR="006A03AE" w:rsidRPr="001D3EDC" w:rsidRDefault="006A03AE" w:rsidP="006A03AE">
      <w:pPr>
        <w:tabs>
          <w:tab w:val="left" w:pos="-16160"/>
        </w:tabs>
        <w:spacing w:before="240" w:after="240" w:line="360" w:lineRule="auto"/>
        <w:ind w:firstLine="851"/>
        <w:jc w:val="both"/>
        <w:rPr>
          <w:rFonts w:ascii="Century Gothic" w:hAnsi="Century Gothic" w:cs="Arial"/>
          <w:b/>
          <w:sz w:val="24"/>
          <w:szCs w:val="24"/>
        </w:rPr>
      </w:pPr>
      <w:r w:rsidRPr="001D3EDC">
        <w:rPr>
          <w:rFonts w:ascii="Century Gothic" w:hAnsi="Century Gothic" w:cs="Arial"/>
          <w:sz w:val="24"/>
          <w:szCs w:val="24"/>
        </w:rPr>
        <w:t>Finalmente, de conformidad con lo establecido en el numeral 109, fracciones III y IV, del Código de Procedimientos Civiles, se ordena notificar la presente resolución de manera personal a las partes.</w:t>
      </w:r>
    </w:p>
    <w:p w:rsidR="006A03AE" w:rsidRPr="001D3EDC" w:rsidRDefault="006A03AE" w:rsidP="006A03AE">
      <w:pPr>
        <w:tabs>
          <w:tab w:val="left" w:pos="-16160"/>
        </w:tabs>
        <w:spacing w:before="240" w:after="240" w:line="360" w:lineRule="auto"/>
        <w:ind w:firstLine="851"/>
        <w:jc w:val="both"/>
        <w:rPr>
          <w:rFonts w:ascii="Century Gothic" w:hAnsi="Century Gothic" w:cs="Arial"/>
          <w:b/>
          <w:sz w:val="24"/>
          <w:szCs w:val="24"/>
        </w:rPr>
      </w:pPr>
      <w:r w:rsidRPr="001D3EDC">
        <w:rPr>
          <w:rFonts w:ascii="Century Gothic" w:hAnsi="Century Gothic" w:cs="Arial"/>
          <w:sz w:val="24"/>
          <w:szCs w:val="24"/>
        </w:rPr>
        <w:t xml:space="preserve">En su oportunidad, archívese </w:t>
      </w:r>
      <w:proofErr w:type="gramStart"/>
      <w:r w:rsidRPr="001D3EDC">
        <w:rPr>
          <w:rFonts w:ascii="Century Gothic" w:hAnsi="Century Gothic" w:cs="Arial"/>
          <w:sz w:val="24"/>
          <w:szCs w:val="24"/>
        </w:rPr>
        <w:t>el presente toca</w:t>
      </w:r>
      <w:proofErr w:type="gramEnd"/>
      <w:r w:rsidRPr="001D3EDC">
        <w:rPr>
          <w:rFonts w:ascii="Century Gothic" w:hAnsi="Century Gothic" w:cs="Arial"/>
          <w:sz w:val="24"/>
          <w:szCs w:val="24"/>
        </w:rPr>
        <w:t>, como asunto concluido.</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sz w:val="24"/>
          <w:szCs w:val="24"/>
        </w:rPr>
        <w:t>Por lo anteriormente expuesto y con fundamento en lo dispuesto por los artículos 78, 81, 83, 87 y 975 del Código de Procedimientos Civiles, se resuelve:</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b/>
          <w:bCs/>
          <w:sz w:val="24"/>
          <w:szCs w:val="24"/>
        </w:rPr>
        <w:lastRenderedPageBreak/>
        <w:t xml:space="preserve">PRIMERO. </w:t>
      </w:r>
      <w:r w:rsidRPr="001D3EDC">
        <w:rPr>
          <w:rFonts w:ascii="Century Gothic" w:hAnsi="Century Gothic" w:cs="Arial"/>
          <w:sz w:val="24"/>
          <w:szCs w:val="24"/>
        </w:rPr>
        <w:t xml:space="preserve">Este Tribunal en Pleno resultó competente para conocer del recurso de queja interpuesto por </w:t>
      </w:r>
      <w:r w:rsidR="00B728DC">
        <w:rPr>
          <w:rFonts w:ascii="Century Gothic" w:hAnsi="Century Gothic" w:cs="Arial"/>
          <w:b/>
          <w:bCs/>
          <w:sz w:val="24"/>
          <w:szCs w:val="24"/>
        </w:rPr>
        <w:t>ELIMINADO</w:t>
      </w:r>
      <w:r w:rsidRPr="00C02C04">
        <w:rPr>
          <w:rFonts w:ascii="Century Gothic" w:hAnsi="Century Gothic" w:cs="Arial"/>
          <w:b/>
          <w:bCs/>
          <w:sz w:val="24"/>
          <w:szCs w:val="24"/>
        </w:rPr>
        <w:t xml:space="preserve">, </w:t>
      </w:r>
      <w:r w:rsidR="00E83AE0" w:rsidRPr="00E83AE0">
        <w:rPr>
          <w:rFonts w:ascii="Century Gothic" w:hAnsi="Century Gothic" w:cs="Arial"/>
          <w:bCs/>
          <w:sz w:val="24"/>
          <w:szCs w:val="24"/>
        </w:rPr>
        <w:t>en su calidad de</w:t>
      </w:r>
      <w:r w:rsidR="00E83AE0">
        <w:rPr>
          <w:rFonts w:ascii="Century Gothic" w:hAnsi="Century Gothic" w:cs="Arial"/>
          <w:b/>
          <w:bCs/>
          <w:sz w:val="24"/>
          <w:szCs w:val="24"/>
        </w:rPr>
        <w:t xml:space="preserve"> </w:t>
      </w:r>
      <w:r w:rsidRPr="00C02C04">
        <w:rPr>
          <w:rFonts w:ascii="Century Gothic" w:hAnsi="Century Gothic" w:cs="Arial"/>
          <w:bCs/>
          <w:sz w:val="24"/>
          <w:szCs w:val="24"/>
        </w:rPr>
        <w:t xml:space="preserve">abogada de </w:t>
      </w:r>
      <w:r w:rsidR="00B728DC">
        <w:rPr>
          <w:rFonts w:ascii="Century Gothic" w:hAnsi="Century Gothic" w:cs="Arial"/>
          <w:b/>
          <w:bCs/>
          <w:sz w:val="24"/>
          <w:szCs w:val="24"/>
        </w:rPr>
        <w:t>ELIMINADO</w:t>
      </w:r>
      <w:r w:rsidRPr="001D3EDC">
        <w:rPr>
          <w:rFonts w:ascii="Century Gothic" w:hAnsi="Century Gothic" w:cs="Arial"/>
          <w:sz w:val="24"/>
          <w:szCs w:val="24"/>
        </w:rPr>
        <w:t xml:space="preserve">. </w:t>
      </w:r>
    </w:p>
    <w:p w:rsidR="006A03AE" w:rsidRPr="001D3EDC" w:rsidRDefault="006A03AE" w:rsidP="006A03AE">
      <w:pPr>
        <w:tabs>
          <w:tab w:val="left" w:pos="-16160"/>
        </w:tabs>
        <w:spacing w:before="240" w:after="240" w:line="360" w:lineRule="auto"/>
        <w:ind w:firstLine="851"/>
        <w:jc w:val="both"/>
        <w:rPr>
          <w:rFonts w:ascii="Century Gothic" w:hAnsi="Century Gothic" w:cs="Arial"/>
          <w:bCs/>
          <w:sz w:val="24"/>
          <w:szCs w:val="24"/>
        </w:rPr>
      </w:pPr>
      <w:r w:rsidRPr="001D3EDC">
        <w:rPr>
          <w:rFonts w:ascii="Century Gothic" w:hAnsi="Century Gothic" w:cs="Arial"/>
          <w:b/>
          <w:bCs/>
          <w:sz w:val="24"/>
          <w:szCs w:val="24"/>
        </w:rPr>
        <w:t xml:space="preserve">SEGUNDO. </w:t>
      </w:r>
      <w:r w:rsidRPr="001D3EDC">
        <w:rPr>
          <w:rFonts w:ascii="Century Gothic" w:hAnsi="Century Gothic" w:cs="Arial"/>
          <w:bCs/>
          <w:sz w:val="24"/>
          <w:szCs w:val="24"/>
        </w:rPr>
        <w:t xml:space="preserve">Resultó infundado el recurso de queja interpuesto por </w:t>
      </w:r>
      <w:r w:rsidR="00B728DC">
        <w:rPr>
          <w:rFonts w:ascii="Century Gothic" w:hAnsi="Century Gothic" w:cs="Arial"/>
          <w:b/>
          <w:bCs/>
          <w:sz w:val="24"/>
          <w:szCs w:val="24"/>
        </w:rPr>
        <w:t>ELIMINADO</w:t>
      </w:r>
      <w:r w:rsidRPr="00C02C04">
        <w:rPr>
          <w:rFonts w:ascii="Century Gothic" w:hAnsi="Century Gothic" w:cs="Arial"/>
          <w:b/>
          <w:bCs/>
          <w:sz w:val="24"/>
          <w:szCs w:val="24"/>
        </w:rPr>
        <w:t xml:space="preserve">, </w:t>
      </w:r>
      <w:r w:rsidRPr="00C02C04">
        <w:rPr>
          <w:rFonts w:ascii="Century Gothic" w:hAnsi="Century Gothic" w:cs="Arial"/>
          <w:bCs/>
          <w:sz w:val="24"/>
          <w:szCs w:val="24"/>
        </w:rPr>
        <w:t xml:space="preserve">abogada de </w:t>
      </w:r>
      <w:r w:rsidR="00B728DC">
        <w:rPr>
          <w:rFonts w:ascii="Century Gothic" w:hAnsi="Century Gothic" w:cs="Arial"/>
          <w:b/>
          <w:bCs/>
          <w:sz w:val="24"/>
          <w:szCs w:val="24"/>
        </w:rPr>
        <w:t>ELIMINADO</w:t>
      </w:r>
      <w:r w:rsidRPr="00AD0AA1">
        <w:rPr>
          <w:rFonts w:ascii="Century Gothic" w:hAnsi="Century Gothic" w:cs="Arial"/>
          <w:sz w:val="24"/>
          <w:szCs w:val="24"/>
        </w:rPr>
        <w:t>,</w:t>
      </w:r>
      <w:r w:rsidRPr="001D3EDC">
        <w:rPr>
          <w:rFonts w:ascii="Century Gothic" w:hAnsi="Century Gothic" w:cs="Arial"/>
          <w:bCs/>
          <w:sz w:val="24"/>
          <w:szCs w:val="24"/>
        </w:rPr>
        <w:t xml:space="preserve"> parte </w:t>
      </w:r>
      <w:r>
        <w:rPr>
          <w:rFonts w:ascii="Century Gothic" w:hAnsi="Century Gothic" w:cs="Arial"/>
          <w:bCs/>
          <w:sz w:val="24"/>
          <w:szCs w:val="24"/>
        </w:rPr>
        <w:t xml:space="preserve">actora </w:t>
      </w:r>
      <w:r w:rsidRPr="001D3EDC">
        <w:rPr>
          <w:rFonts w:ascii="Century Gothic" w:hAnsi="Century Gothic" w:cs="Arial"/>
          <w:bCs/>
          <w:sz w:val="24"/>
          <w:szCs w:val="24"/>
        </w:rPr>
        <w:t xml:space="preserve">en el </w:t>
      </w:r>
      <w:r>
        <w:rPr>
          <w:rFonts w:ascii="Century Gothic" w:hAnsi="Century Gothic" w:cs="Arial"/>
          <w:bCs/>
          <w:sz w:val="24"/>
          <w:szCs w:val="24"/>
        </w:rPr>
        <w:t>juicio de controversia familiar</w:t>
      </w:r>
      <w:r w:rsidRPr="001D3EDC">
        <w:rPr>
          <w:rFonts w:ascii="Century Gothic" w:hAnsi="Century Gothic" w:cs="Arial"/>
          <w:bCs/>
          <w:sz w:val="24"/>
          <w:szCs w:val="24"/>
        </w:rPr>
        <w:t>.</w:t>
      </w:r>
    </w:p>
    <w:p w:rsidR="006A03AE"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b/>
          <w:bCs/>
          <w:sz w:val="24"/>
          <w:szCs w:val="24"/>
        </w:rPr>
        <w:t xml:space="preserve">TERCERO. </w:t>
      </w:r>
      <w:r w:rsidRPr="001D3EDC">
        <w:rPr>
          <w:rFonts w:ascii="Century Gothic" w:hAnsi="Century Gothic" w:cs="Arial"/>
          <w:sz w:val="24"/>
          <w:szCs w:val="24"/>
        </w:rPr>
        <w:t xml:space="preserve">En consecuencia, al no estar fundado en derecho, </w:t>
      </w:r>
      <w:r w:rsidRPr="001D3EDC">
        <w:rPr>
          <w:rFonts w:ascii="Century Gothic" w:hAnsi="Century Gothic" w:cs="Arial"/>
          <w:b/>
          <w:sz w:val="24"/>
          <w:szCs w:val="24"/>
        </w:rPr>
        <w:t xml:space="preserve">se desecha por improcedente el recurso de queja, </w:t>
      </w:r>
      <w:r w:rsidRPr="001D3EDC">
        <w:rPr>
          <w:rFonts w:ascii="Century Gothic" w:hAnsi="Century Gothic" w:cs="Arial"/>
          <w:sz w:val="24"/>
          <w:szCs w:val="24"/>
        </w:rPr>
        <w:t xml:space="preserve">interpuesto por </w:t>
      </w:r>
      <w:r w:rsidR="00B728DC">
        <w:rPr>
          <w:rFonts w:ascii="Century Gothic" w:hAnsi="Century Gothic" w:cs="Arial"/>
          <w:b/>
          <w:bCs/>
          <w:sz w:val="24"/>
          <w:szCs w:val="24"/>
        </w:rPr>
        <w:t>ELIMINADO</w:t>
      </w:r>
      <w:r w:rsidRPr="00C02C04">
        <w:rPr>
          <w:rFonts w:ascii="Century Gothic" w:hAnsi="Century Gothic" w:cs="Arial"/>
          <w:b/>
          <w:bCs/>
          <w:sz w:val="24"/>
          <w:szCs w:val="24"/>
        </w:rPr>
        <w:t xml:space="preserve">, </w:t>
      </w:r>
      <w:r w:rsidRPr="00C02C04">
        <w:rPr>
          <w:rFonts w:ascii="Century Gothic" w:hAnsi="Century Gothic" w:cs="Arial"/>
          <w:bCs/>
          <w:sz w:val="24"/>
          <w:szCs w:val="24"/>
        </w:rPr>
        <w:t xml:space="preserve">abogada de </w:t>
      </w:r>
      <w:r w:rsidR="00B728DC">
        <w:rPr>
          <w:rFonts w:ascii="Century Gothic" w:hAnsi="Century Gothic" w:cs="Arial"/>
          <w:b/>
          <w:bCs/>
          <w:sz w:val="24"/>
          <w:szCs w:val="24"/>
        </w:rPr>
        <w:t>ELIMINADO</w:t>
      </w:r>
      <w:r w:rsidRPr="00AD0AA1">
        <w:rPr>
          <w:rFonts w:ascii="Century Gothic" w:hAnsi="Century Gothic" w:cs="Arial"/>
          <w:sz w:val="24"/>
          <w:szCs w:val="24"/>
        </w:rPr>
        <w:t>,</w:t>
      </w:r>
      <w:r w:rsidRPr="001D3EDC">
        <w:rPr>
          <w:rFonts w:ascii="Century Gothic" w:hAnsi="Century Gothic" w:cs="Arial"/>
          <w:sz w:val="24"/>
          <w:szCs w:val="24"/>
        </w:rPr>
        <w:t xml:space="preserve"> en contra del auto dictado el 19 diecinueve de </w:t>
      </w:r>
      <w:r>
        <w:rPr>
          <w:rFonts w:ascii="Century Gothic" w:hAnsi="Century Gothic" w:cs="Arial"/>
          <w:sz w:val="24"/>
          <w:szCs w:val="24"/>
        </w:rPr>
        <w:t xml:space="preserve">noviembre </w:t>
      </w:r>
      <w:r w:rsidRPr="001D3EDC">
        <w:rPr>
          <w:rFonts w:ascii="Century Gothic" w:hAnsi="Century Gothic" w:cs="Arial"/>
          <w:sz w:val="24"/>
          <w:szCs w:val="24"/>
        </w:rPr>
        <w:t>de 202</w:t>
      </w:r>
      <w:r>
        <w:rPr>
          <w:rFonts w:ascii="Century Gothic" w:hAnsi="Century Gothic" w:cs="Arial"/>
          <w:sz w:val="24"/>
          <w:szCs w:val="24"/>
        </w:rPr>
        <w:t>0</w:t>
      </w:r>
      <w:r w:rsidRPr="001D3EDC">
        <w:rPr>
          <w:rFonts w:ascii="Century Gothic" w:hAnsi="Century Gothic" w:cs="Arial"/>
          <w:sz w:val="24"/>
          <w:szCs w:val="24"/>
        </w:rPr>
        <w:t xml:space="preserve"> dos mil veint</w:t>
      </w:r>
      <w:r>
        <w:rPr>
          <w:rFonts w:ascii="Century Gothic" w:hAnsi="Century Gothic" w:cs="Arial"/>
          <w:sz w:val="24"/>
          <w:szCs w:val="24"/>
        </w:rPr>
        <w:t>e,</w:t>
      </w:r>
      <w:r w:rsidRPr="001D3EDC">
        <w:rPr>
          <w:rFonts w:ascii="Century Gothic" w:hAnsi="Century Gothic" w:cs="Arial"/>
          <w:sz w:val="24"/>
          <w:szCs w:val="24"/>
        </w:rPr>
        <w:t xml:space="preserve"> por el Juez </w:t>
      </w:r>
      <w:r>
        <w:rPr>
          <w:rFonts w:ascii="Century Gothic" w:hAnsi="Century Gothic" w:cs="Arial"/>
          <w:sz w:val="24"/>
          <w:szCs w:val="24"/>
        </w:rPr>
        <w:t xml:space="preserve">Quinto del Ramo Familiar </w:t>
      </w:r>
      <w:r w:rsidRPr="001D3EDC">
        <w:rPr>
          <w:rFonts w:ascii="Century Gothic" w:hAnsi="Century Gothic" w:cs="Arial"/>
          <w:sz w:val="24"/>
          <w:szCs w:val="24"/>
        </w:rPr>
        <w:t>con residencia en esta Ciudad, que desechó el recurso de apelación interpuesto por la hoy quejosa, en el expedient</w:t>
      </w:r>
      <w:r>
        <w:rPr>
          <w:rFonts w:ascii="Century Gothic" w:hAnsi="Century Gothic" w:cs="Arial"/>
          <w:sz w:val="24"/>
          <w:szCs w:val="24"/>
        </w:rPr>
        <w:t xml:space="preserve">e </w:t>
      </w:r>
      <w:r w:rsidRPr="001D3EDC">
        <w:rPr>
          <w:rFonts w:ascii="Century Gothic" w:hAnsi="Century Gothic" w:cs="Arial"/>
          <w:b/>
          <w:sz w:val="24"/>
          <w:szCs w:val="24"/>
        </w:rPr>
        <w:t>74</w:t>
      </w:r>
      <w:r w:rsidRPr="001D3EDC">
        <w:rPr>
          <w:rFonts w:ascii="Century Gothic" w:hAnsi="Century Gothic" w:cs="Arial"/>
          <w:sz w:val="24"/>
          <w:szCs w:val="24"/>
        </w:rPr>
        <w:t>/</w:t>
      </w:r>
      <w:r w:rsidRPr="001D3EDC">
        <w:rPr>
          <w:rFonts w:ascii="Century Gothic" w:hAnsi="Century Gothic" w:cs="Arial"/>
          <w:b/>
          <w:sz w:val="24"/>
          <w:szCs w:val="24"/>
        </w:rPr>
        <w:t>2020</w:t>
      </w:r>
      <w:r w:rsidRPr="001D3EDC">
        <w:rPr>
          <w:rFonts w:ascii="Century Gothic" w:hAnsi="Century Gothic" w:cs="Arial"/>
          <w:sz w:val="24"/>
          <w:szCs w:val="24"/>
        </w:rPr>
        <w:t xml:space="preserve"> deducido del juicio </w:t>
      </w:r>
      <w:r>
        <w:rPr>
          <w:rFonts w:ascii="Century Gothic" w:hAnsi="Century Gothic" w:cs="Arial"/>
          <w:sz w:val="24"/>
          <w:szCs w:val="24"/>
        </w:rPr>
        <w:t xml:space="preserve">de </w:t>
      </w:r>
      <w:r w:rsidRPr="00C12AE2">
        <w:rPr>
          <w:rFonts w:ascii="Century Gothic" w:hAnsi="Century Gothic" w:cs="Arial"/>
          <w:b/>
          <w:sz w:val="24"/>
          <w:szCs w:val="24"/>
        </w:rPr>
        <w:t>Controversia Familiar por Alimentos</w:t>
      </w:r>
      <w:r>
        <w:rPr>
          <w:rFonts w:ascii="Century Gothic" w:hAnsi="Century Gothic" w:cs="Arial"/>
          <w:sz w:val="24"/>
          <w:szCs w:val="24"/>
        </w:rPr>
        <w:t xml:space="preserve"> </w:t>
      </w:r>
      <w:r w:rsidRPr="009C5BDC">
        <w:rPr>
          <w:rFonts w:ascii="Century Gothic" w:hAnsi="Century Gothic" w:cs="Arial"/>
          <w:sz w:val="24"/>
          <w:szCs w:val="24"/>
        </w:rPr>
        <w:t>promovido</w:t>
      </w:r>
      <w:r>
        <w:rPr>
          <w:rFonts w:ascii="Century Gothic" w:hAnsi="Century Gothic" w:cs="Arial"/>
          <w:b/>
          <w:sz w:val="24"/>
          <w:szCs w:val="24"/>
        </w:rPr>
        <w:t xml:space="preserve"> </w:t>
      </w:r>
      <w:r w:rsidRPr="00AD0AA1">
        <w:rPr>
          <w:rFonts w:ascii="Century Gothic" w:hAnsi="Century Gothic" w:cs="Arial"/>
          <w:sz w:val="24"/>
          <w:szCs w:val="24"/>
        </w:rPr>
        <w:t xml:space="preserve">por </w:t>
      </w:r>
      <w:r w:rsidR="00B728DC">
        <w:rPr>
          <w:rFonts w:ascii="Century Gothic" w:hAnsi="Century Gothic" w:cs="Arial"/>
          <w:b/>
          <w:sz w:val="24"/>
          <w:szCs w:val="24"/>
        </w:rPr>
        <w:t>ELIMINADO</w:t>
      </w:r>
      <w:r w:rsidRPr="00AD0AA1">
        <w:rPr>
          <w:rFonts w:ascii="Century Gothic" w:hAnsi="Century Gothic" w:cs="Arial"/>
          <w:b/>
          <w:sz w:val="24"/>
          <w:szCs w:val="24"/>
        </w:rPr>
        <w:t>,</w:t>
      </w:r>
      <w:r w:rsidRPr="00AD0AA1">
        <w:rPr>
          <w:rFonts w:ascii="Century Gothic" w:hAnsi="Century Gothic" w:cs="Arial"/>
          <w:sz w:val="24"/>
          <w:szCs w:val="24"/>
        </w:rPr>
        <w:t xml:space="preserve"> en contra de </w:t>
      </w:r>
      <w:r w:rsidR="00B728DC">
        <w:rPr>
          <w:rFonts w:ascii="Century Gothic" w:hAnsi="Century Gothic" w:cs="Arial"/>
          <w:b/>
          <w:sz w:val="24"/>
          <w:szCs w:val="24"/>
        </w:rPr>
        <w:t>ELIMINADO</w:t>
      </w:r>
      <w:r w:rsidRPr="00DD145E">
        <w:rPr>
          <w:rFonts w:ascii="Century Gothic" w:hAnsi="Century Gothic" w:cs="Arial"/>
          <w:b/>
          <w:sz w:val="24"/>
          <w:szCs w:val="24"/>
        </w:rPr>
        <w:t>;</w:t>
      </w:r>
      <w:r w:rsidRPr="001D3EDC">
        <w:rPr>
          <w:rFonts w:ascii="Century Gothic" w:hAnsi="Century Gothic" w:cs="Arial"/>
          <w:sz w:val="24"/>
          <w:szCs w:val="24"/>
        </w:rPr>
        <w:t xml:space="preserve"> y, en consecuencia, se </w:t>
      </w:r>
      <w:r w:rsidRPr="00E0381B">
        <w:rPr>
          <w:rFonts w:ascii="Century Gothic" w:hAnsi="Century Gothic" w:cs="Arial"/>
          <w:b/>
          <w:sz w:val="24"/>
          <w:szCs w:val="24"/>
        </w:rPr>
        <w:t>confirma</w:t>
      </w:r>
      <w:r w:rsidRPr="001D3EDC">
        <w:rPr>
          <w:rFonts w:ascii="Century Gothic" w:hAnsi="Century Gothic" w:cs="Arial"/>
          <w:sz w:val="24"/>
          <w:szCs w:val="24"/>
        </w:rPr>
        <w:t xml:space="preserve"> la resolución impugnada.</w:t>
      </w:r>
    </w:p>
    <w:p w:rsidR="006A03AE" w:rsidRPr="001D3EDC" w:rsidRDefault="006A03AE" w:rsidP="006A03AE">
      <w:pPr>
        <w:tabs>
          <w:tab w:val="left" w:pos="-16160"/>
        </w:tabs>
        <w:spacing w:before="240" w:after="240" w:line="360" w:lineRule="auto"/>
        <w:ind w:firstLine="851"/>
        <w:jc w:val="both"/>
        <w:rPr>
          <w:rFonts w:ascii="Century Gothic" w:hAnsi="Century Gothic" w:cs="Arial"/>
          <w:bCs/>
          <w:sz w:val="24"/>
          <w:szCs w:val="24"/>
        </w:rPr>
      </w:pPr>
      <w:r w:rsidRPr="001D3EDC">
        <w:rPr>
          <w:rFonts w:ascii="Century Gothic" w:hAnsi="Century Gothic" w:cs="Arial"/>
          <w:b/>
          <w:bCs/>
          <w:sz w:val="24"/>
          <w:szCs w:val="24"/>
        </w:rPr>
        <w:t>CUARTO</w:t>
      </w:r>
      <w:r w:rsidRPr="001D3EDC">
        <w:rPr>
          <w:rFonts w:ascii="Century Gothic" w:hAnsi="Century Gothic" w:cs="Arial"/>
          <w:bCs/>
          <w:sz w:val="24"/>
          <w:szCs w:val="24"/>
        </w:rPr>
        <w:t xml:space="preserve">. </w:t>
      </w:r>
      <w:r w:rsidRPr="001D3EDC">
        <w:rPr>
          <w:rFonts w:ascii="Century Gothic" w:hAnsi="Century Gothic" w:cs="Arial"/>
          <w:sz w:val="24"/>
          <w:szCs w:val="24"/>
        </w:rPr>
        <w:t>No ha lugar a imponer multa a la parte quejosa</w:t>
      </w:r>
      <w:r w:rsidRPr="001D3EDC">
        <w:rPr>
          <w:rFonts w:ascii="Century Gothic" w:hAnsi="Century Gothic" w:cs="Arial"/>
          <w:bCs/>
          <w:sz w:val="24"/>
          <w:szCs w:val="24"/>
        </w:rPr>
        <w:t>.</w:t>
      </w:r>
    </w:p>
    <w:p w:rsidR="006A03AE" w:rsidRPr="001D3EDC" w:rsidRDefault="006A03AE" w:rsidP="006A03AE">
      <w:pPr>
        <w:tabs>
          <w:tab w:val="left" w:pos="-16160"/>
        </w:tabs>
        <w:spacing w:before="240" w:after="240" w:line="360" w:lineRule="auto"/>
        <w:ind w:firstLine="851"/>
        <w:jc w:val="both"/>
        <w:rPr>
          <w:rFonts w:ascii="Century Gothic" w:hAnsi="Century Gothic" w:cs="Arial"/>
          <w:bCs/>
          <w:sz w:val="24"/>
          <w:szCs w:val="24"/>
        </w:rPr>
      </w:pPr>
      <w:r w:rsidRPr="001D3EDC">
        <w:rPr>
          <w:rFonts w:ascii="Century Gothic" w:hAnsi="Century Gothic" w:cs="Arial"/>
          <w:b/>
          <w:bCs/>
          <w:sz w:val="24"/>
          <w:szCs w:val="24"/>
        </w:rPr>
        <w:t xml:space="preserve">QUINTO. </w:t>
      </w:r>
      <w:r w:rsidRPr="001D3EDC">
        <w:rPr>
          <w:rFonts w:ascii="Century Gothic" w:hAnsi="Century Gothic" w:cs="Arial"/>
          <w:bCs/>
          <w:sz w:val="24"/>
          <w:szCs w:val="24"/>
        </w:rPr>
        <w:t>Al no existir inconformidad de las partes respecto a que sus datos personales se incluyan en la publicación de la sentencia, al efectuarse la misma inclúyanse tales datos, con la protección oficiosa que corresponda.</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b/>
          <w:bCs/>
          <w:sz w:val="24"/>
          <w:szCs w:val="24"/>
        </w:rPr>
        <w:t xml:space="preserve">SEXTO. </w:t>
      </w:r>
      <w:r w:rsidRPr="001D3EDC">
        <w:rPr>
          <w:rFonts w:ascii="Century Gothic" w:hAnsi="Century Gothic" w:cs="Arial"/>
          <w:sz w:val="24"/>
          <w:szCs w:val="24"/>
        </w:rPr>
        <w:t xml:space="preserve">Envíese copia certificada de la presente resolución al Juez </w:t>
      </w:r>
      <w:r>
        <w:rPr>
          <w:rFonts w:ascii="Century Gothic" w:hAnsi="Century Gothic" w:cs="Arial"/>
          <w:sz w:val="24"/>
          <w:szCs w:val="24"/>
        </w:rPr>
        <w:t xml:space="preserve">Quinto del Ramo Familiar </w:t>
      </w:r>
      <w:r w:rsidRPr="001D3EDC">
        <w:rPr>
          <w:rFonts w:ascii="Century Gothic" w:hAnsi="Century Gothic" w:cs="Arial"/>
          <w:sz w:val="24"/>
          <w:szCs w:val="24"/>
        </w:rPr>
        <w:t>con residencia en esta ciudad,</w:t>
      </w:r>
      <w:r>
        <w:rPr>
          <w:rFonts w:ascii="Century Gothic" w:hAnsi="Century Gothic" w:cs="Arial"/>
          <w:sz w:val="24"/>
          <w:szCs w:val="24"/>
        </w:rPr>
        <w:t xml:space="preserve"> </w:t>
      </w:r>
      <w:r w:rsidRPr="001D3EDC">
        <w:rPr>
          <w:rFonts w:ascii="Century Gothic" w:hAnsi="Century Gothic" w:cs="Arial"/>
          <w:sz w:val="24"/>
          <w:szCs w:val="24"/>
        </w:rPr>
        <w:t xml:space="preserve">para los efectos legales a que haya lugar, y en su oportunidad archívese </w:t>
      </w:r>
      <w:proofErr w:type="gramStart"/>
      <w:r w:rsidRPr="001D3EDC">
        <w:rPr>
          <w:rFonts w:ascii="Century Gothic" w:hAnsi="Century Gothic" w:cs="Arial"/>
          <w:sz w:val="24"/>
          <w:szCs w:val="24"/>
        </w:rPr>
        <w:t>el toca</w:t>
      </w:r>
      <w:proofErr w:type="gramEnd"/>
      <w:r w:rsidRPr="001D3EDC">
        <w:rPr>
          <w:rFonts w:ascii="Century Gothic" w:hAnsi="Century Gothic" w:cs="Arial"/>
          <w:sz w:val="24"/>
          <w:szCs w:val="24"/>
        </w:rPr>
        <w:t xml:space="preserve"> donde corresponda.</w:t>
      </w:r>
    </w:p>
    <w:p w:rsidR="006A03AE" w:rsidRPr="001D3EDC" w:rsidRDefault="006A03AE" w:rsidP="006A03AE">
      <w:pPr>
        <w:tabs>
          <w:tab w:val="left" w:pos="-16160"/>
        </w:tabs>
        <w:spacing w:before="240" w:after="240" w:line="360" w:lineRule="auto"/>
        <w:ind w:firstLine="851"/>
        <w:jc w:val="both"/>
        <w:rPr>
          <w:rFonts w:ascii="Century Gothic" w:hAnsi="Century Gothic" w:cs="Arial"/>
          <w:sz w:val="24"/>
          <w:szCs w:val="24"/>
        </w:rPr>
      </w:pPr>
      <w:r w:rsidRPr="001D3EDC">
        <w:rPr>
          <w:rFonts w:ascii="Century Gothic" w:hAnsi="Century Gothic" w:cs="Arial"/>
          <w:b/>
          <w:bCs/>
          <w:sz w:val="24"/>
          <w:szCs w:val="24"/>
        </w:rPr>
        <w:t xml:space="preserve">SÉPTIMO. </w:t>
      </w:r>
      <w:r w:rsidRPr="001D3EDC">
        <w:rPr>
          <w:rFonts w:ascii="Century Gothic" w:hAnsi="Century Gothic" w:cs="Arial"/>
          <w:sz w:val="24"/>
          <w:szCs w:val="24"/>
        </w:rPr>
        <w:t>Notifíquese personalmente, comuníquese y cúmplase.</w:t>
      </w:r>
    </w:p>
    <w:p w:rsidR="006A03AE" w:rsidRDefault="006A03AE" w:rsidP="006A03AE">
      <w:pPr>
        <w:spacing w:after="120" w:line="360" w:lineRule="auto"/>
        <w:ind w:firstLine="851"/>
        <w:jc w:val="both"/>
        <w:rPr>
          <w:rFonts w:ascii="Century Gothic" w:hAnsi="Century Gothic" w:cs="Arial"/>
          <w:sz w:val="24"/>
          <w:szCs w:val="24"/>
        </w:rPr>
      </w:pPr>
      <w:r w:rsidRPr="001A0997">
        <w:rPr>
          <w:rFonts w:ascii="Century Gothic" w:hAnsi="Century Gothic" w:cs="Arial"/>
          <w:b/>
          <w:sz w:val="24"/>
          <w:szCs w:val="24"/>
        </w:rPr>
        <w:t>ASÍ,</w:t>
      </w:r>
      <w:r w:rsidRPr="001A0997">
        <w:rPr>
          <w:rFonts w:ascii="Century Gothic" w:hAnsi="Century Gothic" w:cs="Arial"/>
          <w:sz w:val="24"/>
          <w:szCs w:val="24"/>
        </w:rPr>
        <w:t xml:space="preserve"> por </w:t>
      </w:r>
      <w:r w:rsidR="005838FB">
        <w:rPr>
          <w:rFonts w:ascii="Century Gothic" w:hAnsi="Century Gothic" w:cs="Arial"/>
          <w:sz w:val="24"/>
          <w:szCs w:val="24"/>
        </w:rPr>
        <w:t>unanimidad</w:t>
      </w:r>
      <w:r w:rsidRPr="001A0997">
        <w:rPr>
          <w:rFonts w:ascii="Century Gothic" w:hAnsi="Century Gothic" w:cs="Arial"/>
          <w:sz w:val="24"/>
          <w:szCs w:val="24"/>
        </w:rPr>
        <w:t xml:space="preserve"> del voto de los presentes, lo resolvieron y firman los Señores Magistrados y Magistradas Olga Regina García López, José Armando Martínez Vázquez, Carlos Alejandro Robledo Zapata, Luz María Enriqueta Cabrero Romero, Rebeca </w:t>
      </w:r>
      <w:proofErr w:type="spellStart"/>
      <w:r w:rsidRPr="001A0997">
        <w:rPr>
          <w:rFonts w:ascii="Century Gothic" w:hAnsi="Century Gothic" w:cs="Arial"/>
          <w:sz w:val="24"/>
          <w:szCs w:val="24"/>
        </w:rPr>
        <w:t>Anastacia</w:t>
      </w:r>
      <w:proofErr w:type="spellEnd"/>
      <w:r w:rsidRPr="001A0997">
        <w:rPr>
          <w:rFonts w:ascii="Century Gothic" w:hAnsi="Century Gothic" w:cs="Arial"/>
          <w:sz w:val="24"/>
          <w:szCs w:val="24"/>
        </w:rPr>
        <w:t xml:space="preserve"> Medina García, Juan Paulo Almazán </w:t>
      </w:r>
      <w:proofErr w:type="spellStart"/>
      <w:r w:rsidRPr="001A0997">
        <w:rPr>
          <w:rFonts w:ascii="Century Gothic" w:hAnsi="Century Gothic" w:cs="Arial"/>
          <w:sz w:val="24"/>
          <w:szCs w:val="24"/>
        </w:rPr>
        <w:t>Cue</w:t>
      </w:r>
      <w:proofErr w:type="spellEnd"/>
      <w:r w:rsidRPr="001A0997">
        <w:rPr>
          <w:rFonts w:ascii="Century Gothic" w:hAnsi="Century Gothic" w:cs="Arial"/>
          <w:sz w:val="24"/>
          <w:szCs w:val="24"/>
        </w:rPr>
        <w:t xml:space="preserve">, María Manuela García Cázares, María Elena Palomino Reyna, Alma Delia González Centeno, Jesús María Ponce de León Montes, Alejandro Hernández Castillo, Graciela Treviño Rodríguez, Aracely Amparan Madrigal y José Luis Ortiz Bravo, </w:t>
      </w:r>
      <w:r w:rsidR="00850A43">
        <w:rPr>
          <w:rFonts w:ascii="Century Gothic" w:hAnsi="Century Gothic" w:cs="Arial"/>
          <w:sz w:val="24"/>
          <w:szCs w:val="24"/>
        </w:rPr>
        <w:t xml:space="preserve">con excusa de la </w:t>
      </w:r>
      <w:r w:rsidR="00850A43">
        <w:rPr>
          <w:rFonts w:ascii="Century Gothic" w:hAnsi="Century Gothic" w:cs="Arial"/>
          <w:sz w:val="24"/>
          <w:szCs w:val="24"/>
        </w:rPr>
        <w:lastRenderedPageBreak/>
        <w:t xml:space="preserve">Magistrada </w:t>
      </w:r>
      <w:r w:rsidR="00850A43" w:rsidRPr="001A0997">
        <w:rPr>
          <w:rFonts w:ascii="Century Gothic" w:hAnsi="Century Gothic" w:cs="Arial"/>
          <w:sz w:val="24"/>
          <w:szCs w:val="24"/>
        </w:rPr>
        <w:t>Ma. Guadalupe Orozco Santiago</w:t>
      </w:r>
      <w:r w:rsidR="00850A43">
        <w:rPr>
          <w:rFonts w:ascii="Century Gothic" w:hAnsi="Century Gothic" w:cs="Arial"/>
          <w:sz w:val="24"/>
          <w:szCs w:val="24"/>
        </w:rPr>
        <w:t>,</w:t>
      </w:r>
      <w:r w:rsidR="00850A43" w:rsidRPr="001A0997">
        <w:rPr>
          <w:rFonts w:ascii="Century Gothic" w:hAnsi="Century Gothic" w:cs="Arial"/>
          <w:sz w:val="24"/>
          <w:szCs w:val="24"/>
        </w:rPr>
        <w:t xml:space="preserve"> </w:t>
      </w:r>
      <w:r w:rsidRPr="001A0997">
        <w:rPr>
          <w:rFonts w:ascii="Century Gothic" w:hAnsi="Century Gothic" w:cs="Arial"/>
          <w:sz w:val="24"/>
          <w:szCs w:val="24"/>
        </w:rPr>
        <w:t>quienes integran el Pleno del Supremo Tribunal de Justicia del Estado; siendo ponente la Magistrada</w:t>
      </w:r>
      <w:r w:rsidRPr="001A0997">
        <w:rPr>
          <w:rFonts w:ascii="Century Gothic" w:hAnsi="Century Gothic" w:cs="Arial"/>
          <w:b/>
          <w:bCs/>
          <w:sz w:val="24"/>
          <w:szCs w:val="24"/>
        </w:rPr>
        <w:t xml:space="preserve"> </w:t>
      </w:r>
      <w:r w:rsidRPr="001A0997">
        <w:rPr>
          <w:rFonts w:ascii="Century Gothic" w:hAnsi="Century Gothic" w:cs="Arial"/>
          <w:b/>
          <w:sz w:val="24"/>
          <w:szCs w:val="24"/>
        </w:rPr>
        <w:t>Graciela Treviño Rodríguez</w:t>
      </w:r>
      <w:r w:rsidRPr="001A0997">
        <w:rPr>
          <w:rFonts w:ascii="Century Gothic" w:hAnsi="Century Gothic" w:cs="Arial"/>
          <w:sz w:val="24"/>
          <w:szCs w:val="24"/>
        </w:rPr>
        <w:t xml:space="preserve">, quienes actúan con Secretaria General de Acuerdos, Licenciada Ma. del Rosario Torres Mancilla, que autoriza y da fe. </w:t>
      </w:r>
    </w:p>
    <w:p w:rsidR="00515103" w:rsidRDefault="00515103" w:rsidP="006A03AE">
      <w:pPr>
        <w:spacing w:after="120" w:line="360" w:lineRule="auto"/>
        <w:ind w:firstLine="851"/>
        <w:jc w:val="both"/>
        <w:rPr>
          <w:rFonts w:ascii="Century Gothic" w:hAnsi="Century Gothic" w:cs="Arial"/>
          <w:sz w:val="24"/>
          <w:szCs w:val="24"/>
        </w:rPr>
      </w:pPr>
    </w:p>
    <w:p w:rsidR="00515103" w:rsidRDefault="00515103" w:rsidP="006A03AE">
      <w:pPr>
        <w:spacing w:after="120" w:line="360" w:lineRule="auto"/>
        <w:ind w:firstLine="851"/>
        <w:jc w:val="both"/>
        <w:rPr>
          <w:rFonts w:ascii="Century Gothic" w:hAnsi="Century Gothic" w:cs="Arial"/>
          <w:sz w:val="24"/>
          <w:szCs w:val="24"/>
        </w:rPr>
      </w:pPr>
    </w:p>
    <w:p w:rsidR="005838FB" w:rsidRPr="00C46106" w:rsidRDefault="005838FB" w:rsidP="005838FB">
      <w:pPr>
        <w:spacing w:after="0" w:line="360" w:lineRule="auto"/>
        <w:ind w:firstLine="851"/>
        <w:jc w:val="both"/>
        <w:rPr>
          <w:rFonts w:ascii="Century Gothic" w:hAnsi="Century Gothic" w:cs="Arial"/>
          <w:sz w:val="20"/>
          <w:szCs w:val="20"/>
        </w:rPr>
      </w:pPr>
    </w:p>
    <w:p w:rsidR="005838FB" w:rsidRPr="00C46106" w:rsidRDefault="005838FB" w:rsidP="005838FB">
      <w:pPr>
        <w:pStyle w:val="Textoindependiente"/>
        <w:spacing w:line="360" w:lineRule="auto"/>
        <w:jc w:val="center"/>
        <w:rPr>
          <w:rFonts w:ascii="Century Gothic" w:hAnsi="Century Gothic" w:cs="Arial"/>
          <w:sz w:val="24"/>
          <w:szCs w:val="24"/>
        </w:rPr>
      </w:pPr>
      <w:r w:rsidRPr="00C46106">
        <w:rPr>
          <w:rFonts w:ascii="Century Gothic" w:hAnsi="Century Gothic" w:cs="Arial"/>
          <w:sz w:val="24"/>
          <w:szCs w:val="24"/>
        </w:rPr>
        <w:t>__________________________________</w:t>
      </w:r>
    </w:p>
    <w:p w:rsidR="005838FB" w:rsidRPr="00C46106" w:rsidRDefault="005838FB" w:rsidP="005838FB">
      <w:pPr>
        <w:pStyle w:val="Textoindependiente"/>
        <w:spacing w:line="240" w:lineRule="auto"/>
        <w:jc w:val="center"/>
        <w:rPr>
          <w:rFonts w:ascii="Century Gothic" w:hAnsi="Century Gothic" w:cs="Arial"/>
          <w:sz w:val="24"/>
          <w:szCs w:val="24"/>
        </w:rPr>
      </w:pPr>
      <w:r w:rsidRPr="00C46106">
        <w:rPr>
          <w:rFonts w:ascii="Century Gothic" w:hAnsi="Century Gothic" w:cs="Arial"/>
          <w:sz w:val="24"/>
          <w:szCs w:val="24"/>
        </w:rPr>
        <w:t>Magda. Olga Regina García López</w:t>
      </w:r>
    </w:p>
    <w:p w:rsidR="005838FB" w:rsidRPr="00C46106" w:rsidRDefault="005838FB" w:rsidP="005838FB">
      <w:pPr>
        <w:spacing w:after="0" w:line="240" w:lineRule="auto"/>
        <w:jc w:val="center"/>
        <w:rPr>
          <w:rFonts w:ascii="Century Gothic" w:hAnsi="Century Gothic" w:cs="Arial"/>
          <w:sz w:val="24"/>
          <w:szCs w:val="24"/>
        </w:rPr>
      </w:pPr>
      <w:r w:rsidRPr="00C46106">
        <w:rPr>
          <w:rFonts w:ascii="Century Gothic" w:hAnsi="Century Gothic" w:cs="Arial"/>
          <w:sz w:val="24"/>
          <w:szCs w:val="24"/>
        </w:rPr>
        <w:t>Presidenta del Supremo Tribunal de Justicia del Estado.</w:t>
      </w:r>
    </w:p>
    <w:p w:rsidR="005838FB" w:rsidRPr="00C46106" w:rsidRDefault="005838FB" w:rsidP="005838FB">
      <w:pPr>
        <w:pStyle w:val="Textoindependiente"/>
        <w:spacing w:line="360" w:lineRule="auto"/>
        <w:ind w:firstLine="851"/>
        <w:jc w:val="center"/>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w:t>
      </w:r>
      <w:r>
        <w:rPr>
          <w:rFonts w:ascii="Century Gothic" w:hAnsi="Century Gothic" w:cs="Arial"/>
          <w:sz w:val="24"/>
          <w:szCs w:val="24"/>
        </w:rPr>
        <w:t>________________________</w:t>
      </w:r>
    </w:p>
    <w:p w:rsidR="005838FB" w:rsidRPr="002C237A" w:rsidRDefault="005838FB" w:rsidP="005838FB">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José Armando Martínez Vázquez </w:t>
      </w:r>
    </w:p>
    <w:p w:rsidR="005838FB" w:rsidRPr="002C237A" w:rsidRDefault="005838FB" w:rsidP="005838FB">
      <w:pPr>
        <w:pStyle w:val="Textoindependiente"/>
        <w:spacing w:line="360" w:lineRule="auto"/>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Carlos Alejandro Robledo Zapata </w:t>
      </w:r>
    </w:p>
    <w:p w:rsidR="005838FB" w:rsidRDefault="005838FB" w:rsidP="005838FB">
      <w:pPr>
        <w:pStyle w:val="Textoindependiente"/>
        <w:spacing w:line="360" w:lineRule="auto"/>
        <w:rPr>
          <w:rFonts w:ascii="Century Gothic" w:hAnsi="Century Gothic" w:cs="Arial"/>
          <w:sz w:val="22"/>
          <w:szCs w:val="22"/>
        </w:rPr>
      </w:pPr>
    </w:p>
    <w:p w:rsidR="00515103" w:rsidRPr="002C237A" w:rsidRDefault="00515103"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Luz María Enriqueta Cabrero Romero </w:t>
      </w:r>
    </w:p>
    <w:p w:rsidR="005838FB" w:rsidRPr="002C237A" w:rsidRDefault="005838FB" w:rsidP="005838FB">
      <w:pPr>
        <w:pStyle w:val="Textoindependiente"/>
        <w:spacing w:line="360" w:lineRule="auto"/>
        <w:rPr>
          <w:rFonts w:ascii="Century Gothic" w:hAnsi="Century Gothic" w:cs="Arial"/>
          <w:sz w:val="24"/>
          <w:szCs w:val="24"/>
        </w:rPr>
      </w:pPr>
    </w:p>
    <w:p w:rsidR="00850A43" w:rsidRPr="002C237A" w:rsidRDefault="00850A43" w:rsidP="005838FB">
      <w:pPr>
        <w:pStyle w:val="Textoindependiente"/>
        <w:spacing w:line="360" w:lineRule="auto"/>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Rebeca </w:t>
      </w:r>
      <w:proofErr w:type="spellStart"/>
      <w:r w:rsidRPr="002C237A">
        <w:rPr>
          <w:rFonts w:ascii="Century Gothic" w:hAnsi="Century Gothic" w:cs="Arial"/>
          <w:sz w:val="24"/>
          <w:szCs w:val="24"/>
        </w:rPr>
        <w:t>Anastacia</w:t>
      </w:r>
      <w:proofErr w:type="spellEnd"/>
      <w:r w:rsidRPr="002C237A">
        <w:rPr>
          <w:rFonts w:ascii="Century Gothic" w:hAnsi="Century Gothic" w:cs="Arial"/>
          <w:sz w:val="24"/>
          <w:szCs w:val="24"/>
        </w:rPr>
        <w:t xml:space="preserve"> Medina García </w:t>
      </w:r>
    </w:p>
    <w:p w:rsidR="005838FB" w:rsidRPr="00BD114D" w:rsidRDefault="005838FB" w:rsidP="005838FB">
      <w:pPr>
        <w:pStyle w:val="Textoindependiente"/>
        <w:spacing w:line="360" w:lineRule="auto"/>
        <w:rPr>
          <w:rFonts w:ascii="Century Gothic" w:hAnsi="Century Gothic" w:cs="Arial"/>
        </w:rPr>
      </w:pPr>
    </w:p>
    <w:p w:rsidR="005838FB" w:rsidRPr="00BD114D" w:rsidRDefault="005838FB" w:rsidP="005838FB">
      <w:pPr>
        <w:pStyle w:val="Textoindependiente"/>
        <w:spacing w:line="360" w:lineRule="auto"/>
        <w:rPr>
          <w:rFonts w:ascii="Century Gothic" w:hAnsi="Century Gothic" w:cs="Arial"/>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Juan Paulo Almazán </w:t>
      </w:r>
      <w:proofErr w:type="spellStart"/>
      <w:r w:rsidRPr="002C237A">
        <w:rPr>
          <w:rFonts w:ascii="Century Gothic" w:hAnsi="Century Gothic" w:cs="Arial"/>
          <w:sz w:val="24"/>
          <w:szCs w:val="24"/>
        </w:rPr>
        <w:t>Cue</w:t>
      </w:r>
      <w:proofErr w:type="spellEnd"/>
      <w:r w:rsidRPr="002C237A">
        <w:rPr>
          <w:rFonts w:ascii="Century Gothic" w:hAnsi="Century Gothic" w:cs="Arial"/>
          <w:sz w:val="24"/>
          <w:szCs w:val="24"/>
        </w:rPr>
        <w:t xml:space="preserve"> </w:t>
      </w: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María Manuela García Cázares </w:t>
      </w:r>
    </w:p>
    <w:p w:rsidR="005838FB" w:rsidRPr="002C237A" w:rsidRDefault="005838FB" w:rsidP="005838FB">
      <w:pPr>
        <w:pStyle w:val="Textoindependiente"/>
        <w:spacing w:line="360" w:lineRule="auto"/>
        <w:rPr>
          <w:rFonts w:ascii="Century Gothic" w:hAnsi="Century Gothic" w:cs="Arial"/>
          <w:sz w:val="24"/>
          <w:szCs w:val="24"/>
        </w:rPr>
      </w:pPr>
    </w:p>
    <w:p w:rsidR="005838FB" w:rsidRDefault="005838FB" w:rsidP="005838FB">
      <w:pPr>
        <w:pStyle w:val="Textoindependiente"/>
        <w:spacing w:line="360" w:lineRule="auto"/>
        <w:rPr>
          <w:rFonts w:ascii="Century Gothic" w:hAnsi="Century Gothic" w:cs="Arial"/>
          <w:sz w:val="24"/>
          <w:szCs w:val="24"/>
        </w:rPr>
      </w:pPr>
    </w:p>
    <w:p w:rsidR="00DD60BC" w:rsidRDefault="00DD60BC" w:rsidP="005838FB">
      <w:pPr>
        <w:pStyle w:val="Textoindependiente"/>
        <w:spacing w:line="360" w:lineRule="auto"/>
        <w:rPr>
          <w:rFonts w:ascii="Century Gothic" w:hAnsi="Century Gothic" w:cs="Arial"/>
          <w:sz w:val="24"/>
          <w:szCs w:val="24"/>
        </w:rPr>
      </w:pPr>
    </w:p>
    <w:p w:rsidR="00DD60BC" w:rsidRPr="002C237A" w:rsidRDefault="00DD60BC" w:rsidP="005838FB">
      <w:pPr>
        <w:pStyle w:val="Textoindependiente"/>
        <w:spacing w:line="360" w:lineRule="auto"/>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María Elena Palomino Reyna </w:t>
      </w: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Alma Delia González Centeno </w:t>
      </w: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Jesús María Ponce de León Montes </w:t>
      </w: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xml:space="preserve">. Alejandro Hernández Castillo </w:t>
      </w: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Graciela Treviño Rodríguez </w:t>
      </w:r>
    </w:p>
    <w:p w:rsidR="005838FB" w:rsidRDefault="005838FB" w:rsidP="005838FB">
      <w:pPr>
        <w:pStyle w:val="Textoindependiente"/>
        <w:spacing w:line="360" w:lineRule="auto"/>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4"/>
          <w:szCs w:val="24"/>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____________________________________</w:t>
      </w: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 xml:space="preserve">Magda. Aracely Amparan Madrigal </w:t>
      </w:r>
    </w:p>
    <w:p w:rsidR="005838FB" w:rsidRDefault="005838FB" w:rsidP="005838FB">
      <w:pPr>
        <w:pStyle w:val="Textoindependiente"/>
        <w:spacing w:line="360" w:lineRule="auto"/>
        <w:rPr>
          <w:rFonts w:ascii="Century Gothic" w:hAnsi="Century Gothic" w:cs="Arial"/>
          <w:sz w:val="22"/>
          <w:szCs w:val="22"/>
        </w:rPr>
      </w:pPr>
    </w:p>
    <w:p w:rsidR="00850A43" w:rsidRDefault="00850A43"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4"/>
          <w:szCs w:val="24"/>
        </w:rPr>
      </w:pPr>
      <w:r w:rsidRPr="002C237A">
        <w:rPr>
          <w:rFonts w:ascii="Century Gothic" w:hAnsi="Century Gothic" w:cs="Arial"/>
          <w:sz w:val="24"/>
          <w:szCs w:val="24"/>
        </w:rPr>
        <w:t>____________________________</w:t>
      </w:r>
    </w:p>
    <w:p w:rsidR="005838FB" w:rsidRPr="002C237A" w:rsidRDefault="005838FB" w:rsidP="005838FB">
      <w:pPr>
        <w:pStyle w:val="Textoindependiente"/>
        <w:spacing w:line="360" w:lineRule="auto"/>
        <w:rPr>
          <w:rFonts w:ascii="Century Gothic" w:hAnsi="Century Gothic" w:cs="Arial"/>
          <w:sz w:val="24"/>
          <w:szCs w:val="24"/>
        </w:rPr>
      </w:pPr>
      <w:proofErr w:type="spellStart"/>
      <w:r w:rsidRPr="002C237A">
        <w:rPr>
          <w:rFonts w:ascii="Century Gothic" w:hAnsi="Century Gothic" w:cs="Arial"/>
          <w:sz w:val="24"/>
          <w:szCs w:val="24"/>
        </w:rPr>
        <w:t>Magdo</w:t>
      </w:r>
      <w:proofErr w:type="spellEnd"/>
      <w:r w:rsidRPr="002C237A">
        <w:rPr>
          <w:rFonts w:ascii="Century Gothic" w:hAnsi="Century Gothic" w:cs="Arial"/>
          <w:sz w:val="24"/>
          <w:szCs w:val="24"/>
        </w:rPr>
        <w:t>. José Luis Ortiz Bravo</w:t>
      </w: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2C237A" w:rsidRDefault="005838FB" w:rsidP="005838FB">
      <w:pPr>
        <w:pStyle w:val="Textoindependiente"/>
        <w:spacing w:line="360" w:lineRule="auto"/>
        <w:rPr>
          <w:rFonts w:ascii="Century Gothic" w:hAnsi="Century Gothic" w:cs="Arial"/>
          <w:sz w:val="22"/>
          <w:szCs w:val="22"/>
        </w:rPr>
      </w:pPr>
    </w:p>
    <w:p w:rsidR="005838FB" w:rsidRPr="00C46106" w:rsidRDefault="005838FB" w:rsidP="005838FB">
      <w:pPr>
        <w:tabs>
          <w:tab w:val="left" w:pos="1440"/>
        </w:tabs>
        <w:spacing w:after="0" w:line="360" w:lineRule="auto"/>
        <w:jc w:val="center"/>
        <w:rPr>
          <w:rFonts w:ascii="Century Gothic" w:hAnsi="Century Gothic" w:cs="Arial"/>
          <w:spacing w:val="4"/>
          <w:sz w:val="24"/>
          <w:szCs w:val="24"/>
          <w:lang w:val="es-ES"/>
        </w:rPr>
      </w:pPr>
      <w:r w:rsidRPr="00C46106">
        <w:rPr>
          <w:rFonts w:ascii="Century Gothic" w:hAnsi="Century Gothic" w:cs="Arial"/>
          <w:spacing w:val="4"/>
          <w:sz w:val="24"/>
          <w:szCs w:val="24"/>
          <w:lang w:val="es-ES"/>
        </w:rPr>
        <w:t>_______________________________________</w:t>
      </w:r>
    </w:p>
    <w:p w:rsidR="005838FB" w:rsidRPr="00C46106" w:rsidRDefault="005838FB" w:rsidP="005838FB">
      <w:pPr>
        <w:tabs>
          <w:tab w:val="left" w:pos="1440"/>
        </w:tabs>
        <w:spacing w:after="0" w:line="240" w:lineRule="auto"/>
        <w:jc w:val="center"/>
        <w:rPr>
          <w:rFonts w:ascii="Century Gothic" w:hAnsi="Century Gothic" w:cs="Arial"/>
          <w:spacing w:val="4"/>
          <w:sz w:val="24"/>
          <w:szCs w:val="24"/>
          <w:lang w:val="es-ES"/>
        </w:rPr>
      </w:pPr>
      <w:r w:rsidRPr="00C46106">
        <w:rPr>
          <w:rFonts w:ascii="Century Gothic" w:hAnsi="Century Gothic" w:cs="Arial"/>
          <w:spacing w:val="4"/>
          <w:sz w:val="24"/>
          <w:szCs w:val="24"/>
          <w:lang w:val="es-ES"/>
        </w:rPr>
        <w:t>Licenciada Ma. del Rosario Torres Mancilla</w:t>
      </w:r>
    </w:p>
    <w:p w:rsidR="005838FB" w:rsidRDefault="005838FB" w:rsidP="005838FB">
      <w:pPr>
        <w:tabs>
          <w:tab w:val="left" w:pos="1440"/>
        </w:tabs>
        <w:spacing w:after="0" w:line="240" w:lineRule="auto"/>
        <w:jc w:val="center"/>
        <w:rPr>
          <w:rFonts w:ascii="Century Gothic" w:hAnsi="Century Gothic" w:cs="Arial"/>
          <w:spacing w:val="4"/>
          <w:sz w:val="24"/>
          <w:szCs w:val="24"/>
          <w:lang w:val="es-ES"/>
        </w:rPr>
      </w:pPr>
      <w:r w:rsidRPr="00C46106">
        <w:rPr>
          <w:rFonts w:ascii="Century Gothic" w:hAnsi="Century Gothic" w:cs="Arial"/>
          <w:spacing w:val="4"/>
          <w:sz w:val="24"/>
          <w:szCs w:val="24"/>
          <w:lang w:val="es-ES"/>
        </w:rPr>
        <w:t xml:space="preserve">Secretaria General de Acuerdos del Supremo Tribunal </w:t>
      </w:r>
    </w:p>
    <w:p w:rsidR="005838FB" w:rsidRPr="00C46106" w:rsidRDefault="005838FB" w:rsidP="005838FB">
      <w:pPr>
        <w:tabs>
          <w:tab w:val="left" w:pos="1440"/>
        </w:tabs>
        <w:spacing w:after="0" w:line="240" w:lineRule="auto"/>
        <w:jc w:val="center"/>
        <w:rPr>
          <w:rFonts w:ascii="Century Gothic" w:hAnsi="Century Gothic" w:cs="Arial"/>
          <w:b/>
          <w:bCs/>
          <w:sz w:val="24"/>
          <w:szCs w:val="24"/>
        </w:rPr>
      </w:pPr>
      <w:r w:rsidRPr="00C46106">
        <w:rPr>
          <w:rFonts w:ascii="Century Gothic" w:hAnsi="Century Gothic" w:cs="Arial"/>
          <w:spacing w:val="4"/>
          <w:sz w:val="24"/>
          <w:szCs w:val="24"/>
          <w:lang w:val="es-ES"/>
        </w:rPr>
        <w:t>de Justicia del Estado.</w:t>
      </w:r>
    </w:p>
    <w:p w:rsidR="00951121" w:rsidRPr="001A0997" w:rsidRDefault="003478D2" w:rsidP="005838FB">
      <w:pPr>
        <w:tabs>
          <w:tab w:val="left" w:pos="-16160"/>
        </w:tabs>
        <w:spacing w:before="240" w:after="240" w:line="360" w:lineRule="auto"/>
        <w:jc w:val="both"/>
        <w:rPr>
          <w:sz w:val="24"/>
          <w:szCs w:val="24"/>
        </w:rPr>
      </w:pPr>
    </w:p>
    <w:sectPr w:rsidR="00951121" w:rsidRPr="001A0997" w:rsidSect="0023474D">
      <w:headerReference w:type="even" r:id="rId8"/>
      <w:headerReference w:type="default" r:id="rId9"/>
      <w:footerReference w:type="even" r:id="rId10"/>
      <w:footerReference w:type="default" r:id="rId11"/>
      <w:pgSz w:w="12242" w:h="20163" w:code="5"/>
      <w:pgMar w:top="1985" w:right="1134" w:bottom="1985" w:left="357" w:header="1134" w:footer="1134" w:gutter="2325"/>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35E8" w:rsidRDefault="00E835E8" w:rsidP="00A31D9F">
      <w:pPr>
        <w:spacing w:after="0" w:line="240" w:lineRule="auto"/>
      </w:pPr>
      <w:r>
        <w:separator/>
      </w:r>
    </w:p>
  </w:endnote>
  <w:endnote w:type="continuationSeparator" w:id="0">
    <w:p w:rsidR="00E835E8" w:rsidRDefault="00E835E8" w:rsidP="00A31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1886" w:rsidRPr="00991886" w:rsidRDefault="00A31D9F" w:rsidP="00991886">
    <w:pPr>
      <w:pStyle w:val="Piedepgina"/>
      <w:jc w:val="center"/>
    </w:pPr>
    <w:r w:rsidRPr="00991886">
      <w:rPr>
        <w:rFonts w:ascii="Arial" w:hAnsi="Arial" w:cs="Arial"/>
        <w:b/>
      </w:rPr>
      <w:fldChar w:fldCharType="begin"/>
    </w:r>
    <w:r w:rsidRPr="00991886">
      <w:rPr>
        <w:rFonts w:ascii="Arial" w:hAnsi="Arial" w:cs="Arial"/>
        <w:b/>
      </w:rPr>
      <w:instrText>PAGE   \* MERGEFORMAT</w:instrText>
    </w:r>
    <w:r w:rsidRPr="00991886">
      <w:rPr>
        <w:rFonts w:ascii="Arial" w:hAnsi="Arial" w:cs="Arial"/>
        <w:b/>
      </w:rPr>
      <w:fldChar w:fldCharType="separate"/>
    </w:r>
    <w:r w:rsidR="003478D2">
      <w:rPr>
        <w:rFonts w:ascii="Arial" w:hAnsi="Arial" w:cs="Arial"/>
        <w:b/>
        <w:noProof/>
      </w:rPr>
      <w:t>18</w:t>
    </w:r>
    <w:r w:rsidRPr="00991886">
      <w:rPr>
        <w:rFonts w:ascii="Arial" w:hAnsi="Arial" w:cs="Arial"/>
        <w:b/>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91886" w:rsidRPr="00991886" w:rsidRDefault="00A31D9F" w:rsidP="00991886">
    <w:pPr>
      <w:pStyle w:val="Piedepgina"/>
      <w:jc w:val="center"/>
    </w:pPr>
    <w:r w:rsidRPr="00991886">
      <w:rPr>
        <w:rFonts w:ascii="Arial" w:hAnsi="Arial" w:cs="Arial"/>
        <w:b/>
      </w:rPr>
      <w:fldChar w:fldCharType="begin"/>
    </w:r>
    <w:r w:rsidRPr="00991886">
      <w:rPr>
        <w:rFonts w:ascii="Arial" w:hAnsi="Arial" w:cs="Arial"/>
        <w:b/>
      </w:rPr>
      <w:instrText>PAGE   \* MERGEFORMAT</w:instrText>
    </w:r>
    <w:r w:rsidRPr="00991886">
      <w:rPr>
        <w:rFonts w:ascii="Arial" w:hAnsi="Arial" w:cs="Arial"/>
        <w:b/>
      </w:rPr>
      <w:fldChar w:fldCharType="separate"/>
    </w:r>
    <w:r w:rsidR="003478D2">
      <w:rPr>
        <w:rFonts w:ascii="Arial" w:hAnsi="Arial" w:cs="Arial"/>
        <w:b/>
        <w:noProof/>
      </w:rPr>
      <w:t>19</w:t>
    </w:r>
    <w:r w:rsidRPr="00991886">
      <w:rPr>
        <w:rFonts w:ascii="Arial" w:hAnsi="Arial" w:cs="Arial"/>
        <w:b/>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35E8" w:rsidRDefault="00E835E8" w:rsidP="00A31D9F">
      <w:pPr>
        <w:spacing w:after="0" w:line="240" w:lineRule="auto"/>
      </w:pPr>
      <w:r>
        <w:separator/>
      </w:r>
    </w:p>
  </w:footnote>
  <w:footnote w:type="continuationSeparator" w:id="0">
    <w:p w:rsidR="00E835E8" w:rsidRDefault="00E835E8" w:rsidP="00A31D9F">
      <w:pPr>
        <w:spacing w:after="0" w:line="240" w:lineRule="auto"/>
      </w:pPr>
      <w:r>
        <w:continuationSeparator/>
      </w:r>
    </w:p>
  </w:footnote>
  <w:footnote w:id="1">
    <w:p w:rsidR="00885139" w:rsidRDefault="00885139" w:rsidP="00885139">
      <w:pPr>
        <w:tabs>
          <w:tab w:val="left" w:pos="1418"/>
        </w:tabs>
        <w:spacing w:after="120" w:line="240" w:lineRule="auto"/>
        <w:jc w:val="both"/>
        <w:rPr>
          <w:rFonts w:ascii="Century Gothic" w:hAnsi="Century Gothic" w:cs="Arial"/>
          <w:sz w:val="16"/>
          <w:szCs w:val="16"/>
        </w:rPr>
      </w:pPr>
      <w:r w:rsidRPr="0088492B">
        <w:rPr>
          <w:rStyle w:val="Refdenotaalpie"/>
          <w:rFonts w:ascii="Century Gothic" w:hAnsi="Century Gothic" w:cs="Arial"/>
        </w:rPr>
        <w:footnoteRef/>
      </w:r>
      <w:r>
        <w:rPr>
          <w:rFonts w:ascii="Century Gothic" w:hAnsi="Century Gothic" w:cs="Arial"/>
          <w:b/>
          <w:sz w:val="16"/>
          <w:szCs w:val="16"/>
        </w:rPr>
        <w:t>Artículo 11</w:t>
      </w:r>
      <w:r>
        <w:rPr>
          <w:rFonts w:ascii="Century Gothic" w:hAnsi="Century Gothic" w:cs="Arial"/>
          <w:sz w:val="16"/>
          <w:szCs w:val="16"/>
        </w:rPr>
        <w:t>. El pleno del Supremo Tribunal de Justicia conocerá de los asuntos de naturaleza judicial que determinen la Constitución Política de los Estados Unidos Mexicanos, la Constitución Política del Estado, los códigos Civil y Penal y de Procedimientos Civiles y Penales, la presente Ley y las demás disposiciones legales</w:t>
      </w:r>
      <w:r w:rsidRPr="0088492B">
        <w:rPr>
          <w:rFonts w:ascii="Century Gothic" w:hAnsi="Century Gothic" w:cs="Arial"/>
          <w:sz w:val="16"/>
          <w:szCs w:val="16"/>
        </w:rPr>
        <w:t>.”</w:t>
      </w:r>
    </w:p>
    <w:p w:rsidR="00885139" w:rsidRPr="0088492B" w:rsidRDefault="00885139" w:rsidP="00885139">
      <w:pPr>
        <w:tabs>
          <w:tab w:val="left" w:pos="1418"/>
        </w:tabs>
        <w:spacing w:after="120" w:line="240" w:lineRule="auto"/>
        <w:jc w:val="both"/>
        <w:rPr>
          <w:rFonts w:ascii="Century Gothic" w:hAnsi="Century Gothic" w:cs="Arial"/>
          <w:sz w:val="16"/>
          <w:szCs w:val="16"/>
        </w:rPr>
      </w:pPr>
      <w:r w:rsidRPr="0088492B">
        <w:rPr>
          <w:rFonts w:ascii="Century Gothic" w:hAnsi="Century Gothic" w:cs="Arial"/>
          <w:sz w:val="16"/>
          <w:szCs w:val="16"/>
        </w:rPr>
        <w:t>“</w:t>
      </w:r>
      <w:r w:rsidRPr="0088492B">
        <w:rPr>
          <w:rFonts w:ascii="Century Gothic" w:hAnsi="Century Gothic" w:cs="Arial"/>
          <w:b/>
          <w:sz w:val="16"/>
          <w:szCs w:val="16"/>
        </w:rPr>
        <w:t>Artículo 14</w:t>
      </w:r>
      <w:r w:rsidRPr="0088492B">
        <w:rPr>
          <w:rFonts w:ascii="Century Gothic" w:hAnsi="Century Gothic" w:cs="Arial"/>
          <w:sz w:val="16"/>
          <w:szCs w:val="16"/>
        </w:rPr>
        <w:t>. Son atribuciones del Pleno las siguientes: …</w:t>
      </w:r>
      <w:r w:rsidRPr="0088492B">
        <w:rPr>
          <w:rFonts w:ascii="Century Gothic" w:hAnsi="Century Gothic" w:cs="Arial"/>
          <w:b/>
          <w:sz w:val="16"/>
          <w:szCs w:val="16"/>
        </w:rPr>
        <w:t>XIV</w:t>
      </w:r>
      <w:r w:rsidRPr="0088492B">
        <w:rPr>
          <w:rFonts w:ascii="Century Gothic" w:hAnsi="Century Gothic" w:cs="Arial"/>
          <w:sz w:val="16"/>
          <w:szCs w:val="16"/>
        </w:rPr>
        <w:t>. Las demás que les confiera la ley.”</w:t>
      </w:r>
    </w:p>
  </w:footnote>
  <w:footnote w:id="2">
    <w:p w:rsidR="00885139" w:rsidRPr="00FD5458" w:rsidRDefault="00885139" w:rsidP="00885139">
      <w:pPr>
        <w:tabs>
          <w:tab w:val="left" w:pos="1418"/>
        </w:tabs>
        <w:spacing w:after="0" w:line="240" w:lineRule="auto"/>
        <w:jc w:val="both"/>
        <w:rPr>
          <w:rFonts w:ascii="Century Gothic" w:hAnsi="Century Gothic" w:cs="Arial"/>
          <w:sz w:val="16"/>
          <w:szCs w:val="16"/>
        </w:rPr>
      </w:pPr>
      <w:r w:rsidRPr="0088492B">
        <w:rPr>
          <w:rStyle w:val="Refdenotaalpie"/>
          <w:rFonts w:ascii="Century Gothic" w:hAnsi="Century Gothic" w:cs="Arial"/>
        </w:rPr>
        <w:footnoteRef/>
      </w:r>
      <w:r w:rsidRPr="0088492B">
        <w:rPr>
          <w:rFonts w:ascii="Century Gothic" w:hAnsi="Century Gothic" w:cs="Arial"/>
          <w:b/>
          <w:sz w:val="16"/>
          <w:szCs w:val="16"/>
          <w:lang w:eastAsia="es-MX"/>
        </w:rPr>
        <w:t>“</w:t>
      </w:r>
      <w:r w:rsidRPr="00FD5458">
        <w:rPr>
          <w:rFonts w:ascii="Century Gothic" w:hAnsi="Century Gothic" w:cs="Arial"/>
          <w:b/>
          <w:sz w:val="16"/>
          <w:szCs w:val="16"/>
        </w:rPr>
        <w:t>Artículo 971</w:t>
      </w:r>
      <w:r w:rsidRPr="00FD5458">
        <w:rPr>
          <w:rFonts w:ascii="Century Gothic" w:hAnsi="Century Gothic" w:cs="Arial"/>
          <w:sz w:val="16"/>
          <w:szCs w:val="16"/>
        </w:rPr>
        <w:t>. El recurso de queja procederá:</w:t>
      </w:r>
    </w:p>
    <w:p w:rsidR="00885139" w:rsidRDefault="00885139" w:rsidP="00885139">
      <w:pPr>
        <w:tabs>
          <w:tab w:val="left" w:pos="1418"/>
        </w:tabs>
        <w:spacing w:after="120" w:line="240" w:lineRule="auto"/>
        <w:jc w:val="both"/>
        <w:rPr>
          <w:rFonts w:ascii="Century Gothic" w:hAnsi="Century Gothic" w:cs="Arial"/>
          <w:sz w:val="16"/>
          <w:szCs w:val="16"/>
        </w:rPr>
      </w:pPr>
      <w:r w:rsidRPr="00FD5458">
        <w:rPr>
          <w:rFonts w:ascii="Century Gothic" w:hAnsi="Century Gothic" w:cs="Arial"/>
          <w:sz w:val="16"/>
          <w:szCs w:val="16"/>
        </w:rPr>
        <w:t>I. Contra el juez que se niegue a admitir una demanda o desconozca de oficio la personalidad de un litigante, antes del emplazamiento; II. Respecto de las interlocutorias dictadas en la ejecución de sentencias</w:t>
      </w:r>
      <w:r w:rsidRPr="00FD5458">
        <w:rPr>
          <w:rFonts w:ascii="Century Gothic" w:hAnsi="Century Gothic" w:cs="Arial"/>
          <w:b/>
          <w:sz w:val="16"/>
          <w:szCs w:val="16"/>
        </w:rPr>
        <w:t xml:space="preserve">; III. Contra la resolución que niegue admitir una apelación; </w:t>
      </w:r>
      <w:r w:rsidRPr="00FD5458">
        <w:rPr>
          <w:rFonts w:ascii="Century Gothic" w:hAnsi="Century Gothic" w:cs="Arial"/>
          <w:sz w:val="16"/>
          <w:szCs w:val="16"/>
        </w:rPr>
        <w:t>IV. En los demás casos fijados por la Ley.</w:t>
      </w:r>
    </w:p>
    <w:p w:rsidR="00885139" w:rsidRPr="0088492B" w:rsidRDefault="00885139" w:rsidP="00885139">
      <w:pPr>
        <w:tabs>
          <w:tab w:val="left" w:pos="1418"/>
        </w:tabs>
        <w:spacing w:after="120" w:line="240" w:lineRule="auto"/>
        <w:jc w:val="both"/>
        <w:rPr>
          <w:rFonts w:ascii="Century Gothic" w:hAnsi="Century Gothic" w:cs="Arial"/>
          <w:sz w:val="16"/>
          <w:szCs w:val="16"/>
          <w:lang w:eastAsia="es-MX"/>
        </w:rPr>
      </w:pPr>
      <w:r>
        <w:rPr>
          <w:rFonts w:ascii="Century Gothic" w:eastAsia="Times New Roman" w:hAnsi="Century Gothic" w:cs="Arial"/>
          <w:b/>
          <w:sz w:val="16"/>
          <w:szCs w:val="16"/>
          <w:lang w:eastAsia="es-MX"/>
        </w:rPr>
        <w:t>Artículo 973</w:t>
      </w:r>
      <w:r>
        <w:rPr>
          <w:rFonts w:ascii="Century Gothic" w:eastAsia="Times New Roman" w:hAnsi="Century Gothic" w:cs="Arial"/>
          <w:sz w:val="16"/>
          <w:szCs w:val="16"/>
          <w:lang w:eastAsia="es-MX"/>
        </w:rPr>
        <w:t>. El recurso de queja contra un juez se interpondrá por escrito ante el superior inmediato, dentro de los tres días siguientes a la notificac</w:t>
      </w:r>
      <w:bookmarkStart w:id="0" w:name="_GoBack"/>
      <w:bookmarkEnd w:id="0"/>
      <w:r>
        <w:rPr>
          <w:rFonts w:ascii="Century Gothic" w:eastAsia="Times New Roman" w:hAnsi="Century Gothic" w:cs="Arial"/>
          <w:sz w:val="16"/>
          <w:szCs w:val="16"/>
          <w:lang w:eastAsia="es-MX"/>
        </w:rPr>
        <w:t xml:space="preserve">ión del acto reclamado expresando los motivos del agravio…” </w:t>
      </w:r>
    </w:p>
  </w:footnote>
  <w:footnote w:id="3">
    <w:p w:rsidR="00885139" w:rsidRDefault="00885139" w:rsidP="00885139">
      <w:pPr>
        <w:tabs>
          <w:tab w:val="left" w:pos="1418"/>
        </w:tabs>
        <w:spacing w:after="120" w:line="240" w:lineRule="auto"/>
        <w:jc w:val="both"/>
        <w:rPr>
          <w:rFonts w:ascii="Century Gothic" w:hAnsi="Century Gothic" w:cs="Arial"/>
          <w:sz w:val="16"/>
          <w:szCs w:val="16"/>
        </w:rPr>
      </w:pPr>
      <w:r w:rsidRPr="00CE5938">
        <w:rPr>
          <w:rStyle w:val="Refdenotaalpie"/>
          <w:rFonts w:ascii="Century Gothic" w:hAnsi="Century Gothic" w:cs="Arial"/>
          <w:sz w:val="17"/>
          <w:szCs w:val="17"/>
        </w:rPr>
        <w:footnoteRef/>
      </w:r>
      <w:r>
        <w:rPr>
          <w:rFonts w:ascii="Century Gothic" w:eastAsia="Times New Roman" w:hAnsi="Century Gothic" w:cs="Arial"/>
          <w:b/>
          <w:sz w:val="16"/>
          <w:szCs w:val="16"/>
          <w:lang w:eastAsia="es-MX"/>
        </w:rPr>
        <w:t>“</w:t>
      </w:r>
      <w:r w:rsidRPr="00FD5458">
        <w:rPr>
          <w:rFonts w:ascii="Century Gothic" w:hAnsi="Century Gothic" w:cs="Arial"/>
          <w:b/>
          <w:sz w:val="16"/>
          <w:szCs w:val="16"/>
        </w:rPr>
        <w:t>Artículo 971</w:t>
      </w:r>
      <w:r w:rsidRPr="00FD5458">
        <w:rPr>
          <w:rFonts w:ascii="Century Gothic" w:hAnsi="Century Gothic" w:cs="Arial"/>
          <w:sz w:val="16"/>
          <w:szCs w:val="16"/>
        </w:rPr>
        <w:t>. El recurso de queja procederá:</w:t>
      </w:r>
      <w:r>
        <w:rPr>
          <w:rFonts w:ascii="Century Gothic" w:hAnsi="Century Gothic" w:cs="Arial"/>
          <w:sz w:val="16"/>
          <w:szCs w:val="16"/>
        </w:rPr>
        <w:t xml:space="preserve"> …</w:t>
      </w:r>
      <w:r w:rsidRPr="00FD5458">
        <w:rPr>
          <w:rFonts w:ascii="Century Gothic" w:hAnsi="Century Gothic" w:cs="Arial"/>
          <w:b/>
          <w:sz w:val="16"/>
          <w:szCs w:val="16"/>
        </w:rPr>
        <w:t>III. Contra la resolución que nie</w:t>
      </w:r>
      <w:r>
        <w:rPr>
          <w:rFonts w:ascii="Century Gothic" w:hAnsi="Century Gothic" w:cs="Arial"/>
          <w:b/>
          <w:sz w:val="16"/>
          <w:szCs w:val="16"/>
        </w:rPr>
        <w:t xml:space="preserve">gue admitir una </w:t>
      </w:r>
      <w:proofErr w:type="gramStart"/>
      <w:r>
        <w:rPr>
          <w:rFonts w:ascii="Century Gothic" w:hAnsi="Century Gothic" w:cs="Arial"/>
          <w:b/>
          <w:sz w:val="16"/>
          <w:szCs w:val="16"/>
        </w:rPr>
        <w:t>apelación;…</w:t>
      </w:r>
      <w:proofErr w:type="gramEnd"/>
      <w:r>
        <w:rPr>
          <w:rFonts w:ascii="Century Gothic" w:hAnsi="Century Gothic" w:cs="Arial"/>
          <w:b/>
          <w:sz w:val="16"/>
          <w:szCs w:val="16"/>
        </w:rPr>
        <w:t>”</w:t>
      </w:r>
    </w:p>
    <w:p w:rsidR="00885139" w:rsidRDefault="00885139" w:rsidP="00885139">
      <w:pPr>
        <w:tabs>
          <w:tab w:val="left" w:pos="1418"/>
        </w:tabs>
        <w:spacing w:after="120" w:line="240" w:lineRule="auto"/>
        <w:jc w:val="both"/>
        <w:rPr>
          <w:rFonts w:ascii="Century Gothic" w:hAnsi="Century Gothic" w:cs="Arial"/>
          <w:sz w:val="16"/>
          <w:szCs w:val="16"/>
          <w:lang w:eastAsia="es-MX"/>
        </w:rPr>
      </w:pPr>
      <w:r>
        <w:rPr>
          <w:rFonts w:ascii="Century Gothic" w:hAnsi="Century Gothic" w:cs="Arial"/>
          <w:b/>
          <w:sz w:val="16"/>
          <w:szCs w:val="16"/>
          <w:lang w:eastAsia="es-MX"/>
        </w:rPr>
        <w:t>973</w:t>
      </w:r>
      <w:r>
        <w:rPr>
          <w:rFonts w:ascii="Century Gothic" w:hAnsi="Century Gothic" w:cs="Arial"/>
          <w:sz w:val="16"/>
          <w:szCs w:val="16"/>
          <w:lang w:eastAsia="es-MX"/>
        </w:rPr>
        <w:t>. El recurso de queja contra un juez se interpondrá por escrito ante el superior inmediato, dentro de los tres días siguientes a la notificación del acto reclamado expresando los motivos del agravio.</w:t>
      </w:r>
    </w:p>
    <w:p w:rsidR="00885139" w:rsidRDefault="00885139" w:rsidP="00885139">
      <w:pPr>
        <w:tabs>
          <w:tab w:val="left" w:pos="1418"/>
        </w:tabs>
        <w:spacing w:after="120" w:line="240" w:lineRule="auto"/>
        <w:jc w:val="both"/>
        <w:rPr>
          <w:rFonts w:ascii="Century Gothic" w:hAnsi="Century Gothic" w:cs="Arial"/>
          <w:sz w:val="16"/>
          <w:szCs w:val="16"/>
          <w:lang w:eastAsia="es-MX"/>
        </w:rPr>
      </w:pPr>
      <w:r>
        <w:rPr>
          <w:rFonts w:ascii="Century Gothic" w:hAnsi="Century Gothic" w:cs="Arial"/>
          <w:sz w:val="16"/>
          <w:szCs w:val="16"/>
          <w:lang w:eastAsia="es-MX"/>
        </w:rPr>
        <w:t>Al interponer el recurso, el quejoso deberá hacerlo saber al juez presentándole copia, por duplicado, del escrito de queja. Una de ellas se agregará al expediente y la otra se mandará entregar desde luego al colitigante.</w:t>
      </w:r>
    </w:p>
    <w:p w:rsidR="00885139" w:rsidRDefault="00885139" w:rsidP="00885139">
      <w:pPr>
        <w:tabs>
          <w:tab w:val="left" w:pos="1418"/>
        </w:tabs>
        <w:spacing w:line="240" w:lineRule="auto"/>
        <w:jc w:val="both"/>
        <w:rPr>
          <w:rFonts w:ascii="Century Gothic" w:hAnsi="Century Gothic" w:cs="Arial"/>
          <w:sz w:val="16"/>
          <w:szCs w:val="16"/>
          <w:lang w:eastAsia="es-MX"/>
        </w:rPr>
      </w:pPr>
      <w:r>
        <w:rPr>
          <w:rFonts w:ascii="Century Gothic" w:hAnsi="Century Gothic" w:cs="Arial"/>
          <w:sz w:val="16"/>
          <w:szCs w:val="16"/>
          <w:lang w:eastAsia="es-MX"/>
        </w:rPr>
        <w:t>El juez, dentro de los tres días siguientes, remitirá al superior su informe con justificación y el colitigante, dentro de igual término, que se contará desde que reciba la copia, podrá ocurrir al mismo superior, expresando lo que a su derecho convenga.</w:t>
      </w:r>
    </w:p>
    <w:p w:rsidR="00885139" w:rsidRDefault="00885139" w:rsidP="00885139">
      <w:pPr>
        <w:tabs>
          <w:tab w:val="left" w:pos="1418"/>
        </w:tabs>
        <w:spacing w:after="120" w:line="240" w:lineRule="auto"/>
        <w:jc w:val="both"/>
        <w:rPr>
          <w:rFonts w:ascii="Century Gothic" w:hAnsi="Century Gothic" w:cs="Arial"/>
          <w:sz w:val="16"/>
          <w:szCs w:val="16"/>
          <w:lang w:eastAsia="es-MX"/>
        </w:rPr>
      </w:pPr>
      <w:r>
        <w:rPr>
          <w:rFonts w:ascii="Century Gothic" w:hAnsi="Century Gothic" w:cs="Arial"/>
          <w:sz w:val="16"/>
          <w:szCs w:val="16"/>
          <w:lang w:eastAsia="es-MX"/>
        </w:rPr>
        <w:t>Dentro del tercer día de recibido el informe del juez, el superior resolverá lo que proceda.</w:t>
      </w:r>
    </w:p>
    <w:p w:rsidR="00885139" w:rsidRPr="00FD5458" w:rsidRDefault="00885139" w:rsidP="00885139">
      <w:pPr>
        <w:tabs>
          <w:tab w:val="left" w:pos="1418"/>
        </w:tabs>
        <w:spacing w:after="120" w:line="240" w:lineRule="auto"/>
        <w:jc w:val="both"/>
        <w:rPr>
          <w:rFonts w:ascii="Century Gothic" w:hAnsi="Century Gothic" w:cs="Arial"/>
          <w:sz w:val="16"/>
          <w:szCs w:val="16"/>
        </w:rPr>
      </w:pPr>
      <w:r>
        <w:rPr>
          <w:rFonts w:ascii="Century Gothic" w:hAnsi="Century Gothic" w:cs="Arial"/>
          <w:sz w:val="16"/>
          <w:szCs w:val="16"/>
          <w:lang w:eastAsia="es-MX"/>
        </w:rPr>
        <w:t>Será el acuerdo del Supremo Tribunal el que decida las quejas contra los jueces de primera instancia y los de la capital.”</w:t>
      </w:r>
    </w:p>
  </w:footnote>
  <w:footnote w:id="4">
    <w:p w:rsidR="00885139" w:rsidRPr="0088492B" w:rsidRDefault="00885139" w:rsidP="0016750C">
      <w:pPr>
        <w:tabs>
          <w:tab w:val="left" w:pos="1418"/>
        </w:tabs>
        <w:spacing w:after="120" w:line="240" w:lineRule="auto"/>
        <w:jc w:val="both"/>
        <w:rPr>
          <w:rFonts w:ascii="Century Gothic" w:hAnsi="Century Gothic" w:cs="Arial"/>
          <w:sz w:val="16"/>
          <w:szCs w:val="16"/>
        </w:rPr>
      </w:pPr>
      <w:r w:rsidRPr="00CE5938">
        <w:rPr>
          <w:rStyle w:val="Refdenotaalpie"/>
          <w:rFonts w:ascii="Century Gothic" w:hAnsi="Century Gothic" w:cs="Arial"/>
          <w:sz w:val="17"/>
          <w:szCs w:val="17"/>
        </w:rPr>
        <w:footnoteRef/>
      </w:r>
      <w:r>
        <w:rPr>
          <w:rFonts w:ascii="Century Gothic" w:hAnsi="Century Gothic" w:cs="Arial"/>
          <w:sz w:val="16"/>
          <w:szCs w:val="16"/>
          <w:lang w:eastAsia="es-MX"/>
        </w:rPr>
        <w:t>“</w:t>
      </w:r>
      <w:r>
        <w:rPr>
          <w:rFonts w:ascii="Century Gothic" w:hAnsi="Century Gothic" w:cs="Arial"/>
          <w:b/>
          <w:sz w:val="16"/>
          <w:szCs w:val="16"/>
          <w:lang w:eastAsia="es-MX"/>
        </w:rPr>
        <w:t xml:space="preserve">Artículo 17. </w:t>
      </w:r>
      <w:r>
        <w:rPr>
          <w:rFonts w:ascii="Century Gothic" w:hAnsi="Century Gothic" w:cs="Arial"/>
          <w:sz w:val="16"/>
          <w:szCs w:val="16"/>
        </w:rPr>
        <w:t>Son atribuciones del Presidente las siguientes: …</w:t>
      </w:r>
      <w:r>
        <w:rPr>
          <w:rFonts w:ascii="Century Gothic" w:hAnsi="Century Gothic" w:cs="Arial"/>
          <w:b/>
          <w:sz w:val="16"/>
          <w:szCs w:val="16"/>
        </w:rPr>
        <w:t>VIII</w:t>
      </w:r>
      <w:r>
        <w:rPr>
          <w:rFonts w:ascii="Century Gothic" w:hAnsi="Century Gothic" w:cs="Arial"/>
          <w:sz w:val="16"/>
          <w:szCs w:val="16"/>
        </w:rPr>
        <w:t>. Tramitar los asuntos de la competencia del Pleno, hasta ponerlos en estado de resolución.</w:t>
      </w:r>
      <w:r>
        <w:rPr>
          <w:rFonts w:ascii="Century Gothic" w:hAnsi="Century Gothic" w:cs="Arial"/>
          <w:sz w:val="16"/>
          <w:szCs w:val="16"/>
          <w:lang w:eastAsia="es-MX"/>
        </w:rPr>
        <w:t>”</w:t>
      </w:r>
    </w:p>
  </w:footnote>
  <w:footnote w:id="5">
    <w:p w:rsidR="005F0236" w:rsidRPr="00E624E9" w:rsidRDefault="005F0236" w:rsidP="005F0236">
      <w:pPr>
        <w:pStyle w:val="Notaalpie"/>
        <w:spacing w:after="120" w:line="240" w:lineRule="auto"/>
        <w:rPr>
          <w:rFonts w:ascii="Century Gothic" w:hAnsi="Century Gothic" w:cs="Arial"/>
          <w:sz w:val="16"/>
          <w:szCs w:val="16"/>
        </w:rPr>
      </w:pPr>
      <w:r w:rsidRPr="00DE5CF3">
        <w:rPr>
          <w:rFonts w:ascii="Century Gothic" w:hAnsi="Century Gothic" w:cs="Arial"/>
          <w:sz w:val="16"/>
          <w:szCs w:val="16"/>
        </w:rPr>
        <w:footnoteRef/>
      </w:r>
      <w:r w:rsidRPr="00DE5CF3">
        <w:rPr>
          <w:rFonts w:ascii="Arial" w:hAnsi="Arial" w:cs="Arial"/>
          <w:sz w:val="16"/>
          <w:szCs w:val="16"/>
        </w:rPr>
        <w:t xml:space="preserve"> </w:t>
      </w:r>
      <w:r w:rsidRPr="00DE5CF3">
        <w:rPr>
          <w:rFonts w:ascii="Century Gothic" w:hAnsi="Century Gothic" w:cs="Arial"/>
          <w:sz w:val="16"/>
          <w:szCs w:val="16"/>
        </w:rPr>
        <w:t xml:space="preserve">Foja </w:t>
      </w:r>
      <w:r>
        <w:rPr>
          <w:rFonts w:ascii="Century Gothic" w:hAnsi="Century Gothic" w:cs="Arial"/>
          <w:sz w:val="16"/>
          <w:szCs w:val="16"/>
        </w:rPr>
        <w:t>22</w:t>
      </w:r>
      <w:r w:rsidRPr="00DE5CF3">
        <w:rPr>
          <w:rFonts w:ascii="Century Gothic" w:hAnsi="Century Gothic" w:cs="Arial"/>
          <w:sz w:val="16"/>
          <w:szCs w:val="16"/>
        </w:rPr>
        <w:t xml:space="preserve"> del Toca 193/2020.</w:t>
      </w:r>
    </w:p>
  </w:footnote>
  <w:footnote w:id="6">
    <w:p w:rsidR="004F0D90" w:rsidRPr="00B51945" w:rsidRDefault="004F0D90" w:rsidP="004F0D90">
      <w:pPr>
        <w:pStyle w:val="Default"/>
        <w:jc w:val="both"/>
        <w:rPr>
          <w:rFonts w:ascii="Century Gothic" w:hAnsi="Century Gothic"/>
          <w:sz w:val="16"/>
          <w:szCs w:val="16"/>
        </w:rPr>
      </w:pPr>
      <w:r w:rsidRPr="00D52A1B">
        <w:rPr>
          <w:rStyle w:val="Refdenotaalpie"/>
          <w:rFonts w:ascii="Century Gothic" w:hAnsi="Century Gothic"/>
          <w:sz w:val="17"/>
          <w:szCs w:val="17"/>
        </w:rPr>
        <w:footnoteRef/>
      </w:r>
      <w:r w:rsidRPr="00D52A1B">
        <w:rPr>
          <w:rFonts w:ascii="Century Gothic" w:hAnsi="Century Gothic"/>
          <w:sz w:val="17"/>
          <w:szCs w:val="17"/>
        </w:rPr>
        <w:t xml:space="preserve"> </w:t>
      </w:r>
      <w:r w:rsidRPr="00B51945">
        <w:rPr>
          <w:rFonts w:ascii="Century Gothic" w:hAnsi="Century Gothic"/>
          <w:sz w:val="16"/>
          <w:szCs w:val="16"/>
        </w:rPr>
        <w:t>“</w:t>
      </w:r>
      <w:r w:rsidRPr="00B51945">
        <w:rPr>
          <w:rFonts w:ascii="Century Gothic" w:hAnsi="Century Gothic"/>
          <w:b/>
          <w:sz w:val="16"/>
          <w:szCs w:val="16"/>
        </w:rPr>
        <w:t>Artículo 323</w:t>
      </w:r>
      <w:r w:rsidRPr="00B51945">
        <w:rPr>
          <w:rFonts w:ascii="Century Gothic" w:hAnsi="Century Gothic"/>
          <w:sz w:val="16"/>
          <w:szCs w:val="16"/>
        </w:rPr>
        <w:t xml:space="preserve">. Son documentos públicos: </w:t>
      </w:r>
    </w:p>
    <w:p w:rsidR="004F0D90" w:rsidRPr="00B51945" w:rsidRDefault="004F0D90" w:rsidP="004F0D90">
      <w:pPr>
        <w:pStyle w:val="Default"/>
        <w:jc w:val="both"/>
        <w:rPr>
          <w:rFonts w:ascii="Century Gothic" w:hAnsi="Century Gothic"/>
          <w:sz w:val="16"/>
          <w:szCs w:val="16"/>
        </w:rPr>
      </w:pPr>
      <w:r w:rsidRPr="00B51945">
        <w:rPr>
          <w:rFonts w:ascii="Century Gothic" w:hAnsi="Century Gothic"/>
          <w:sz w:val="16"/>
          <w:szCs w:val="16"/>
        </w:rPr>
        <w:t xml:space="preserve">[…] </w:t>
      </w:r>
    </w:p>
    <w:p w:rsidR="004F0D90" w:rsidRPr="00B51945" w:rsidRDefault="004F0D90" w:rsidP="004F0D90">
      <w:pPr>
        <w:pStyle w:val="Textonotapie"/>
        <w:jc w:val="both"/>
        <w:rPr>
          <w:rFonts w:ascii="Century Gothic" w:hAnsi="Century Gothic"/>
          <w:sz w:val="16"/>
          <w:szCs w:val="16"/>
        </w:rPr>
      </w:pPr>
      <w:r w:rsidRPr="00B51945">
        <w:rPr>
          <w:rFonts w:ascii="Century Gothic" w:hAnsi="Century Gothic"/>
          <w:sz w:val="16"/>
          <w:szCs w:val="16"/>
        </w:rPr>
        <w:t>II. Los documentos auténticos expedidos por funcionarios que desempeñen cargo público en lo que se refiera al ejercicio de sus funciones;</w:t>
      </w:r>
    </w:p>
    <w:p w:rsidR="004F0D90" w:rsidRPr="00B51945" w:rsidRDefault="004F0D90" w:rsidP="004F0D90">
      <w:pPr>
        <w:pStyle w:val="Textonotapie"/>
        <w:jc w:val="both"/>
        <w:rPr>
          <w:rFonts w:ascii="Century Gothic" w:hAnsi="Century Gothic"/>
          <w:sz w:val="16"/>
          <w:szCs w:val="16"/>
        </w:rPr>
      </w:pPr>
      <w:r w:rsidRPr="00B51945">
        <w:rPr>
          <w:rFonts w:ascii="Century Gothic" w:hAnsi="Century Gothic"/>
          <w:sz w:val="16"/>
          <w:szCs w:val="16"/>
        </w:rPr>
        <w:t>[…]”</w:t>
      </w:r>
    </w:p>
    <w:p w:rsidR="004F0D90" w:rsidRPr="00B51945" w:rsidRDefault="004F0D90" w:rsidP="004F0D90">
      <w:pPr>
        <w:pStyle w:val="Textonotapie"/>
        <w:jc w:val="both"/>
        <w:rPr>
          <w:rFonts w:ascii="Century Gothic" w:hAnsi="Century Gothic"/>
          <w:sz w:val="16"/>
          <w:szCs w:val="16"/>
        </w:rPr>
      </w:pPr>
      <w:r w:rsidRPr="00B51945">
        <w:rPr>
          <w:rFonts w:ascii="Century Gothic" w:hAnsi="Century Gothic"/>
          <w:sz w:val="16"/>
          <w:szCs w:val="16"/>
        </w:rPr>
        <w:t>“</w:t>
      </w:r>
      <w:r w:rsidRPr="00B51945">
        <w:rPr>
          <w:rFonts w:ascii="Century Gothic" w:hAnsi="Century Gothic"/>
          <w:b/>
          <w:sz w:val="16"/>
          <w:szCs w:val="16"/>
        </w:rPr>
        <w:t>Artículo 391.</w:t>
      </w:r>
      <w:r w:rsidRPr="00B51945">
        <w:rPr>
          <w:rFonts w:ascii="Century Gothic" w:hAnsi="Century Gothic"/>
          <w:sz w:val="16"/>
          <w:szCs w:val="16"/>
        </w:rPr>
        <w:t xml:space="preserve"> Las actuaciones judiciales hacen prueba plena.”.</w:t>
      </w:r>
    </w:p>
  </w:footnote>
  <w:footnote w:id="7">
    <w:p w:rsidR="00A73148" w:rsidRPr="0016750C" w:rsidRDefault="00A73148" w:rsidP="00A73148">
      <w:pPr>
        <w:pStyle w:val="Textonotapie"/>
        <w:jc w:val="both"/>
        <w:rPr>
          <w:rFonts w:ascii="Century Gothic" w:hAnsi="Century Gothic"/>
          <w:sz w:val="16"/>
          <w:szCs w:val="16"/>
        </w:rPr>
      </w:pPr>
      <w:r w:rsidRPr="0016750C">
        <w:rPr>
          <w:rStyle w:val="Refdenotaalpie"/>
          <w:rFonts w:ascii="Century Gothic" w:hAnsi="Century Gothic"/>
          <w:sz w:val="16"/>
          <w:szCs w:val="16"/>
        </w:rPr>
        <w:footnoteRef/>
      </w:r>
      <w:r w:rsidRPr="0016750C">
        <w:rPr>
          <w:rFonts w:ascii="Century Gothic" w:hAnsi="Century Gothic"/>
          <w:sz w:val="16"/>
          <w:szCs w:val="16"/>
        </w:rPr>
        <w:t xml:space="preserve"> </w:t>
      </w:r>
      <w:r w:rsidRPr="0016750C">
        <w:rPr>
          <w:rFonts w:ascii="Century Gothic" w:hAnsi="Century Gothic"/>
          <w:b/>
          <w:sz w:val="16"/>
          <w:szCs w:val="16"/>
        </w:rPr>
        <w:t xml:space="preserve">“Artículo 78.- </w:t>
      </w:r>
      <w:r w:rsidRPr="0016750C">
        <w:rPr>
          <w:rFonts w:ascii="Century Gothic" w:hAnsi="Century Gothic"/>
          <w:sz w:val="16"/>
          <w:szCs w:val="16"/>
        </w:rPr>
        <w:t>Las resoluciones son: III.- Sentencias definitivas o interlocutorias, según que decidan el negocio principal o que decidan un incidente, un artículo sobre excepciones dilatorias o una competencia.”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8CD" w:rsidRPr="00583EE6" w:rsidRDefault="00A31D9F" w:rsidP="00BE18CD">
    <w:pPr>
      <w:pStyle w:val="Encabezado"/>
      <w:spacing w:after="0" w:line="360" w:lineRule="auto"/>
      <w:ind w:right="-23"/>
      <w:rPr>
        <w:rFonts w:ascii="Arial" w:hAnsi="Arial" w:cs="Arial"/>
        <w:b/>
        <w:sz w:val="20"/>
        <w:szCs w:val="20"/>
      </w:rPr>
    </w:pPr>
    <w:r>
      <w:rPr>
        <w:rFonts w:ascii="Arial" w:hAnsi="Arial" w:cs="Arial"/>
        <w:b/>
        <w:sz w:val="20"/>
        <w:szCs w:val="20"/>
      </w:rPr>
      <w:t xml:space="preserve">                                                               </w:t>
    </w:r>
    <w:r w:rsidRPr="00583EE6">
      <w:rPr>
        <w:rFonts w:ascii="Arial" w:hAnsi="Arial" w:cs="Arial"/>
        <w:b/>
        <w:sz w:val="20"/>
        <w:szCs w:val="20"/>
      </w:rPr>
      <w:t>RECURSO DE QUEJA</w:t>
    </w:r>
  </w:p>
  <w:p w:rsidR="00BE18CD" w:rsidRDefault="00A31D9F" w:rsidP="00BE18CD">
    <w:pPr>
      <w:pStyle w:val="Encabezado"/>
      <w:spacing w:after="0" w:line="360" w:lineRule="auto"/>
      <w:ind w:right="-23"/>
    </w:pPr>
    <w:r>
      <w:rPr>
        <w:rFonts w:ascii="Arial" w:hAnsi="Arial" w:cs="Arial"/>
        <w:b/>
        <w:sz w:val="20"/>
        <w:szCs w:val="20"/>
      </w:rPr>
      <w:t xml:space="preserve">                                                                     </w:t>
    </w:r>
    <w:r w:rsidRPr="00583EE6">
      <w:rPr>
        <w:rFonts w:ascii="Arial" w:hAnsi="Arial" w:cs="Arial"/>
        <w:b/>
        <w:sz w:val="20"/>
        <w:szCs w:val="20"/>
      </w:rPr>
      <w:t xml:space="preserve">TOCA </w:t>
    </w:r>
    <w:r>
      <w:rPr>
        <w:rFonts w:ascii="Arial" w:hAnsi="Arial" w:cs="Arial"/>
        <w:b/>
        <w:sz w:val="20"/>
        <w:szCs w:val="20"/>
      </w:rPr>
      <w:t>193/2020</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6610" w:rsidRPr="00583EE6" w:rsidRDefault="00A31D9F" w:rsidP="00716610">
    <w:pPr>
      <w:pStyle w:val="Encabezado"/>
      <w:spacing w:after="0" w:line="360" w:lineRule="auto"/>
      <w:ind w:right="-23"/>
      <w:rPr>
        <w:rFonts w:ascii="Arial" w:hAnsi="Arial" w:cs="Arial"/>
        <w:b/>
        <w:sz w:val="20"/>
        <w:szCs w:val="20"/>
      </w:rPr>
    </w:pPr>
    <w:r>
      <w:rPr>
        <w:rFonts w:ascii="Arial" w:hAnsi="Arial" w:cs="Arial"/>
        <w:b/>
        <w:noProof/>
        <w:sz w:val="20"/>
        <w:szCs w:val="20"/>
        <w:lang w:eastAsia="es-MX"/>
      </w:rPr>
      <w:drawing>
        <wp:anchor distT="0" distB="0" distL="114300" distR="114300" simplePos="0" relativeHeight="251659264" behindDoc="1" locked="0" layoutInCell="1" allowOverlap="1" wp14:anchorId="275EABC9" wp14:editId="75F10A38">
          <wp:simplePos x="0" y="0"/>
          <wp:positionH relativeFrom="column">
            <wp:posOffset>4408170</wp:posOffset>
          </wp:positionH>
          <wp:positionV relativeFrom="paragraph">
            <wp:posOffset>-261620</wp:posOffset>
          </wp:positionV>
          <wp:extent cx="1475740" cy="716280"/>
          <wp:effectExtent l="0" t="0" r="0" b="762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lang w:eastAsia="es-MX"/>
      </w:rPr>
      <w:drawing>
        <wp:anchor distT="0" distB="0" distL="114300" distR="114300" simplePos="0" relativeHeight="251660288" behindDoc="1" locked="0" layoutInCell="1" allowOverlap="1" wp14:anchorId="21D26C82" wp14:editId="20998DFF">
          <wp:simplePos x="0" y="0"/>
          <wp:positionH relativeFrom="column">
            <wp:posOffset>-1089025</wp:posOffset>
          </wp:positionH>
          <wp:positionV relativeFrom="paragraph">
            <wp:posOffset>-287020</wp:posOffset>
          </wp:positionV>
          <wp:extent cx="867410" cy="770255"/>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sz w:val="20"/>
        <w:szCs w:val="20"/>
      </w:rPr>
      <w:t xml:space="preserve">                                                </w:t>
    </w:r>
    <w:r w:rsidRPr="00583EE6">
      <w:rPr>
        <w:rFonts w:ascii="Arial" w:hAnsi="Arial" w:cs="Arial"/>
        <w:b/>
        <w:sz w:val="20"/>
        <w:szCs w:val="20"/>
      </w:rPr>
      <w:t>RECURSO DE QUEJA</w:t>
    </w:r>
  </w:p>
  <w:p w:rsidR="004358B2" w:rsidRPr="00716610" w:rsidRDefault="00A31D9F" w:rsidP="00716610">
    <w:pPr>
      <w:pStyle w:val="Encabezado"/>
      <w:spacing w:after="0" w:line="360" w:lineRule="auto"/>
      <w:ind w:right="-23"/>
    </w:pPr>
    <w:r>
      <w:rPr>
        <w:rFonts w:ascii="Arial" w:hAnsi="Arial" w:cs="Arial"/>
        <w:b/>
        <w:sz w:val="20"/>
        <w:szCs w:val="20"/>
      </w:rPr>
      <w:t xml:space="preserve">                                                      </w:t>
    </w:r>
    <w:r w:rsidRPr="00583EE6">
      <w:rPr>
        <w:rFonts w:ascii="Arial" w:hAnsi="Arial" w:cs="Arial"/>
        <w:b/>
        <w:sz w:val="20"/>
        <w:szCs w:val="20"/>
      </w:rPr>
      <w:t xml:space="preserve">TOCA </w:t>
    </w:r>
    <w:r>
      <w:rPr>
        <w:rFonts w:ascii="Arial" w:hAnsi="Arial" w:cs="Arial"/>
        <w:b/>
        <w:sz w:val="20"/>
        <w:szCs w:val="20"/>
      </w:rPr>
      <w:t>193/2020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40EE6"/>
    <w:multiLevelType w:val="hybridMultilevel"/>
    <w:tmpl w:val="0E2AD4E6"/>
    <w:lvl w:ilvl="0" w:tplc="348C2C7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59EF646B"/>
    <w:multiLevelType w:val="hybridMultilevel"/>
    <w:tmpl w:val="EEF0FA8A"/>
    <w:lvl w:ilvl="0" w:tplc="E5FEC95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7BE25EF0"/>
    <w:multiLevelType w:val="hybridMultilevel"/>
    <w:tmpl w:val="E54C5286"/>
    <w:lvl w:ilvl="0" w:tplc="B6D0FAC4">
      <w:start w:val="1"/>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D9F"/>
    <w:rsid w:val="00047F4C"/>
    <w:rsid w:val="000645CC"/>
    <w:rsid w:val="00077EE4"/>
    <w:rsid w:val="000C02AD"/>
    <w:rsid w:val="00110BD2"/>
    <w:rsid w:val="00110FA8"/>
    <w:rsid w:val="0011358F"/>
    <w:rsid w:val="00117D95"/>
    <w:rsid w:val="00132CFD"/>
    <w:rsid w:val="0016750C"/>
    <w:rsid w:val="00172EBB"/>
    <w:rsid w:val="00184E51"/>
    <w:rsid w:val="001A0997"/>
    <w:rsid w:val="001A1A75"/>
    <w:rsid w:val="001D3EDC"/>
    <w:rsid w:val="0023474D"/>
    <w:rsid w:val="00235299"/>
    <w:rsid w:val="00243128"/>
    <w:rsid w:val="0029217C"/>
    <w:rsid w:val="002A4571"/>
    <w:rsid w:val="002E7238"/>
    <w:rsid w:val="003478D2"/>
    <w:rsid w:val="003A2AE5"/>
    <w:rsid w:val="003D0F3C"/>
    <w:rsid w:val="00406C8B"/>
    <w:rsid w:val="004225FD"/>
    <w:rsid w:val="00443F4E"/>
    <w:rsid w:val="00460452"/>
    <w:rsid w:val="004755FB"/>
    <w:rsid w:val="004C0318"/>
    <w:rsid w:val="004F0D90"/>
    <w:rsid w:val="00515103"/>
    <w:rsid w:val="00515967"/>
    <w:rsid w:val="0057613A"/>
    <w:rsid w:val="005838FB"/>
    <w:rsid w:val="005970A6"/>
    <w:rsid w:val="005F0236"/>
    <w:rsid w:val="00614467"/>
    <w:rsid w:val="00681E8F"/>
    <w:rsid w:val="00687FAF"/>
    <w:rsid w:val="006A03AE"/>
    <w:rsid w:val="006D7431"/>
    <w:rsid w:val="0070388B"/>
    <w:rsid w:val="007116A8"/>
    <w:rsid w:val="007740C5"/>
    <w:rsid w:val="00783073"/>
    <w:rsid w:val="007C6B49"/>
    <w:rsid w:val="007D42A5"/>
    <w:rsid w:val="007D6728"/>
    <w:rsid w:val="00801DF2"/>
    <w:rsid w:val="00804DCE"/>
    <w:rsid w:val="00850A43"/>
    <w:rsid w:val="008803AF"/>
    <w:rsid w:val="00885139"/>
    <w:rsid w:val="008F15D2"/>
    <w:rsid w:val="00941AAB"/>
    <w:rsid w:val="0094745F"/>
    <w:rsid w:val="009604A1"/>
    <w:rsid w:val="00964200"/>
    <w:rsid w:val="00975D8E"/>
    <w:rsid w:val="009C5BDC"/>
    <w:rsid w:val="009D25EE"/>
    <w:rsid w:val="009E4862"/>
    <w:rsid w:val="009F7E0F"/>
    <w:rsid w:val="00A3088E"/>
    <w:rsid w:val="00A31D9F"/>
    <w:rsid w:val="00A67338"/>
    <w:rsid w:val="00A73148"/>
    <w:rsid w:val="00B728DC"/>
    <w:rsid w:val="00BA57A8"/>
    <w:rsid w:val="00C02C04"/>
    <w:rsid w:val="00C42326"/>
    <w:rsid w:val="00C77F4A"/>
    <w:rsid w:val="00C961B5"/>
    <w:rsid w:val="00CB3836"/>
    <w:rsid w:val="00D46935"/>
    <w:rsid w:val="00D50A61"/>
    <w:rsid w:val="00D8654E"/>
    <w:rsid w:val="00DD3717"/>
    <w:rsid w:val="00DD60BC"/>
    <w:rsid w:val="00E835E8"/>
    <w:rsid w:val="00E83AE0"/>
    <w:rsid w:val="00E97A1C"/>
    <w:rsid w:val="00EB7319"/>
    <w:rsid w:val="00EE160F"/>
    <w:rsid w:val="00F523F8"/>
    <w:rsid w:val="00F5250D"/>
    <w:rsid w:val="00FC55DA"/>
    <w:rsid w:val="00FC7E29"/>
    <w:rsid w:val="00FF0E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C0DD450"/>
  <w15:docId w15:val="{2B933971-0532-4DCB-8317-9F8F5E643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1D9F"/>
    <w:rPr>
      <w:rFonts w:ascii="Calibri" w:eastAsia="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99"/>
    <w:semiHidden/>
    <w:rsid w:val="00A31D9F"/>
    <w:pPr>
      <w:spacing w:after="0" w:line="480" w:lineRule="auto"/>
      <w:jc w:val="both"/>
    </w:pPr>
    <w:rPr>
      <w:rFonts w:ascii="Tahoma" w:eastAsia="Times New Roman" w:hAnsi="Tahoma" w:cs="Tahoma"/>
      <w:sz w:val="28"/>
      <w:szCs w:val="28"/>
      <w:lang w:eastAsia="es-ES"/>
    </w:rPr>
  </w:style>
  <w:style w:type="character" w:customStyle="1" w:styleId="TextoindependienteCar">
    <w:name w:val="Texto independiente Car"/>
    <w:basedOn w:val="Fuentedeprrafopredeter"/>
    <w:link w:val="Textoindependiente"/>
    <w:uiPriority w:val="99"/>
    <w:semiHidden/>
    <w:rsid w:val="00A31D9F"/>
    <w:rPr>
      <w:rFonts w:ascii="Tahoma" w:eastAsia="Times New Roman" w:hAnsi="Tahoma" w:cs="Tahoma"/>
      <w:sz w:val="28"/>
      <w:szCs w:val="28"/>
      <w:lang w:eastAsia="es-ES"/>
    </w:rPr>
  </w:style>
  <w:style w:type="paragraph" w:styleId="Encabezado">
    <w:name w:val="header"/>
    <w:basedOn w:val="Normal"/>
    <w:link w:val="EncabezadoCar"/>
    <w:semiHidden/>
    <w:rsid w:val="00A31D9F"/>
    <w:pPr>
      <w:tabs>
        <w:tab w:val="center" w:pos="4419"/>
        <w:tab w:val="right" w:pos="8838"/>
      </w:tabs>
    </w:pPr>
  </w:style>
  <w:style w:type="character" w:customStyle="1" w:styleId="EncabezadoCar">
    <w:name w:val="Encabezado Car"/>
    <w:basedOn w:val="Fuentedeprrafopredeter"/>
    <w:link w:val="Encabezado"/>
    <w:semiHidden/>
    <w:rsid w:val="00A31D9F"/>
    <w:rPr>
      <w:rFonts w:ascii="Calibri" w:eastAsia="Calibri" w:hAnsi="Calibri" w:cs="Calibri"/>
    </w:rPr>
  </w:style>
  <w:style w:type="paragraph" w:styleId="Sangradetextonormal">
    <w:name w:val="Body Text Indent"/>
    <w:basedOn w:val="Normal"/>
    <w:link w:val="SangradetextonormalCar"/>
    <w:uiPriority w:val="99"/>
    <w:semiHidden/>
    <w:rsid w:val="00A31D9F"/>
    <w:pPr>
      <w:spacing w:line="480" w:lineRule="auto"/>
      <w:ind w:firstLine="1418"/>
      <w:jc w:val="both"/>
    </w:pPr>
    <w:rPr>
      <w:rFonts w:ascii="Arial" w:hAnsi="Arial" w:cs="Arial"/>
      <w:sz w:val="28"/>
      <w:szCs w:val="28"/>
    </w:rPr>
  </w:style>
  <w:style w:type="character" w:customStyle="1" w:styleId="SangradetextonormalCar">
    <w:name w:val="Sangría de texto normal Car"/>
    <w:basedOn w:val="Fuentedeprrafopredeter"/>
    <w:link w:val="Sangradetextonormal"/>
    <w:uiPriority w:val="99"/>
    <w:semiHidden/>
    <w:rsid w:val="00A31D9F"/>
    <w:rPr>
      <w:rFonts w:ascii="Arial" w:eastAsia="Calibri" w:hAnsi="Arial" w:cs="Arial"/>
      <w:sz w:val="28"/>
      <w:szCs w:val="28"/>
    </w:rPr>
  </w:style>
  <w:style w:type="paragraph" w:styleId="Piedepgina">
    <w:name w:val="footer"/>
    <w:basedOn w:val="Normal"/>
    <w:link w:val="PiedepginaCar"/>
    <w:uiPriority w:val="99"/>
    <w:rsid w:val="00A31D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31D9F"/>
    <w:rPr>
      <w:rFonts w:ascii="Calibri" w:eastAsia="Calibri" w:hAnsi="Calibri" w:cs="Calibri"/>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
    <w:basedOn w:val="Normal"/>
    <w:link w:val="TextonotapieCar"/>
    <w:uiPriority w:val="99"/>
    <w:rsid w:val="00A31D9F"/>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C Car"/>
    <w:basedOn w:val="Fuentedeprrafopredeter"/>
    <w:link w:val="Textonotapie"/>
    <w:uiPriority w:val="99"/>
    <w:rsid w:val="00A31D9F"/>
    <w:rPr>
      <w:rFonts w:ascii="Calibri" w:eastAsia="Calibri" w:hAnsi="Calibri" w:cs="Calibri"/>
      <w:sz w:val="20"/>
      <w:szCs w:val="20"/>
    </w:rPr>
  </w:style>
  <w:style w:type="character" w:styleId="Refdenotaalpie">
    <w:name w:val="footnote reference"/>
    <w:aliases w:val="Texto de nota al pie,Footnotes refss,Appel note de bas de page,Footnote number,referencia nota al pie,BVI fnr,f,4_G,16 Point,Superscript 6 Point,Texto nota al pie,Ref. de nota al pie 2,Footnote Reference Char3,julio,ftref,Ref,R,gf"/>
    <w:basedOn w:val="Fuentedeprrafopredeter"/>
    <w:uiPriority w:val="99"/>
    <w:rsid w:val="00A31D9F"/>
    <w:rPr>
      <w:vertAlign w:val="superscript"/>
    </w:rPr>
  </w:style>
  <w:style w:type="paragraph" w:styleId="Prrafodelista">
    <w:name w:val="List Paragraph"/>
    <w:basedOn w:val="Normal"/>
    <w:uiPriority w:val="99"/>
    <w:qFormat/>
    <w:rsid w:val="00A31D9F"/>
    <w:pPr>
      <w:spacing w:after="0" w:line="240" w:lineRule="auto"/>
      <w:ind w:left="720"/>
    </w:pPr>
    <w:rPr>
      <w:rFonts w:ascii="Times New Roman" w:eastAsia="Times New Roman" w:hAnsi="Times New Roman" w:cs="Times New Roman"/>
      <w:sz w:val="24"/>
      <w:szCs w:val="24"/>
    </w:rPr>
  </w:style>
  <w:style w:type="paragraph" w:customStyle="1" w:styleId="Normal1">
    <w:name w:val="Normal1"/>
    <w:rsid w:val="00A31D9F"/>
    <w:pPr>
      <w:suppressAutoHyphens/>
      <w:textAlignment w:val="baseline"/>
    </w:pPr>
    <w:rPr>
      <w:rFonts w:ascii="Times New Roman" w:eastAsia="Arial Unicode MS" w:hAnsi="Times New Roman" w:cs="Times New Roman"/>
      <w:color w:val="00000A"/>
      <w:sz w:val="24"/>
      <w:szCs w:val="24"/>
      <w:lang w:eastAsia="es-MX"/>
    </w:rPr>
  </w:style>
  <w:style w:type="character" w:customStyle="1" w:styleId="Caracteresdenotaalpie">
    <w:name w:val="Caracteres de nota al pie"/>
    <w:uiPriority w:val="99"/>
    <w:rsid w:val="00A31D9F"/>
  </w:style>
  <w:style w:type="paragraph" w:customStyle="1" w:styleId="Normal0">
    <w:name w:val="[Normal]"/>
    <w:uiPriority w:val="99"/>
    <w:rsid w:val="00A31D9F"/>
    <w:pPr>
      <w:autoSpaceDE w:val="0"/>
      <w:autoSpaceDN w:val="0"/>
      <w:adjustRightInd w:val="0"/>
      <w:spacing w:after="0" w:line="240" w:lineRule="auto"/>
    </w:pPr>
    <w:rPr>
      <w:rFonts w:ascii="Arial" w:eastAsia="Calibri" w:hAnsi="Arial" w:cs="Arial"/>
      <w:sz w:val="24"/>
      <w:szCs w:val="24"/>
      <w:lang w:val="es-ES" w:eastAsia="es-ES"/>
    </w:rPr>
  </w:style>
  <w:style w:type="character" w:styleId="Refdecomentario">
    <w:name w:val="annotation reference"/>
    <w:basedOn w:val="Fuentedeprrafopredeter"/>
    <w:uiPriority w:val="99"/>
    <w:semiHidden/>
    <w:unhideWhenUsed/>
    <w:rsid w:val="00885139"/>
    <w:rPr>
      <w:sz w:val="16"/>
      <w:szCs w:val="16"/>
    </w:rPr>
  </w:style>
  <w:style w:type="character" w:customStyle="1" w:styleId="Ancladenotaalpie">
    <w:name w:val="Ancla de nota al pie"/>
    <w:rsid w:val="001A0997"/>
    <w:rPr>
      <w:vertAlign w:val="superscript"/>
    </w:rPr>
  </w:style>
  <w:style w:type="paragraph" w:customStyle="1" w:styleId="Notaalpie">
    <w:name w:val="Nota al pie"/>
    <w:basedOn w:val="Normal1"/>
    <w:rsid w:val="001A0997"/>
  </w:style>
  <w:style w:type="paragraph" w:customStyle="1" w:styleId="Default">
    <w:name w:val="Default"/>
    <w:rsid w:val="00A67338"/>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23474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3474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E2E283-2DA7-4986-A113-03CE9B211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6337</Words>
  <Characters>34856</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Juridico2</dc:creator>
  <cp:lastModifiedBy>BEATRIZ ADRIANA MARTINEZ CARDONA</cp:lastModifiedBy>
  <cp:revision>2</cp:revision>
  <cp:lastPrinted>2021-06-17T19:26:00Z</cp:lastPrinted>
  <dcterms:created xsi:type="dcterms:W3CDTF">2021-06-18T14:24:00Z</dcterms:created>
  <dcterms:modified xsi:type="dcterms:W3CDTF">2021-06-18T14:24:00Z</dcterms:modified>
</cp:coreProperties>
</file>