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980" w:rsidRPr="00074BAB" w:rsidRDefault="002F15BA" w:rsidP="002F15BA">
      <w:pPr>
        <w:jc w:val="center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noProof/>
          <w:lang w:eastAsia="es-MX"/>
        </w:rPr>
        <w:drawing>
          <wp:inline distT="0" distB="0" distL="0" distR="0" wp14:anchorId="42F3CF33" wp14:editId="1E60A395">
            <wp:extent cx="3152775" cy="1085850"/>
            <wp:effectExtent l="0" t="0" r="0" b="0"/>
            <wp:docPr id="1" name="Imagen 1" descr="PAN SLP – Partido Acción Nac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N SLP – Partido Acción Naciona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2063C" w:rsidRPr="00074BAB" w:rsidRDefault="00B24501" w:rsidP="00B04D1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074BAB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VISTAS LAS OBLIGACIONES DE TRANSPARENCIA ESTABLECIDAS EN EL ARTÍCULO 18 Y 19  CONCATENADOS AL 84 X</w:t>
      </w:r>
      <w:r w:rsidR="0062063C" w:rsidRPr="00074BAB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LI D</w:t>
      </w:r>
      <w:r w:rsidRPr="00074BAB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DE LA LEY DE TRANSPARENCIA Y ACCESO A LA INFORMACIÓN PÚBLICA DEL ESTADO DE SAN LUIS POTOSI, SE INFORMA QUE EN ESTE </w:t>
      </w:r>
      <w:r w:rsidR="0062063C" w:rsidRPr="00074BAB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SUJETO OBLIGADO </w:t>
      </w:r>
      <w:r w:rsidR="0062063C" w:rsidRPr="00074BAB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 xml:space="preserve">NO CUENTA CON UN SISTEMA DE INFORMACIÓN INMOBILIARIA, </w:t>
      </w:r>
      <w:r w:rsidR="0062063C" w:rsidRPr="00074BAB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DEBIDO A QUE LOS ESTATUTOS DEL PARTIDO NO REQUIERE DICHO SISTEMA UNICAMENTE SE REALIZA UN INFORME A</w:t>
      </w:r>
      <w:r w:rsidR="00074BAB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NUAL DEL PATRIMONIO DEL PARTIDO.</w:t>
      </w:r>
    </w:p>
    <w:p w:rsidR="00B04D1C" w:rsidRPr="00074BAB" w:rsidRDefault="00B04D1C" w:rsidP="00B04D1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62063C" w:rsidRPr="00074BAB" w:rsidRDefault="00074BAB" w:rsidP="0062063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074BAB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ADEMAS CONFORME AL REGRAMENTO DE FISCALIZACIÓN 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PARA PARTIDOS POLITICOS </w:t>
      </w:r>
      <w:r w:rsidRPr="00074BAB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NO LO SOLICITA:</w:t>
      </w:r>
    </w:p>
    <w:p w:rsidR="00074BAB" w:rsidRPr="00074BAB" w:rsidRDefault="00074BAB" w:rsidP="0062063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074BAB" w:rsidRPr="00074BAB" w:rsidRDefault="00074BAB" w:rsidP="006206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74BAB">
        <w:rPr>
          <w:rFonts w:ascii="Arial" w:hAnsi="Arial" w:cs="Arial"/>
          <w:sz w:val="24"/>
          <w:szCs w:val="24"/>
        </w:rPr>
        <w:t>Artículo 72. Control de inventarios</w:t>
      </w:r>
    </w:p>
    <w:p w:rsidR="00074BAB" w:rsidRPr="00074BAB" w:rsidRDefault="00074BAB" w:rsidP="0062063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476196" w:rsidRPr="00074BAB" w:rsidRDefault="00074BAB" w:rsidP="0047619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074BAB">
        <w:rPr>
          <w:rFonts w:ascii="Arial" w:hAnsi="Arial" w:cs="Arial"/>
          <w:sz w:val="24"/>
          <w:szCs w:val="24"/>
        </w:rPr>
        <w:t>5. El inventario físico de bienes muebles e inmuebles, deberá realizarse en todas las oficinas del partido político, ya sea con administración federal, estatal, local, regional, distrital, municipal u otra.</w:t>
      </w:r>
    </w:p>
    <w:p w:rsidR="00476196" w:rsidRDefault="00476196" w:rsidP="00F740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4761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980"/>
    <w:rsid w:val="00074BAB"/>
    <w:rsid w:val="00075C07"/>
    <w:rsid w:val="00212822"/>
    <w:rsid w:val="002F15BA"/>
    <w:rsid w:val="00366C9F"/>
    <w:rsid w:val="00432567"/>
    <w:rsid w:val="00476196"/>
    <w:rsid w:val="005A0BEC"/>
    <w:rsid w:val="0062063C"/>
    <w:rsid w:val="00642BAC"/>
    <w:rsid w:val="0068339B"/>
    <w:rsid w:val="00693980"/>
    <w:rsid w:val="00770111"/>
    <w:rsid w:val="00772B73"/>
    <w:rsid w:val="007D6319"/>
    <w:rsid w:val="00866228"/>
    <w:rsid w:val="009D2151"/>
    <w:rsid w:val="00A200A1"/>
    <w:rsid w:val="00A57830"/>
    <w:rsid w:val="00AF78F7"/>
    <w:rsid w:val="00B04D1C"/>
    <w:rsid w:val="00B24501"/>
    <w:rsid w:val="00B75B35"/>
    <w:rsid w:val="00B85ABE"/>
    <w:rsid w:val="00C40E1A"/>
    <w:rsid w:val="00CB7D0A"/>
    <w:rsid w:val="00DB5639"/>
    <w:rsid w:val="00E57570"/>
    <w:rsid w:val="00E929C3"/>
    <w:rsid w:val="00F74028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Raul Rodríguez</cp:lastModifiedBy>
  <cp:revision>3</cp:revision>
  <dcterms:created xsi:type="dcterms:W3CDTF">2021-04-23T23:48:00Z</dcterms:created>
  <dcterms:modified xsi:type="dcterms:W3CDTF">2021-04-23T23:49:00Z</dcterms:modified>
</cp:coreProperties>
</file>