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03D8" w:rsidRDefault="009603D8" w:rsidP="009603D8">
      <w:pPr>
        <w:spacing w:after="0"/>
        <w:jc w:val="center"/>
        <w:rPr>
          <w:b/>
          <w:sz w:val="28"/>
          <w:szCs w:val="28"/>
        </w:rPr>
      </w:pPr>
      <w:r>
        <w:rPr>
          <w:b/>
          <w:sz w:val="28"/>
          <w:szCs w:val="28"/>
        </w:rPr>
        <w:t>ORDEN DEL DIA</w:t>
      </w:r>
    </w:p>
    <w:p w:rsidR="009603D8" w:rsidRDefault="009603D8" w:rsidP="009603D8">
      <w:pPr>
        <w:spacing w:after="0"/>
        <w:jc w:val="center"/>
        <w:rPr>
          <w:b/>
          <w:sz w:val="28"/>
          <w:szCs w:val="28"/>
        </w:rPr>
      </w:pPr>
    </w:p>
    <w:p w:rsidR="009603D8" w:rsidRDefault="009603D8" w:rsidP="009603D8">
      <w:pPr>
        <w:spacing w:after="0"/>
        <w:jc w:val="both"/>
        <w:rPr>
          <w:sz w:val="29"/>
          <w:szCs w:val="29"/>
        </w:rPr>
      </w:pPr>
      <w:r>
        <w:rPr>
          <w:b/>
          <w:sz w:val="28"/>
          <w:szCs w:val="28"/>
        </w:rPr>
        <w:t>1</w:t>
      </w:r>
      <w:r>
        <w:rPr>
          <w:b/>
          <w:sz w:val="29"/>
          <w:szCs w:val="29"/>
        </w:rPr>
        <w:t>.-</w:t>
      </w:r>
      <w:r>
        <w:rPr>
          <w:sz w:val="29"/>
          <w:szCs w:val="29"/>
        </w:rPr>
        <w:t xml:space="preserve"> Pase de lista</w:t>
      </w:r>
    </w:p>
    <w:p w:rsidR="009603D8" w:rsidRDefault="009603D8" w:rsidP="009603D8">
      <w:pPr>
        <w:spacing w:after="0"/>
        <w:jc w:val="both"/>
        <w:rPr>
          <w:b/>
          <w:sz w:val="29"/>
          <w:szCs w:val="29"/>
        </w:rPr>
      </w:pPr>
      <w:r>
        <w:rPr>
          <w:b/>
          <w:sz w:val="29"/>
          <w:szCs w:val="29"/>
        </w:rPr>
        <w:t>2.-</w:t>
      </w:r>
      <w:r>
        <w:rPr>
          <w:sz w:val="29"/>
          <w:szCs w:val="29"/>
        </w:rPr>
        <w:t xml:space="preserve"> Verificación del Quorum e instalación de la asamblea por parte del Presidente Municipal Constitucional </w:t>
      </w:r>
      <w:r>
        <w:rPr>
          <w:b/>
          <w:sz w:val="29"/>
          <w:szCs w:val="29"/>
        </w:rPr>
        <w:t>PROFESOR RAUL RIVERA OLVERA.</w:t>
      </w:r>
    </w:p>
    <w:p w:rsidR="009603D8" w:rsidRDefault="009603D8" w:rsidP="009603D8">
      <w:pPr>
        <w:spacing w:after="0"/>
        <w:jc w:val="both"/>
        <w:rPr>
          <w:sz w:val="29"/>
          <w:szCs w:val="29"/>
        </w:rPr>
      </w:pPr>
      <w:r>
        <w:rPr>
          <w:b/>
          <w:sz w:val="29"/>
          <w:szCs w:val="29"/>
        </w:rPr>
        <w:t>3.-</w:t>
      </w:r>
      <w:r>
        <w:rPr>
          <w:sz w:val="29"/>
          <w:szCs w:val="29"/>
        </w:rPr>
        <w:t xml:space="preserve">Analisis, </w:t>
      </w:r>
      <w:bookmarkStart w:id="0" w:name="_GoBack"/>
      <w:bookmarkEnd w:id="0"/>
      <w:r w:rsidR="002E64D6">
        <w:rPr>
          <w:sz w:val="29"/>
          <w:szCs w:val="29"/>
        </w:rPr>
        <w:t>discusión y</w:t>
      </w:r>
      <w:r w:rsidR="00E46DB3">
        <w:rPr>
          <w:sz w:val="29"/>
          <w:szCs w:val="29"/>
        </w:rPr>
        <w:t xml:space="preserve"> aprobación en su caso de la minuta de proyecto de reforma que consiste en: </w:t>
      </w:r>
      <w:r w:rsidR="002E64D6">
        <w:rPr>
          <w:rFonts w:ascii="Arial" w:hAnsi="Arial" w:cs="Arial"/>
          <w:b/>
          <w:sz w:val="24"/>
          <w:szCs w:val="24"/>
        </w:rPr>
        <w:t>PRIMERO</w:t>
      </w:r>
      <w:r w:rsidR="002E64D6">
        <w:rPr>
          <w:rFonts w:ascii="Arial" w:hAnsi="Arial" w:cs="Arial"/>
          <w:sz w:val="24"/>
          <w:szCs w:val="24"/>
        </w:rPr>
        <w:t xml:space="preserve">. Se </w:t>
      </w:r>
      <w:r w:rsidR="002E64D6">
        <w:rPr>
          <w:rFonts w:ascii="Arial" w:hAnsi="Arial" w:cs="Arial"/>
          <w:b/>
          <w:sz w:val="24"/>
          <w:szCs w:val="24"/>
        </w:rPr>
        <w:t>REFORMA</w:t>
      </w:r>
      <w:r w:rsidR="002E64D6">
        <w:rPr>
          <w:rFonts w:ascii="Arial" w:hAnsi="Arial" w:cs="Arial"/>
          <w:sz w:val="24"/>
          <w:szCs w:val="24"/>
        </w:rPr>
        <w:t xml:space="preserve"> el artículo 115 en su párrafo primero; y </w:t>
      </w:r>
      <w:r w:rsidR="002E64D6">
        <w:rPr>
          <w:rFonts w:ascii="Arial" w:hAnsi="Arial" w:cs="Arial"/>
          <w:b/>
          <w:sz w:val="24"/>
          <w:szCs w:val="24"/>
        </w:rPr>
        <w:t>DEROGA</w:t>
      </w:r>
      <w:r w:rsidR="002E64D6">
        <w:rPr>
          <w:rFonts w:ascii="Arial" w:hAnsi="Arial" w:cs="Arial"/>
          <w:sz w:val="24"/>
          <w:szCs w:val="24"/>
        </w:rPr>
        <w:t xml:space="preserve"> del artículo 57 las fracciones, XXXI, y XXXII, de la Constitución Política del Estado Libre y Soberano de San Luis Potosí, para quedar como sigue  </w:t>
      </w:r>
      <w:r w:rsidR="002E64D6">
        <w:rPr>
          <w:rFonts w:ascii="Arial" w:hAnsi="Arial" w:cs="Arial"/>
          <w:b/>
          <w:sz w:val="24"/>
          <w:szCs w:val="24"/>
        </w:rPr>
        <w:t>ARTÍCULO 57.</w:t>
      </w:r>
      <w:r w:rsidR="002E64D6">
        <w:rPr>
          <w:rFonts w:ascii="Arial" w:hAnsi="Arial" w:cs="Arial"/>
          <w:sz w:val="24"/>
          <w:szCs w:val="24"/>
        </w:rPr>
        <w:t xml:space="preserve">  …  </w:t>
      </w:r>
      <w:r w:rsidR="002E64D6">
        <w:rPr>
          <w:rFonts w:ascii="Arial" w:hAnsi="Arial" w:cs="Arial"/>
          <w:b/>
          <w:sz w:val="24"/>
          <w:szCs w:val="24"/>
        </w:rPr>
        <w:t>I</w:t>
      </w:r>
      <w:r w:rsidR="002E64D6">
        <w:rPr>
          <w:rFonts w:ascii="Arial" w:hAnsi="Arial" w:cs="Arial"/>
          <w:sz w:val="24"/>
          <w:szCs w:val="24"/>
        </w:rPr>
        <w:t xml:space="preserve"> a </w:t>
      </w:r>
      <w:r w:rsidR="002E64D6">
        <w:rPr>
          <w:rFonts w:ascii="Arial" w:hAnsi="Arial" w:cs="Arial"/>
          <w:b/>
          <w:sz w:val="24"/>
          <w:szCs w:val="24"/>
        </w:rPr>
        <w:t>XXX.</w:t>
      </w:r>
      <w:r w:rsidR="002E64D6">
        <w:rPr>
          <w:rFonts w:ascii="Arial" w:hAnsi="Arial" w:cs="Arial"/>
          <w:sz w:val="24"/>
          <w:szCs w:val="24"/>
        </w:rPr>
        <w:t xml:space="preserve"> … </w:t>
      </w:r>
      <w:r w:rsidR="002E64D6">
        <w:rPr>
          <w:rFonts w:ascii="Arial" w:hAnsi="Arial" w:cs="Arial"/>
          <w:b/>
          <w:sz w:val="24"/>
          <w:szCs w:val="24"/>
        </w:rPr>
        <w:t>XXXI.</w:t>
      </w:r>
      <w:r w:rsidR="002E64D6">
        <w:rPr>
          <w:rFonts w:ascii="Arial" w:hAnsi="Arial" w:cs="Arial"/>
          <w:sz w:val="24"/>
          <w:szCs w:val="24"/>
        </w:rPr>
        <w:t xml:space="preserve"> </w:t>
      </w:r>
      <w:r w:rsidR="002E64D6">
        <w:rPr>
          <w:rFonts w:ascii="Arial" w:hAnsi="Arial" w:cs="Arial"/>
          <w:b/>
          <w:i/>
          <w:sz w:val="24"/>
          <w:szCs w:val="24"/>
        </w:rPr>
        <w:t xml:space="preserve">Se deroga.  </w:t>
      </w:r>
      <w:r w:rsidR="002E64D6">
        <w:rPr>
          <w:rFonts w:ascii="Arial" w:hAnsi="Arial" w:cs="Arial"/>
          <w:b/>
          <w:sz w:val="24"/>
          <w:szCs w:val="24"/>
        </w:rPr>
        <w:t>XXXII.</w:t>
      </w:r>
      <w:r w:rsidR="002E64D6">
        <w:rPr>
          <w:rFonts w:ascii="Arial" w:hAnsi="Arial" w:cs="Arial"/>
          <w:sz w:val="24"/>
          <w:szCs w:val="24"/>
        </w:rPr>
        <w:t xml:space="preserve"> </w:t>
      </w:r>
      <w:r w:rsidR="002E64D6">
        <w:rPr>
          <w:rFonts w:ascii="Arial" w:hAnsi="Arial" w:cs="Arial"/>
          <w:b/>
          <w:i/>
          <w:sz w:val="24"/>
          <w:szCs w:val="24"/>
        </w:rPr>
        <w:t xml:space="preserve">Se deroga.  </w:t>
      </w:r>
      <w:r w:rsidR="002E64D6">
        <w:rPr>
          <w:rFonts w:ascii="Arial" w:hAnsi="Arial" w:cs="Arial"/>
          <w:b/>
          <w:sz w:val="24"/>
          <w:szCs w:val="24"/>
        </w:rPr>
        <w:t>XXXIII</w:t>
      </w:r>
      <w:r w:rsidR="002E64D6">
        <w:rPr>
          <w:rFonts w:ascii="Arial" w:hAnsi="Arial" w:cs="Arial"/>
          <w:sz w:val="24"/>
          <w:szCs w:val="24"/>
        </w:rPr>
        <w:t xml:space="preserve"> a </w:t>
      </w:r>
      <w:r w:rsidR="002E64D6">
        <w:rPr>
          <w:rFonts w:ascii="Arial" w:hAnsi="Arial" w:cs="Arial"/>
          <w:b/>
          <w:sz w:val="24"/>
          <w:szCs w:val="24"/>
        </w:rPr>
        <w:t>XLVIII.</w:t>
      </w:r>
      <w:r w:rsidR="002E64D6">
        <w:rPr>
          <w:rFonts w:ascii="Arial" w:hAnsi="Arial" w:cs="Arial"/>
          <w:sz w:val="24"/>
          <w:szCs w:val="24"/>
        </w:rPr>
        <w:t xml:space="preserve"> …  </w:t>
      </w:r>
      <w:r w:rsidR="002E64D6">
        <w:rPr>
          <w:rFonts w:ascii="Arial" w:hAnsi="Arial" w:cs="Arial"/>
          <w:b/>
          <w:sz w:val="24"/>
          <w:szCs w:val="24"/>
        </w:rPr>
        <w:t>ARTÍCULO 115.</w:t>
      </w:r>
      <w:r w:rsidR="002E64D6">
        <w:rPr>
          <w:rFonts w:ascii="Arial" w:hAnsi="Arial" w:cs="Arial"/>
          <w:sz w:val="24"/>
          <w:szCs w:val="24"/>
        </w:rPr>
        <w:t xml:space="preserve"> Los ayuntamientos no podrán celebrar acto o contrato alguno que grave, comprometa, o tenga como fin la enajenación o comodato de  los bienes y servicios públicos de los municipios, sin la votación por mayoría calificada de los miembros del Cabildo; debiendo satisfacer previamente los requisitos y atender los  procedimientos establecidos en las leyes respectivas; los actos celebrados en contravención a la ley serán nulos de pleno derecho, siendo la o el presidente del municipio de que se trate, responsable solidario de los daños y perjuicios que sufra la hacienda pública municipal. … </w:t>
      </w:r>
      <w:r w:rsidR="002E64D6">
        <w:rPr>
          <w:rFonts w:ascii="Arial" w:hAnsi="Arial" w:cs="Arial"/>
          <w:b/>
          <w:sz w:val="24"/>
          <w:szCs w:val="24"/>
        </w:rPr>
        <w:t>TRANSITORIOS. PRIMERO.</w:t>
      </w:r>
      <w:r w:rsidR="002E64D6">
        <w:rPr>
          <w:rFonts w:ascii="Arial" w:hAnsi="Arial" w:cs="Arial"/>
          <w:sz w:val="24"/>
          <w:szCs w:val="24"/>
        </w:rPr>
        <w:t xml:space="preserve"> Este Decreto entrará en vigor al día siguiente de su publicación en el Periódico Oficial del Gobierno del Estado "Plan de San Luis, previo procedimiento al que aluden los párrafos, primero, y segundo, del artículo 138 de la Constitución Local.  </w:t>
      </w:r>
      <w:r w:rsidR="002E64D6">
        <w:rPr>
          <w:rFonts w:ascii="Arial" w:hAnsi="Arial" w:cs="Arial"/>
          <w:b/>
          <w:sz w:val="24"/>
          <w:szCs w:val="24"/>
        </w:rPr>
        <w:t>SEGUNDO.</w:t>
      </w:r>
      <w:r w:rsidR="002E64D6">
        <w:rPr>
          <w:rFonts w:ascii="Arial" w:hAnsi="Arial" w:cs="Arial"/>
          <w:sz w:val="24"/>
          <w:szCs w:val="24"/>
        </w:rPr>
        <w:t xml:space="preserve"> Se derogan todas las disposiciones que se opongan al presente Decreto.  </w:t>
      </w:r>
      <w:r w:rsidR="002E64D6">
        <w:rPr>
          <w:rFonts w:ascii="Arial" w:hAnsi="Arial" w:cs="Arial"/>
          <w:b/>
          <w:sz w:val="24"/>
          <w:szCs w:val="24"/>
        </w:rPr>
        <w:t>TERCERO.</w:t>
      </w:r>
      <w:r w:rsidR="002E64D6">
        <w:rPr>
          <w:rFonts w:ascii="Arial" w:hAnsi="Arial" w:cs="Arial"/>
          <w:sz w:val="24"/>
          <w:szCs w:val="24"/>
        </w:rPr>
        <w:t xml:space="preserve"> Las solicitudes que se encuentren en trámite ante el Congreso del Estado deberán declararse sin materia, y remitir la documentación exhibida al ayuntamiento peticionario. Lo tendrá entendido el Ejecutivo del Estado, lo hará publicar, circular y obedecer.  </w:t>
      </w:r>
      <w:r w:rsidR="002E64D6">
        <w:rPr>
          <w:rFonts w:ascii="Arial" w:hAnsi="Arial" w:cs="Arial"/>
          <w:b/>
          <w:sz w:val="24"/>
          <w:szCs w:val="24"/>
        </w:rPr>
        <w:t>DADO</w:t>
      </w:r>
      <w:r w:rsidR="002E64D6">
        <w:rPr>
          <w:rFonts w:ascii="Arial" w:hAnsi="Arial" w:cs="Arial"/>
          <w:sz w:val="24"/>
          <w:szCs w:val="24"/>
        </w:rPr>
        <w:t xml:space="preserve"> en el salón de sesiones “Ponciano Arriaga Leija” del Honorable Congreso del Estado, en Sesión Ordinaria por video conferencia, el tres de diciembre del dos mil veinte, Por la Directiva, Presidenta: Diputada Vianey Montes Colunga. Primera Secretaria: Diputada Laura Patricia Silva Celis. Segunda Secretaria: Diputada Rosa Zúñiga Luna.   Al concluir su lectura se puso a consideración.</w:t>
      </w:r>
      <w:r>
        <w:rPr>
          <w:b/>
          <w:sz w:val="29"/>
          <w:szCs w:val="29"/>
        </w:rPr>
        <w:t>4.-</w:t>
      </w:r>
      <w:r>
        <w:rPr>
          <w:sz w:val="29"/>
          <w:szCs w:val="29"/>
        </w:rPr>
        <w:t xml:space="preserve"> Clausura de la Sesión.</w:t>
      </w:r>
    </w:p>
    <w:p w:rsidR="009603D8" w:rsidRDefault="009603D8" w:rsidP="009603D8"/>
    <w:p w:rsidR="00981C79" w:rsidRDefault="00981C79"/>
    <w:sectPr w:rsidR="00981C7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3D8"/>
    <w:rsid w:val="002E64D6"/>
    <w:rsid w:val="009603D8"/>
    <w:rsid w:val="00981C79"/>
    <w:rsid w:val="00E46D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23142"/>
  <w15:chartTrackingRefBased/>
  <w15:docId w15:val="{6B0F07C6-60E1-4D85-937C-CD2E1EC16D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03D8"/>
    <w:pPr>
      <w:spacing w:line="25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339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339</Words>
  <Characters>1865</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 GENERAL</dc:creator>
  <cp:keywords/>
  <dc:description/>
  <cp:lastModifiedBy>SECRETARIA GENERAL</cp:lastModifiedBy>
  <cp:revision>2</cp:revision>
  <dcterms:created xsi:type="dcterms:W3CDTF">2021-02-08T16:55:00Z</dcterms:created>
  <dcterms:modified xsi:type="dcterms:W3CDTF">2021-02-08T16:55:00Z</dcterms:modified>
</cp:coreProperties>
</file>