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A04" w:rsidRDefault="00086A04" w:rsidP="00086A04">
      <w:pPr>
        <w:pStyle w:val="Default"/>
        <w:jc w:val="both"/>
        <w:rPr>
          <w:b/>
          <w:bCs/>
          <w:sz w:val="22"/>
          <w:szCs w:val="22"/>
        </w:rPr>
      </w:pPr>
      <w:r w:rsidRPr="00086A04">
        <w:rPr>
          <w:b/>
        </w:rPr>
        <w:t>ACUERDO DEL CONSEJO ESTATAL ELECTORAL Y DE PARTICIPACIÓN CIUDADANA MEDIANTE EL CUAL SE APRUEBA EL REGLAMENTO ORGÁNICO DEL CONSEJO ESTATAL E</w:t>
      </w:r>
      <w:r>
        <w:rPr>
          <w:b/>
        </w:rPr>
        <w:t>LECTORAL Y DE PARTICIPACIÓN •</w:t>
      </w:r>
      <w:r w:rsidRPr="00086A04">
        <w:rPr>
          <w:b/>
        </w:rPr>
        <w:t>CIUDADANA DE SAN LUIS POTOSÍ.</w:t>
      </w:r>
    </w:p>
    <w:p w:rsidR="00086A04" w:rsidRDefault="00086A04" w:rsidP="00086A04">
      <w:pPr>
        <w:pStyle w:val="Default"/>
        <w:jc w:val="both"/>
        <w:rPr>
          <w:b/>
          <w:bCs/>
          <w:sz w:val="22"/>
          <w:szCs w:val="22"/>
        </w:rPr>
      </w:pPr>
    </w:p>
    <w:p w:rsidR="00086A04" w:rsidRPr="00086A04" w:rsidRDefault="00086A04" w:rsidP="00086A04">
      <w:pPr>
        <w:pStyle w:val="Default"/>
        <w:rPr>
          <w:b/>
          <w:bCs/>
          <w:sz w:val="22"/>
          <w:szCs w:val="22"/>
        </w:rPr>
      </w:pPr>
    </w:p>
    <w:p w:rsidR="00FD6AE4" w:rsidRDefault="00FD6AE4" w:rsidP="00FD6AE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71F20"/>
          <w:sz w:val="21"/>
          <w:szCs w:val="21"/>
        </w:rPr>
      </w:pPr>
      <w:r>
        <w:rPr>
          <w:rFonts w:ascii="Arial" w:hAnsi="Arial" w:cs="Arial"/>
          <w:b/>
          <w:bCs/>
          <w:color w:val="271F20"/>
          <w:sz w:val="21"/>
          <w:szCs w:val="21"/>
        </w:rPr>
        <w:t>CAPÍTULO 11</w:t>
      </w:r>
    </w:p>
    <w:p w:rsidR="00FD6AE4" w:rsidRDefault="00FD6AE4" w:rsidP="00FD6AE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71F20"/>
          <w:sz w:val="21"/>
          <w:szCs w:val="21"/>
        </w:rPr>
      </w:pPr>
      <w:r>
        <w:rPr>
          <w:rFonts w:ascii="Arial" w:hAnsi="Arial" w:cs="Arial"/>
          <w:b/>
          <w:bCs/>
          <w:color w:val="271F20"/>
          <w:sz w:val="21"/>
          <w:szCs w:val="21"/>
        </w:rPr>
        <w:t>De la Presidencia del Consejo</w:t>
      </w:r>
    </w:p>
    <w:p w:rsidR="00FD6AE4" w:rsidRDefault="00FD6AE4" w:rsidP="00FD6AE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271F20"/>
          <w:sz w:val="21"/>
          <w:szCs w:val="21"/>
        </w:rPr>
      </w:pPr>
    </w:p>
    <w:p w:rsidR="00FD6AE4" w:rsidRDefault="00FD6AE4" w:rsidP="00FD6AE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1F20"/>
        </w:rPr>
      </w:pPr>
      <w:r>
        <w:rPr>
          <w:rFonts w:ascii="Arial" w:hAnsi="Arial" w:cs="Arial"/>
          <w:b/>
          <w:bCs/>
          <w:color w:val="271F20"/>
          <w:sz w:val="21"/>
          <w:szCs w:val="21"/>
        </w:rPr>
        <w:t xml:space="preserve">Artículo 9. </w:t>
      </w:r>
      <w:r>
        <w:rPr>
          <w:rFonts w:ascii="Arial" w:hAnsi="Arial" w:cs="Arial"/>
          <w:color w:val="160E0F"/>
        </w:rPr>
        <w:t xml:space="preserve">La Presidencia </w:t>
      </w:r>
      <w:r>
        <w:rPr>
          <w:rFonts w:ascii="Arial" w:hAnsi="Arial" w:cs="Arial"/>
          <w:color w:val="271F20"/>
        </w:rPr>
        <w:t xml:space="preserve">es el órgano </w:t>
      </w:r>
      <w:r>
        <w:rPr>
          <w:rFonts w:ascii="Arial" w:hAnsi="Arial" w:cs="Arial"/>
          <w:color w:val="160E0F"/>
        </w:rPr>
        <w:t xml:space="preserve">responsable </w:t>
      </w:r>
      <w:r>
        <w:rPr>
          <w:rFonts w:ascii="Arial" w:hAnsi="Arial" w:cs="Arial"/>
          <w:color w:val="271F20"/>
        </w:rPr>
        <w:t xml:space="preserve">de </w:t>
      </w:r>
      <w:r>
        <w:rPr>
          <w:rFonts w:ascii="Arial" w:hAnsi="Arial" w:cs="Arial"/>
          <w:color w:val="160E0F"/>
        </w:rPr>
        <w:t xml:space="preserve">la unidad de </w:t>
      </w:r>
      <w:r>
        <w:rPr>
          <w:rFonts w:ascii="Arial" w:hAnsi="Arial" w:cs="Arial"/>
          <w:color w:val="271F20"/>
        </w:rPr>
        <w:t xml:space="preserve">dirección central de </w:t>
      </w:r>
      <w:r>
        <w:rPr>
          <w:rFonts w:ascii="Arial" w:hAnsi="Arial" w:cs="Arial"/>
          <w:color w:val="160E0F"/>
        </w:rPr>
        <w:t xml:space="preserve">la </w:t>
      </w:r>
      <w:r>
        <w:rPr>
          <w:rFonts w:ascii="Arial" w:hAnsi="Arial" w:cs="Arial"/>
          <w:color w:val="271F20"/>
        </w:rPr>
        <w:t xml:space="preserve">estructura orgánica del Consejo, dirigida por el Presidente, </w:t>
      </w:r>
      <w:r>
        <w:rPr>
          <w:rFonts w:ascii="Arial" w:hAnsi="Arial" w:cs="Arial"/>
          <w:color w:val="160E0F"/>
        </w:rPr>
        <w:t xml:space="preserve">representante legal, </w:t>
      </w:r>
      <w:r>
        <w:rPr>
          <w:rFonts w:ascii="Arial" w:hAnsi="Arial" w:cs="Arial"/>
          <w:color w:val="271F20"/>
        </w:rPr>
        <w:t xml:space="preserve">encargado de presidir, convocar y conducir </w:t>
      </w:r>
      <w:r>
        <w:rPr>
          <w:rFonts w:ascii="Arial" w:hAnsi="Arial" w:cs="Arial"/>
          <w:color w:val="160E0F"/>
        </w:rPr>
        <w:t xml:space="preserve">las </w:t>
      </w:r>
      <w:r>
        <w:rPr>
          <w:rFonts w:ascii="Arial" w:hAnsi="Arial" w:cs="Arial"/>
          <w:color w:val="271F20"/>
        </w:rPr>
        <w:t xml:space="preserve">sesiones del Pleno, de vigilar </w:t>
      </w:r>
      <w:r>
        <w:rPr>
          <w:rFonts w:ascii="Arial" w:hAnsi="Arial" w:cs="Arial"/>
          <w:color w:val="160E0F"/>
        </w:rPr>
        <w:t xml:space="preserve">la </w:t>
      </w:r>
      <w:r>
        <w:rPr>
          <w:rFonts w:ascii="Arial" w:hAnsi="Arial" w:cs="Arial"/>
          <w:color w:val="271F20"/>
        </w:rPr>
        <w:t xml:space="preserve">ejecución y el cumplimiento de </w:t>
      </w:r>
      <w:r>
        <w:rPr>
          <w:rFonts w:ascii="Arial" w:hAnsi="Arial" w:cs="Arial"/>
          <w:color w:val="160E0F"/>
        </w:rPr>
        <w:t xml:space="preserve">los </w:t>
      </w:r>
      <w:r>
        <w:rPr>
          <w:rFonts w:ascii="Arial" w:hAnsi="Arial" w:cs="Arial"/>
          <w:color w:val="271F20"/>
        </w:rPr>
        <w:t xml:space="preserve">acuerdos y </w:t>
      </w:r>
      <w:r>
        <w:rPr>
          <w:rFonts w:ascii="Arial" w:hAnsi="Arial" w:cs="Arial"/>
          <w:color w:val="160E0F"/>
        </w:rPr>
        <w:t xml:space="preserve">resoluciones </w:t>
      </w:r>
      <w:r>
        <w:rPr>
          <w:rFonts w:ascii="Arial" w:hAnsi="Arial" w:cs="Arial"/>
          <w:color w:val="271F20"/>
        </w:rPr>
        <w:t xml:space="preserve">emitidas por </w:t>
      </w:r>
      <w:r>
        <w:rPr>
          <w:rFonts w:ascii="Arial" w:hAnsi="Arial" w:cs="Arial"/>
          <w:color w:val="160E0F"/>
        </w:rPr>
        <w:t xml:space="preserve">dicho </w:t>
      </w:r>
      <w:r>
        <w:rPr>
          <w:rFonts w:ascii="Arial" w:hAnsi="Arial" w:cs="Arial"/>
          <w:color w:val="271F20"/>
        </w:rPr>
        <w:t xml:space="preserve">órgano, y </w:t>
      </w:r>
      <w:r>
        <w:rPr>
          <w:rFonts w:ascii="Arial" w:hAnsi="Arial" w:cs="Arial"/>
          <w:color w:val="160E0F"/>
        </w:rPr>
        <w:t xml:space="preserve">de </w:t>
      </w:r>
      <w:r>
        <w:rPr>
          <w:rFonts w:ascii="Arial" w:hAnsi="Arial" w:cs="Arial"/>
          <w:color w:val="271F20"/>
        </w:rPr>
        <w:t xml:space="preserve">velar por </w:t>
      </w:r>
      <w:r>
        <w:rPr>
          <w:rFonts w:ascii="Arial" w:hAnsi="Arial" w:cs="Arial"/>
          <w:color w:val="160E0F"/>
        </w:rPr>
        <w:t xml:space="preserve">la unidad </w:t>
      </w:r>
      <w:r>
        <w:rPr>
          <w:rFonts w:ascii="Arial" w:hAnsi="Arial" w:cs="Arial"/>
          <w:color w:val="271F20"/>
        </w:rPr>
        <w:t xml:space="preserve">y cohesión de </w:t>
      </w:r>
      <w:r>
        <w:rPr>
          <w:rFonts w:ascii="Arial" w:hAnsi="Arial" w:cs="Arial"/>
          <w:color w:val="160E0F"/>
        </w:rPr>
        <w:t xml:space="preserve">las </w:t>
      </w:r>
      <w:r>
        <w:rPr>
          <w:rFonts w:ascii="Arial" w:hAnsi="Arial" w:cs="Arial"/>
          <w:color w:val="271F20"/>
        </w:rPr>
        <w:t>actividades del Consejo.</w:t>
      </w:r>
    </w:p>
    <w:p w:rsidR="00FD6AE4" w:rsidRDefault="00FD6AE4" w:rsidP="00FD6AE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1F20"/>
        </w:rPr>
      </w:pPr>
    </w:p>
    <w:p w:rsidR="00FD6AE4" w:rsidRDefault="00FD6AE4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60E0F"/>
        </w:rPr>
      </w:pPr>
      <w:r>
        <w:rPr>
          <w:rFonts w:ascii="Arial" w:hAnsi="Arial" w:cs="Arial"/>
          <w:b/>
          <w:bCs/>
          <w:color w:val="271F20"/>
          <w:sz w:val="21"/>
          <w:szCs w:val="21"/>
        </w:rPr>
        <w:t xml:space="preserve">Artículo 10. </w:t>
      </w:r>
      <w:r>
        <w:rPr>
          <w:rFonts w:ascii="Arial" w:hAnsi="Arial" w:cs="Arial"/>
          <w:color w:val="271F20"/>
        </w:rPr>
        <w:t xml:space="preserve">Corresponde al Presidente del Consejo las atribuciones conferidas en </w:t>
      </w:r>
      <w:r>
        <w:rPr>
          <w:rFonts w:ascii="Arial" w:hAnsi="Arial" w:cs="Arial"/>
          <w:color w:val="160E0F"/>
        </w:rPr>
        <w:t>la Ley</w:t>
      </w:r>
    </w:p>
    <w:p w:rsidR="00FD6AE4" w:rsidRDefault="00FD6AE4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1F20"/>
        </w:rPr>
      </w:pPr>
      <w:r>
        <w:rPr>
          <w:rFonts w:ascii="Arial" w:hAnsi="Arial" w:cs="Arial"/>
          <w:color w:val="160E0F"/>
        </w:rPr>
        <w:t xml:space="preserve">Electoral, </w:t>
      </w:r>
      <w:r>
        <w:rPr>
          <w:rFonts w:ascii="Arial" w:hAnsi="Arial" w:cs="Arial"/>
          <w:color w:val="271F20"/>
        </w:rPr>
        <w:t xml:space="preserve">y </w:t>
      </w:r>
      <w:r>
        <w:rPr>
          <w:rFonts w:ascii="Arial" w:hAnsi="Arial" w:cs="Arial"/>
          <w:color w:val="160E0F"/>
        </w:rPr>
        <w:t xml:space="preserve">las </w:t>
      </w:r>
      <w:r>
        <w:rPr>
          <w:rFonts w:ascii="Arial" w:hAnsi="Arial" w:cs="Arial"/>
          <w:color w:val="271F20"/>
        </w:rPr>
        <w:t>que a continuación se establecen:</w:t>
      </w:r>
    </w:p>
    <w:p w:rsidR="00FD6AE4" w:rsidRDefault="00FD6AE4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1F20"/>
        </w:rPr>
      </w:pPr>
    </w:p>
    <w:p w:rsidR="00FD6AE4" w:rsidRDefault="00FD6AE4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3A3438"/>
        </w:rPr>
      </w:pPr>
      <w:r>
        <w:rPr>
          <w:rFonts w:ascii="Arial" w:hAnsi="Arial" w:cs="Arial"/>
          <w:color w:val="160E0F"/>
          <w:sz w:val="21"/>
          <w:szCs w:val="21"/>
        </w:rPr>
        <w:t xml:space="preserve">l. </w:t>
      </w:r>
      <w:r>
        <w:rPr>
          <w:rFonts w:ascii="Arial" w:hAnsi="Arial" w:cs="Arial"/>
          <w:color w:val="271F20"/>
        </w:rPr>
        <w:t xml:space="preserve">Dirigir y coordinar </w:t>
      </w:r>
      <w:r>
        <w:rPr>
          <w:rFonts w:ascii="Arial" w:hAnsi="Arial" w:cs="Arial"/>
          <w:color w:val="160E0F"/>
        </w:rPr>
        <w:t xml:space="preserve">las </w:t>
      </w:r>
      <w:r>
        <w:rPr>
          <w:rFonts w:ascii="Arial" w:hAnsi="Arial" w:cs="Arial"/>
          <w:color w:val="271F20"/>
        </w:rPr>
        <w:t xml:space="preserve">actividades de </w:t>
      </w:r>
      <w:r>
        <w:rPr>
          <w:rFonts w:ascii="Arial" w:hAnsi="Arial" w:cs="Arial"/>
          <w:color w:val="160E0F"/>
        </w:rPr>
        <w:t xml:space="preserve">los </w:t>
      </w:r>
      <w:r>
        <w:rPr>
          <w:rFonts w:ascii="Arial" w:hAnsi="Arial" w:cs="Arial"/>
          <w:color w:val="271F20"/>
        </w:rPr>
        <w:t xml:space="preserve">órganos y </w:t>
      </w:r>
      <w:r>
        <w:rPr>
          <w:rFonts w:ascii="Arial" w:hAnsi="Arial" w:cs="Arial"/>
          <w:color w:val="160E0F"/>
        </w:rPr>
        <w:t xml:space="preserve">unidades del </w:t>
      </w:r>
      <w:r>
        <w:rPr>
          <w:rFonts w:ascii="Arial" w:hAnsi="Arial" w:cs="Arial"/>
          <w:color w:val="271F20"/>
        </w:rPr>
        <w:t xml:space="preserve">Consejo, verificando que se </w:t>
      </w:r>
      <w:r>
        <w:rPr>
          <w:rFonts w:ascii="Arial" w:hAnsi="Arial" w:cs="Arial"/>
          <w:color w:val="160E0F"/>
        </w:rPr>
        <w:t xml:space="preserve">realicen </w:t>
      </w:r>
      <w:r>
        <w:rPr>
          <w:rFonts w:ascii="Arial" w:hAnsi="Arial" w:cs="Arial"/>
          <w:color w:val="271F20"/>
        </w:rPr>
        <w:t xml:space="preserve">con </w:t>
      </w:r>
      <w:r>
        <w:rPr>
          <w:rFonts w:ascii="Arial" w:hAnsi="Arial" w:cs="Arial"/>
          <w:color w:val="160E0F"/>
        </w:rPr>
        <w:t xml:space="preserve">responsabilidad, </w:t>
      </w:r>
      <w:r>
        <w:rPr>
          <w:rFonts w:ascii="Arial" w:hAnsi="Arial" w:cs="Arial"/>
          <w:color w:val="271F20"/>
        </w:rPr>
        <w:t xml:space="preserve">en beneficio y desarrollo de </w:t>
      </w:r>
      <w:r>
        <w:rPr>
          <w:rFonts w:ascii="Arial" w:hAnsi="Arial" w:cs="Arial"/>
          <w:color w:val="160E0F"/>
        </w:rPr>
        <w:t>la</w:t>
      </w:r>
      <w:r>
        <w:rPr>
          <w:rFonts w:ascii="Arial" w:hAnsi="Arial" w:cs="Arial"/>
          <w:color w:val="271F20"/>
        </w:rPr>
        <w:t xml:space="preserve"> vida democrática del </w:t>
      </w:r>
      <w:r>
        <w:rPr>
          <w:rFonts w:ascii="Arial" w:hAnsi="Arial" w:cs="Arial"/>
          <w:color w:val="160E0F"/>
        </w:rPr>
        <w:t>Estado</w:t>
      </w:r>
      <w:r>
        <w:rPr>
          <w:rFonts w:ascii="Arial" w:hAnsi="Arial" w:cs="Arial"/>
          <w:color w:val="3A3438"/>
        </w:rPr>
        <w:t>;</w:t>
      </w:r>
    </w:p>
    <w:p w:rsidR="00FD6AE4" w:rsidRPr="00FD6AE4" w:rsidRDefault="00FD6AE4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1F20"/>
        </w:rPr>
      </w:pPr>
    </w:p>
    <w:p w:rsidR="00FD6AE4" w:rsidRDefault="00FD6AE4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60E0F"/>
        </w:rPr>
      </w:pPr>
      <w:r>
        <w:rPr>
          <w:rFonts w:ascii="Arial" w:hAnsi="Arial" w:cs="Arial"/>
          <w:color w:val="160E0F"/>
        </w:rPr>
        <w:t xml:space="preserve">II. Establecer relaciones </w:t>
      </w:r>
      <w:r>
        <w:rPr>
          <w:rFonts w:ascii="Arial" w:hAnsi="Arial" w:cs="Arial"/>
          <w:color w:val="271F20"/>
        </w:rPr>
        <w:t xml:space="preserve">de coordinación entre el Consejo y </w:t>
      </w:r>
      <w:r>
        <w:rPr>
          <w:rFonts w:ascii="Arial" w:hAnsi="Arial" w:cs="Arial"/>
          <w:color w:val="160E0F"/>
        </w:rPr>
        <w:t xml:space="preserve">las </w:t>
      </w:r>
      <w:r>
        <w:rPr>
          <w:rFonts w:ascii="Arial" w:hAnsi="Arial" w:cs="Arial"/>
          <w:color w:val="271F20"/>
        </w:rPr>
        <w:t xml:space="preserve">autoridades federales, estatales y </w:t>
      </w:r>
      <w:r>
        <w:rPr>
          <w:rFonts w:ascii="Arial" w:hAnsi="Arial" w:cs="Arial"/>
          <w:color w:val="160E0F"/>
        </w:rPr>
        <w:t xml:space="preserve">municipales, </w:t>
      </w:r>
      <w:r>
        <w:rPr>
          <w:rFonts w:ascii="Arial" w:hAnsi="Arial" w:cs="Arial"/>
          <w:color w:val="271F20"/>
        </w:rPr>
        <w:t xml:space="preserve">para obtener apoyo y colaboración, en sus ámbitos de competencia, cuando sea </w:t>
      </w:r>
      <w:r>
        <w:rPr>
          <w:rFonts w:ascii="Arial" w:hAnsi="Arial" w:cs="Arial"/>
          <w:color w:val="160E0F"/>
        </w:rPr>
        <w:t xml:space="preserve">necesario </w:t>
      </w:r>
      <w:r>
        <w:rPr>
          <w:rFonts w:ascii="Arial" w:hAnsi="Arial" w:cs="Arial"/>
          <w:color w:val="271F20"/>
        </w:rPr>
        <w:t xml:space="preserve">para el cumplimiento </w:t>
      </w:r>
      <w:r>
        <w:rPr>
          <w:rFonts w:ascii="Arial" w:hAnsi="Arial" w:cs="Arial"/>
          <w:color w:val="160E0F"/>
        </w:rPr>
        <w:t xml:space="preserve">de </w:t>
      </w:r>
      <w:r>
        <w:rPr>
          <w:rFonts w:ascii="Arial" w:hAnsi="Arial" w:cs="Arial"/>
          <w:color w:val="271F20"/>
        </w:rPr>
        <w:t xml:space="preserve">sus </w:t>
      </w:r>
      <w:r>
        <w:rPr>
          <w:rFonts w:ascii="Arial" w:hAnsi="Arial" w:cs="Arial"/>
          <w:color w:val="160E0F"/>
        </w:rPr>
        <w:t>fines;</w:t>
      </w:r>
    </w:p>
    <w:p w:rsidR="00FD6AE4" w:rsidRPr="00FD6AE4" w:rsidRDefault="00FD6AE4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1F20"/>
        </w:rPr>
      </w:pPr>
    </w:p>
    <w:p w:rsidR="00FD6AE4" w:rsidRDefault="00FD6AE4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1F20"/>
        </w:rPr>
      </w:pPr>
      <w:r>
        <w:rPr>
          <w:rFonts w:ascii="Arial" w:hAnsi="Arial" w:cs="Arial"/>
          <w:color w:val="160E0F"/>
        </w:rPr>
        <w:t xml:space="preserve">III. </w:t>
      </w:r>
      <w:r>
        <w:rPr>
          <w:rFonts w:ascii="Arial" w:hAnsi="Arial" w:cs="Arial"/>
          <w:color w:val="271F20"/>
        </w:rPr>
        <w:t xml:space="preserve">Celebrar con </w:t>
      </w:r>
      <w:r>
        <w:rPr>
          <w:rFonts w:ascii="Arial" w:hAnsi="Arial" w:cs="Arial"/>
          <w:color w:val="160E0F"/>
        </w:rPr>
        <w:t xml:space="preserve">las </w:t>
      </w:r>
      <w:r>
        <w:rPr>
          <w:rFonts w:ascii="Arial" w:hAnsi="Arial" w:cs="Arial"/>
          <w:color w:val="271F20"/>
        </w:rPr>
        <w:t xml:space="preserve">autoridades competentes, previa aprobación del Pleno, </w:t>
      </w:r>
      <w:r>
        <w:rPr>
          <w:rFonts w:ascii="Arial" w:hAnsi="Arial" w:cs="Arial"/>
          <w:color w:val="160E0F"/>
        </w:rPr>
        <w:t xml:space="preserve">los </w:t>
      </w:r>
      <w:r>
        <w:rPr>
          <w:rFonts w:ascii="Arial" w:hAnsi="Arial" w:cs="Arial"/>
          <w:color w:val="271F20"/>
        </w:rPr>
        <w:t xml:space="preserve">convenios </w:t>
      </w:r>
      <w:r>
        <w:rPr>
          <w:rFonts w:ascii="Arial" w:hAnsi="Arial" w:cs="Arial"/>
          <w:color w:val="160E0F"/>
        </w:rPr>
        <w:t xml:space="preserve">de </w:t>
      </w:r>
      <w:r>
        <w:rPr>
          <w:rFonts w:ascii="Arial" w:hAnsi="Arial" w:cs="Arial"/>
          <w:color w:val="271F20"/>
        </w:rPr>
        <w:t xml:space="preserve">colaboración </w:t>
      </w:r>
      <w:r>
        <w:rPr>
          <w:rFonts w:ascii="Arial" w:hAnsi="Arial" w:cs="Arial"/>
          <w:color w:val="160E0F"/>
        </w:rPr>
        <w:t xml:space="preserve">necesarios </w:t>
      </w:r>
      <w:r>
        <w:rPr>
          <w:rFonts w:ascii="Arial" w:hAnsi="Arial" w:cs="Arial"/>
          <w:color w:val="271F20"/>
        </w:rPr>
        <w:t xml:space="preserve">para el buen desempeño de </w:t>
      </w:r>
      <w:r>
        <w:rPr>
          <w:rFonts w:ascii="Arial" w:hAnsi="Arial" w:cs="Arial"/>
          <w:color w:val="160E0F"/>
        </w:rPr>
        <w:t xml:space="preserve">las </w:t>
      </w:r>
      <w:r>
        <w:rPr>
          <w:rFonts w:ascii="Arial" w:hAnsi="Arial" w:cs="Arial"/>
          <w:color w:val="271F20"/>
        </w:rPr>
        <w:t>atribuciones del Consejo;</w:t>
      </w:r>
    </w:p>
    <w:p w:rsidR="00FD6AE4" w:rsidRPr="00FD6AE4" w:rsidRDefault="00FD6AE4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60E0F"/>
        </w:rPr>
      </w:pPr>
    </w:p>
    <w:p w:rsidR="00885D8B" w:rsidRDefault="00FD6AE4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50D0F"/>
        </w:rPr>
      </w:pPr>
      <w:r>
        <w:rPr>
          <w:rFonts w:ascii="Arial" w:hAnsi="Arial" w:cs="Arial"/>
          <w:color w:val="160E0F"/>
        </w:rPr>
        <w:t xml:space="preserve">IV. </w:t>
      </w:r>
      <w:r>
        <w:rPr>
          <w:rFonts w:ascii="Arial" w:hAnsi="Arial" w:cs="Arial"/>
          <w:color w:val="271F20"/>
        </w:rPr>
        <w:t xml:space="preserve">Celebrar </w:t>
      </w:r>
      <w:r>
        <w:rPr>
          <w:rFonts w:ascii="Arial" w:hAnsi="Arial" w:cs="Arial"/>
          <w:color w:val="160E0F"/>
        </w:rPr>
        <w:t xml:space="preserve">los </w:t>
      </w:r>
      <w:r>
        <w:rPr>
          <w:rFonts w:ascii="Arial" w:hAnsi="Arial" w:cs="Arial"/>
          <w:color w:val="271F20"/>
        </w:rPr>
        <w:t>convenios con organismos, empresa</w:t>
      </w:r>
      <w:r w:rsidR="00885D8B">
        <w:rPr>
          <w:rFonts w:ascii="Arial" w:hAnsi="Arial" w:cs="Arial"/>
          <w:color w:val="271F20"/>
        </w:rPr>
        <w:t xml:space="preserve">s, instituciones académicas, de </w:t>
      </w:r>
      <w:r w:rsidR="00885D8B">
        <w:rPr>
          <w:rFonts w:ascii="Arial" w:hAnsi="Arial" w:cs="Arial"/>
          <w:color w:val="261F20"/>
        </w:rPr>
        <w:t xml:space="preserve">educación superior y demás, para </w:t>
      </w:r>
      <w:r w:rsidR="00885D8B">
        <w:rPr>
          <w:rFonts w:ascii="Arial" w:hAnsi="Arial" w:cs="Arial"/>
          <w:color w:val="150D0F"/>
        </w:rPr>
        <w:t xml:space="preserve">impartir los </w:t>
      </w:r>
      <w:r w:rsidR="00885D8B">
        <w:rPr>
          <w:rFonts w:ascii="Arial" w:hAnsi="Arial" w:cs="Arial"/>
          <w:color w:val="261F20"/>
        </w:rPr>
        <w:t xml:space="preserve">cursos de formación, capacitación y actualización que se </w:t>
      </w:r>
      <w:r w:rsidR="00885D8B">
        <w:rPr>
          <w:rFonts w:ascii="Arial" w:hAnsi="Arial" w:cs="Arial"/>
          <w:color w:val="150D0F"/>
        </w:rPr>
        <w:t>requieran;</w:t>
      </w:r>
    </w:p>
    <w:p w:rsidR="00885D8B" w:rsidRDefault="00885D8B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50D0F"/>
        </w:rPr>
      </w:pPr>
    </w:p>
    <w:p w:rsidR="00885D8B" w:rsidRDefault="00885D8B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261F20"/>
        </w:rPr>
        <w:t xml:space="preserve">V. </w:t>
      </w:r>
      <w:r>
        <w:rPr>
          <w:rFonts w:ascii="Arial" w:hAnsi="Arial" w:cs="Arial"/>
          <w:color w:val="150D0F"/>
        </w:rPr>
        <w:t xml:space="preserve">Emitir los </w:t>
      </w:r>
      <w:r>
        <w:rPr>
          <w:rFonts w:ascii="Arial" w:hAnsi="Arial" w:cs="Arial"/>
          <w:color w:val="261F20"/>
        </w:rPr>
        <w:t xml:space="preserve">acuerdos administrativos que sean </w:t>
      </w:r>
      <w:r>
        <w:rPr>
          <w:rFonts w:ascii="Arial" w:hAnsi="Arial" w:cs="Arial"/>
          <w:color w:val="150D0F"/>
        </w:rPr>
        <w:t xml:space="preserve">necesarios </w:t>
      </w:r>
      <w:r>
        <w:rPr>
          <w:rFonts w:ascii="Arial" w:hAnsi="Arial" w:cs="Arial"/>
          <w:color w:val="261F20"/>
        </w:rPr>
        <w:t xml:space="preserve">para el buen </w:t>
      </w:r>
      <w:r>
        <w:rPr>
          <w:rFonts w:ascii="Arial" w:hAnsi="Arial" w:cs="Arial"/>
          <w:color w:val="150D0F"/>
        </w:rPr>
        <w:t xml:space="preserve">funcionamiento del </w:t>
      </w:r>
      <w:r>
        <w:rPr>
          <w:rFonts w:ascii="Arial" w:hAnsi="Arial" w:cs="Arial"/>
          <w:color w:val="261F20"/>
        </w:rPr>
        <w:t>organismo electoral;</w:t>
      </w:r>
    </w:p>
    <w:p w:rsidR="00885D8B" w:rsidRDefault="00885D8B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</w:p>
    <w:p w:rsidR="00885D8B" w:rsidRDefault="00885D8B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261F20"/>
        </w:rPr>
        <w:t xml:space="preserve">VI. </w:t>
      </w:r>
      <w:r>
        <w:rPr>
          <w:rFonts w:ascii="Arial" w:hAnsi="Arial" w:cs="Arial"/>
          <w:color w:val="150D0F"/>
        </w:rPr>
        <w:t xml:space="preserve">Ejecutar las </w:t>
      </w:r>
      <w:r>
        <w:rPr>
          <w:rFonts w:ascii="Arial" w:hAnsi="Arial" w:cs="Arial"/>
          <w:color w:val="261F20"/>
        </w:rPr>
        <w:t xml:space="preserve">acciones conducentes para </w:t>
      </w:r>
      <w:r>
        <w:rPr>
          <w:rFonts w:ascii="Arial" w:hAnsi="Arial" w:cs="Arial"/>
          <w:color w:val="150D0F"/>
        </w:rPr>
        <w:t xml:space="preserve">las </w:t>
      </w:r>
      <w:r>
        <w:rPr>
          <w:rFonts w:ascii="Arial" w:hAnsi="Arial" w:cs="Arial"/>
          <w:color w:val="261F20"/>
        </w:rPr>
        <w:t xml:space="preserve">erogaciones que, con cargo al Presupuesto de </w:t>
      </w:r>
      <w:r>
        <w:rPr>
          <w:rFonts w:ascii="Arial" w:hAnsi="Arial" w:cs="Arial"/>
          <w:color w:val="150D0F"/>
        </w:rPr>
        <w:t xml:space="preserve">Egresos </w:t>
      </w:r>
      <w:r>
        <w:rPr>
          <w:rFonts w:ascii="Arial" w:hAnsi="Arial" w:cs="Arial"/>
          <w:color w:val="261F20"/>
        </w:rPr>
        <w:t>aprobado, deba ejercer el Consejo;</w:t>
      </w:r>
    </w:p>
    <w:p w:rsidR="00885D8B" w:rsidRDefault="00885D8B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</w:p>
    <w:p w:rsidR="00885D8B" w:rsidRDefault="00885D8B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261F20"/>
        </w:rPr>
        <w:t xml:space="preserve">VII. </w:t>
      </w:r>
      <w:r>
        <w:rPr>
          <w:rFonts w:ascii="Arial" w:hAnsi="Arial" w:cs="Arial"/>
          <w:color w:val="150D0F"/>
        </w:rPr>
        <w:t xml:space="preserve">Elaborar </w:t>
      </w:r>
      <w:r>
        <w:rPr>
          <w:rFonts w:ascii="Arial" w:hAnsi="Arial" w:cs="Arial"/>
          <w:color w:val="261F20"/>
        </w:rPr>
        <w:t xml:space="preserve">y presentar al </w:t>
      </w:r>
      <w:r>
        <w:rPr>
          <w:rFonts w:ascii="Arial" w:hAnsi="Arial" w:cs="Arial"/>
          <w:color w:val="150D0F"/>
        </w:rPr>
        <w:t xml:space="preserve">Pleno, </w:t>
      </w:r>
      <w:r>
        <w:rPr>
          <w:rFonts w:ascii="Arial" w:hAnsi="Arial" w:cs="Arial"/>
          <w:color w:val="261F20"/>
        </w:rPr>
        <w:t xml:space="preserve">el Plan de </w:t>
      </w:r>
      <w:r>
        <w:rPr>
          <w:rFonts w:ascii="Arial" w:hAnsi="Arial" w:cs="Arial"/>
          <w:color w:val="150D0F"/>
        </w:rPr>
        <w:t xml:space="preserve">Trabajo </w:t>
      </w:r>
      <w:r>
        <w:rPr>
          <w:rFonts w:ascii="Arial" w:hAnsi="Arial" w:cs="Arial"/>
          <w:color w:val="261F20"/>
        </w:rPr>
        <w:t>del Consejo;</w:t>
      </w:r>
    </w:p>
    <w:p w:rsidR="00885D8B" w:rsidRDefault="00885D8B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</w:p>
    <w:p w:rsidR="00885D8B" w:rsidRDefault="00885D8B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383337"/>
        </w:rPr>
      </w:pPr>
      <w:r>
        <w:rPr>
          <w:rFonts w:ascii="Arial" w:hAnsi="Arial" w:cs="Arial"/>
          <w:color w:val="261F20"/>
        </w:rPr>
        <w:t xml:space="preserve">VIII. Aprobar el </w:t>
      </w:r>
      <w:r>
        <w:rPr>
          <w:rFonts w:ascii="Arial" w:hAnsi="Arial" w:cs="Arial"/>
          <w:color w:val="150D0F"/>
        </w:rPr>
        <w:t xml:space="preserve">mecanismo </w:t>
      </w:r>
      <w:r>
        <w:rPr>
          <w:rFonts w:ascii="Arial" w:hAnsi="Arial" w:cs="Arial"/>
          <w:color w:val="261F20"/>
        </w:rPr>
        <w:t xml:space="preserve">de evaluación del desempeño de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F20"/>
        </w:rPr>
        <w:t xml:space="preserve">responsables de </w:t>
      </w:r>
      <w:r>
        <w:rPr>
          <w:rFonts w:ascii="Arial" w:hAnsi="Arial" w:cs="Arial"/>
          <w:color w:val="150D0F"/>
        </w:rPr>
        <w:t xml:space="preserve">las </w:t>
      </w:r>
      <w:r>
        <w:rPr>
          <w:rFonts w:ascii="Arial" w:hAnsi="Arial" w:cs="Arial"/>
          <w:color w:val="261F20"/>
        </w:rPr>
        <w:t xml:space="preserve">Comisiones </w:t>
      </w:r>
      <w:r>
        <w:rPr>
          <w:rFonts w:ascii="Arial" w:hAnsi="Arial" w:cs="Arial"/>
          <w:color w:val="150D0F"/>
        </w:rPr>
        <w:t xml:space="preserve">Distritales Electorales </w:t>
      </w:r>
      <w:r>
        <w:rPr>
          <w:rFonts w:ascii="Arial" w:hAnsi="Arial" w:cs="Arial"/>
          <w:color w:val="261F20"/>
        </w:rPr>
        <w:t xml:space="preserve">y de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F20"/>
        </w:rPr>
        <w:t xml:space="preserve">Comités Municipales </w:t>
      </w:r>
      <w:r>
        <w:rPr>
          <w:rFonts w:ascii="Arial" w:hAnsi="Arial" w:cs="Arial"/>
          <w:color w:val="150D0F"/>
        </w:rPr>
        <w:t>Electorales</w:t>
      </w:r>
      <w:r>
        <w:rPr>
          <w:rFonts w:ascii="Arial" w:hAnsi="Arial" w:cs="Arial"/>
          <w:color w:val="383337"/>
        </w:rPr>
        <w:t>;</w:t>
      </w:r>
    </w:p>
    <w:p w:rsidR="00885D8B" w:rsidRDefault="00885D8B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383337"/>
        </w:rPr>
      </w:pPr>
    </w:p>
    <w:p w:rsidR="00885D8B" w:rsidRDefault="00885D8B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261F20"/>
        </w:rPr>
        <w:t xml:space="preserve">IX. Aprobar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F20"/>
        </w:rPr>
        <w:t xml:space="preserve">Planes y Programas de </w:t>
      </w:r>
      <w:r>
        <w:rPr>
          <w:rFonts w:ascii="Arial" w:hAnsi="Arial" w:cs="Arial"/>
          <w:color w:val="150D0F"/>
        </w:rPr>
        <w:t xml:space="preserve">Trabajo </w:t>
      </w:r>
      <w:r>
        <w:rPr>
          <w:rFonts w:ascii="Arial" w:hAnsi="Arial" w:cs="Arial"/>
          <w:color w:val="261F20"/>
        </w:rPr>
        <w:t xml:space="preserve">que </w:t>
      </w:r>
      <w:r>
        <w:rPr>
          <w:rFonts w:ascii="Arial" w:hAnsi="Arial" w:cs="Arial"/>
          <w:color w:val="150D0F"/>
        </w:rPr>
        <w:t xml:space="preserve">le </w:t>
      </w:r>
      <w:r>
        <w:rPr>
          <w:rFonts w:ascii="Arial" w:hAnsi="Arial" w:cs="Arial"/>
          <w:color w:val="261F20"/>
        </w:rPr>
        <w:t xml:space="preserve">presenten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F20"/>
        </w:rPr>
        <w:t xml:space="preserve">órganos y </w:t>
      </w:r>
      <w:r>
        <w:rPr>
          <w:rFonts w:ascii="Arial" w:hAnsi="Arial" w:cs="Arial"/>
          <w:color w:val="150D0F"/>
        </w:rPr>
        <w:t xml:space="preserve">unidades </w:t>
      </w:r>
      <w:r>
        <w:rPr>
          <w:rFonts w:ascii="Arial" w:hAnsi="Arial" w:cs="Arial"/>
          <w:color w:val="261F20"/>
        </w:rPr>
        <w:t>del Consejo que corresponda;</w:t>
      </w:r>
    </w:p>
    <w:p w:rsidR="00885D8B" w:rsidRDefault="00885D8B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</w:p>
    <w:p w:rsidR="00885D8B" w:rsidRDefault="00885D8B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261F20"/>
        </w:rPr>
        <w:t xml:space="preserve">X. Aprobar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F20"/>
        </w:rPr>
        <w:t xml:space="preserve">manuales de procedimientos y servicios de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F20"/>
        </w:rPr>
        <w:t xml:space="preserve">órganos y </w:t>
      </w:r>
      <w:r>
        <w:rPr>
          <w:rFonts w:ascii="Arial" w:hAnsi="Arial" w:cs="Arial"/>
          <w:color w:val="150D0F"/>
        </w:rPr>
        <w:t xml:space="preserve">unidades </w:t>
      </w:r>
      <w:r>
        <w:rPr>
          <w:rFonts w:ascii="Arial" w:hAnsi="Arial" w:cs="Arial"/>
          <w:color w:val="261F20"/>
        </w:rPr>
        <w:t>correspondientes; y</w:t>
      </w:r>
    </w:p>
    <w:p w:rsidR="00885D8B" w:rsidRDefault="00885D8B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</w:p>
    <w:p w:rsidR="00885D8B" w:rsidRDefault="00885D8B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261F20"/>
        </w:rPr>
        <w:lastRenderedPageBreak/>
        <w:t xml:space="preserve">XI. </w:t>
      </w:r>
      <w:r>
        <w:rPr>
          <w:rFonts w:ascii="Arial" w:hAnsi="Arial" w:cs="Arial"/>
          <w:color w:val="150D0F"/>
        </w:rPr>
        <w:t xml:space="preserve">Las </w:t>
      </w:r>
      <w:r>
        <w:rPr>
          <w:rFonts w:ascii="Arial" w:hAnsi="Arial" w:cs="Arial"/>
          <w:color w:val="261F20"/>
        </w:rPr>
        <w:t xml:space="preserve">demás que </w:t>
      </w:r>
      <w:r>
        <w:rPr>
          <w:rFonts w:ascii="Arial" w:hAnsi="Arial" w:cs="Arial"/>
          <w:color w:val="150D0F"/>
        </w:rPr>
        <w:t xml:space="preserve">le </w:t>
      </w:r>
      <w:r>
        <w:rPr>
          <w:rFonts w:ascii="Arial" w:hAnsi="Arial" w:cs="Arial"/>
          <w:color w:val="261F20"/>
        </w:rPr>
        <w:t xml:space="preserve">confiera </w:t>
      </w:r>
      <w:r>
        <w:rPr>
          <w:rFonts w:ascii="Arial" w:hAnsi="Arial" w:cs="Arial"/>
          <w:color w:val="150D0F"/>
        </w:rPr>
        <w:t xml:space="preserve">la Ley, </w:t>
      </w:r>
      <w:r>
        <w:rPr>
          <w:rFonts w:ascii="Arial" w:hAnsi="Arial" w:cs="Arial"/>
          <w:color w:val="261F20"/>
        </w:rPr>
        <w:t xml:space="preserve">el presente Reglamento y </w:t>
      </w:r>
      <w:r>
        <w:rPr>
          <w:rFonts w:ascii="Arial" w:hAnsi="Arial" w:cs="Arial"/>
          <w:color w:val="150D0F"/>
        </w:rPr>
        <w:t xml:space="preserve">las </w:t>
      </w:r>
      <w:r>
        <w:rPr>
          <w:rFonts w:ascii="Arial" w:hAnsi="Arial" w:cs="Arial"/>
          <w:color w:val="261F20"/>
        </w:rPr>
        <w:t>disposiciones aplicables.</w:t>
      </w:r>
    </w:p>
    <w:p w:rsidR="00885D8B" w:rsidRDefault="00885D8B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1F20"/>
        </w:rPr>
      </w:pPr>
    </w:p>
    <w:p w:rsidR="00885D8B" w:rsidRDefault="00885D8B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71F20"/>
        </w:rPr>
      </w:pPr>
    </w:p>
    <w:p w:rsidR="00086A04" w:rsidRDefault="00086A04" w:rsidP="00885D8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140D0E"/>
        </w:rPr>
        <w:t xml:space="preserve">El </w:t>
      </w:r>
      <w:r>
        <w:rPr>
          <w:rFonts w:ascii="Arial" w:hAnsi="Arial" w:cs="Arial"/>
          <w:color w:val="261F20"/>
        </w:rPr>
        <w:t xml:space="preserve">presente Reglamento Orgánico fue aprobado por unanimidad de votos por </w:t>
      </w:r>
      <w:r>
        <w:rPr>
          <w:rFonts w:ascii="Arial" w:hAnsi="Arial" w:cs="Arial"/>
          <w:color w:val="140D0E"/>
        </w:rPr>
        <w:t xml:space="preserve">los integrantes </w:t>
      </w:r>
      <w:r>
        <w:rPr>
          <w:rFonts w:ascii="Arial" w:hAnsi="Arial" w:cs="Arial"/>
          <w:color w:val="261F20"/>
        </w:rPr>
        <w:t xml:space="preserve">del Pleno del Consejo </w:t>
      </w:r>
      <w:r>
        <w:rPr>
          <w:rFonts w:ascii="Arial" w:hAnsi="Arial" w:cs="Arial"/>
          <w:color w:val="140D0E"/>
        </w:rPr>
        <w:t xml:space="preserve">Estatal Electoral </w:t>
      </w:r>
      <w:r>
        <w:rPr>
          <w:rFonts w:ascii="Arial" w:hAnsi="Arial" w:cs="Arial"/>
          <w:color w:val="261F20"/>
        </w:rPr>
        <w:t>y de Participación Ciudadana de San</w:t>
      </w:r>
      <w:r w:rsidR="00FD6AE4">
        <w:rPr>
          <w:rFonts w:ascii="Arial" w:hAnsi="Arial" w:cs="Arial"/>
          <w:color w:val="261F20"/>
        </w:rPr>
        <w:t xml:space="preserve"> </w:t>
      </w:r>
      <w:r>
        <w:rPr>
          <w:rFonts w:ascii="Arial" w:hAnsi="Arial" w:cs="Arial"/>
          <w:color w:val="140D0E"/>
        </w:rPr>
        <w:t xml:space="preserve">Luis </w:t>
      </w:r>
      <w:r>
        <w:rPr>
          <w:rFonts w:ascii="Arial" w:hAnsi="Arial" w:cs="Arial"/>
          <w:color w:val="261F20"/>
        </w:rPr>
        <w:t xml:space="preserve">Potosí, en Sesión </w:t>
      </w:r>
      <w:r>
        <w:rPr>
          <w:rFonts w:ascii="Arial" w:hAnsi="Arial" w:cs="Arial"/>
          <w:color w:val="140D0E"/>
        </w:rPr>
        <w:t xml:space="preserve">Extraordinaria </w:t>
      </w:r>
      <w:r>
        <w:rPr>
          <w:rFonts w:ascii="Arial" w:hAnsi="Arial" w:cs="Arial"/>
          <w:color w:val="261F20"/>
        </w:rPr>
        <w:t>de fecha 16 de enero del 2017.</w:t>
      </w:r>
    </w:p>
    <w:p w:rsidR="00885D8B" w:rsidRDefault="00885D8B" w:rsidP="00FD6AE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</w:p>
    <w:p w:rsidR="00086A04" w:rsidRDefault="00086A04" w:rsidP="00086A04">
      <w:pPr>
        <w:jc w:val="both"/>
        <w:rPr>
          <w:rFonts w:ascii="Arial" w:hAnsi="Arial" w:cs="Arial"/>
          <w:color w:val="261F20"/>
        </w:rPr>
      </w:pPr>
    </w:p>
    <w:p w:rsidR="00086A04" w:rsidRDefault="00086A04" w:rsidP="00086A04">
      <w:pPr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261F20"/>
        </w:rPr>
        <w:t xml:space="preserve">El contenido puede ser consultado en la siguiente liga: </w:t>
      </w:r>
    </w:p>
    <w:p w:rsidR="00086A04" w:rsidRDefault="0034701D" w:rsidP="00086A04">
      <w:pPr>
        <w:jc w:val="both"/>
        <w:rPr>
          <w:rFonts w:ascii="Arial" w:hAnsi="Arial" w:cs="Arial"/>
        </w:rPr>
      </w:pPr>
      <w:hyperlink r:id="rId5" w:history="1">
        <w:r w:rsidR="00086A04" w:rsidRPr="00901C69">
          <w:rPr>
            <w:rStyle w:val="Hipervnculo"/>
            <w:rFonts w:ascii="Arial" w:hAnsi="Arial" w:cs="Arial"/>
          </w:rPr>
          <w:t>http://www.ceepacslp.org.mx/ceepac/uploads2/files/reglamentos/Reglamento%20Org%C3%A1nico%20compri.pdf</w:t>
        </w:r>
      </w:hyperlink>
      <w:r w:rsidR="00086A04">
        <w:rPr>
          <w:rFonts w:ascii="Arial" w:hAnsi="Arial" w:cs="Arial"/>
        </w:rPr>
        <w:t xml:space="preserve"> </w:t>
      </w:r>
    </w:p>
    <w:p w:rsidR="0034701D" w:rsidRDefault="0034701D" w:rsidP="00086A04">
      <w:pPr>
        <w:jc w:val="both"/>
        <w:rPr>
          <w:rFonts w:ascii="Arial" w:hAnsi="Arial" w:cs="Arial"/>
        </w:rPr>
      </w:pPr>
    </w:p>
    <w:p w:rsidR="0034701D" w:rsidRPr="0095073B" w:rsidRDefault="0034701D" w:rsidP="0034701D">
      <w:pPr>
        <w:jc w:val="both"/>
        <w:rPr>
          <w:rFonts w:ascii="Arial" w:hAnsi="Arial" w:cs="Arial"/>
        </w:rPr>
      </w:pPr>
      <w:r w:rsidRPr="0095073B">
        <w:rPr>
          <w:rFonts w:ascii="Arial" w:hAnsi="Arial" w:cs="Arial"/>
        </w:rPr>
        <w:t xml:space="preserve">Adicionalmente a lo anterior, la Ley Electoral del Estado de San Luis Potosí, establece las siguientes atribuciones: </w:t>
      </w:r>
    </w:p>
    <w:p w:rsidR="0034701D" w:rsidRPr="0034701D" w:rsidRDefault="0034701D" w:rsidP="00086A04">
      <w:pPr>
        <w:jc w:val="both"/>
        <w:rPr>
          <w:rFonts w:ascii="Arial" w:hAnsi="Arial" w:cs="Arial"/>
          <w:b/>
        </w:rPr>
      </w:pPr>
      <w:r w:rsidRPr="0034701D">
        <w:rPr>
          <w:rFonts w:ascii="Arial" w:hAnsi="Arial" w:cs="Arial"/>
          <w:b/>
        </w:rPr>
        <w:t xml:space="preserve">Capítulo III Del Presidente del Consejo </w:t>
      </w:r>
    </w:p>
    <w:p w:rsidR="0034701D" w:rsidRP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  <w:b/>
        </w:rPr>
        <w:t>ARTÍCULO 58.</w:t>
      </w:r>
      <w:r w:rsidRPr="0034701D">
        <w:rPr>
          <w:rFonts w:ascii="Arial" w:hAnsi="Arial" w:cs="Arial"/>
        </w:rPr>
        <w:t xml:space="preserve"> Son atribuciones del Presidente del Consejo: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t xml:space="preserve">I. Representar legalmente al Consejo ante toda clase de autoridades y particulares; 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t xml:space="preserve">II. Otorgar y revocar poderes a nombre del Consejo para pleitos y cobranzas; 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t xml:space="preserve">III. Presidir las sesiones del Pleno del Consejo, con voto de calidad en caso de empate; IV. Convocar a sesiones ordinarias, o extraordinarias cuando se justifique, o cuando lo solicite la mayoría de los consejeros electorales o los representantes de partido del Pleno del Consejo, conjunta o indistintamente; 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t xml:space="preserve">V. Proponer al Pleno del Consejo, el procedimiento que deba seguirse para la integración de las Comisiones Distritales Electorales y los Comités Municipales Electorales e instrumentar el mecanismo necesario para su formal instalación, en los términos de la presente Ley; 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t xml:space="preserve">VI. Proponer anualmente al Pleno del Consejo, el proyecto del presupuesto de egresos del Consejo, para su aprobación; 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t xml:space="preserve">VII. Proponer al Pleno del Consejo el nombramiento, la ratificación o la remoción, en su caso, del Secretario Ejecutivo, así como de los titulares de los órganos ejecutivos y técnicos del Consejo, en un plazo no mayor a sesenta días hábiles cuando el Órgano Superior de Dirección sea renovado; 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t xml:space="preserve">VIII. Proponer al Pleno del Consejo, para su aprobación, los planes y programas de capacitación electoral que se impartirán a los integrantes de las Comisiones Distritales Electorales y de los Comités Municipales Electorales; 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lastRenderedPageBreak/>
        <w:t xml:space="preserve">IX. Proponer al Consejo para su aprobación, el modelo de boletas electorales, carteles electorales, formatos de actas, urnas, mamparas y demás material a emplearse en el desarrollo de la jornada electoral, de acuerdo a la Ley General de Instituciones y Procedimientos Electorales, esta Ley y los acuerdos generales del Instituto Nacional Electoral en la materia; 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t xml:space="preserve">X. Vigilar el cumplimiento de los acuerdos adoptados por el Pleno del Consejo; XI. Proveer lo necesario para garantizar a los medios de comunicación social, el acceso a las sesiones de los organismos electorales, durante todas las etapas del proceso electoral; XII. Supervisar, en su caso, el cumplimiento de los programas relativos al padrón y listado nominal; 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t xml:space="preserve">XIII. Supervisar el cumplimiento de las normas aplicables a los partidos políticos y sus prerrogativas; 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t xml:space="preserve">XIV. Tomar formal protesta de guardar y hacer guardar la Constitución Política de los Estados Unidos Mexicanos, la particular del Estado, las leyes que de ellas emanen, y desempeñar con lealtad, imparcialidad y patriotismo, la función que se encomienda, a los miembros de las comisiones distritales, y comités municipales electorales, designados por el Pleno del Consejo; 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t xml:space="preserve">XV. Entregar la constancia de Mayoría y Validez de la Elección de Gobernador del Estado, así como las constancias de asignación de diputados, y regidores por el principio de representación proporcional, a los partidos políticos o, en su caso, a los candidatos independientes, que la hayan obtenido; 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t>XVI. Solicitar al Ejecutivo del Estado los fondos necesarios para la operación de los organismos electorales, de conformidad con el Presupuesto de Egresos aprobado;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t xml:space="preserve">XVII. Proponer al Pleno del Consejo la retribución correspondiente a los consejeros electorales y a los consejeros ciudadanos, de conformidad con el presupuesto aprobado para ese rubro; 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t>XVIII. Delegar, en su caso, las facultades y atribuciones que le concede la presente Ley;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t xml:space="preserve"> XIX. Contestar la correspondencia dirigida al Consejo, debiendo dar cuenta al Pleno en la siguiente sesión; 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t xml:space="preserve">XX. Informar oportuna y periódicamente al Pleno del Consejo, sobre el ejercicio de sus atribuciones; 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t xml:space="preserve">XXI. Recibir del Contralor Interno los informes de las revisiones y auditorías que se realicen para verificar la correcta y legal aplicación de los recursos y bienes del Consejo, así como hacerlos del conocimiento del Pleno, y 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t xml:space="preserve">XXII. Las demás que le confieren la presente Ley, y otras disposiciones legales y administrativas aplicables. </w:t>
      </w:r>
    </w:p>
    <w:p w:rsidR="0034701D" w:rsidRDefault="0034701D" w:rsidP="00086A04">
      <w:pPr>
        <w:jc w:val="both"/>
        <w:rPr>
          <w:rFonts w:ascii="Arial" w:hAnsi="Arial" w:cs="Arial"/>
        </w:rPr>
      </w:pPr>
      <w:r w:rsidRPr="0034701D">
        <w:rPr>
          <w:rFonts w:ascii="Arial" w:hAnsi="Arial" w:cs="Arial"/>
        </w:rPr>
        <w:lastRenderedPageBreak/>
        <w:t>ARTÍCULO 59. El Presidente, en caso de faltas reiteradas de los representantes de partido, a las sesiones del Pleno del Consejo se dirigirá a las respectivas instituciones con derecho a ser representadas, para que tomen las medidas correspondientes.</w:t>
      </w:r>
    </w:p>
    <w:p w:rsidR="0034701D" w:rsidRDefault="0034701D" w:rsidP="00086A04">
      <w:pPr>
        <w:jc w:val="both"/>
        <w:rPr>
          <w:rFonts w:ascii="Arial" w:hAnsi="Arial" w:cs="Arial"/>
        </w:rPr>
      </w:pPr>
      <w:bookmarkStart w:id="0" w:name="_GoBack"/>
      <w:bookmarkEnd w:id="0"/>
    </w:p>
    <w:p w:rsidR="0034701D" w:rsidRDefault="0034701D" w:rsidP="0034701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Dicho documento puede ser consultado en la siguiente liga:</w:t>
      </w:r>
    </w:p>
    <w:p w:rsidR="0034701D" w:rsidRPr="00086A04" w:rsidRDefault="0034701D" w:rsidP="0034701D">
      <w:pPr>
        <w:jc w:val="both"/>
        <w:rPr>
          <w:rFonts w:ascii="Arial" w:hAnsi="Arial" w:cs="Arial"/>
        </w:rPr>
      </w:pPr>
      <w:hyperlink r:id="rId6" w:history="1">
        <w:r w:rsidRPr="00AE6183">
          <w:rPr>
            <w:rStyle w:val="Hipervnculo"/>
            <w:rFonts w:ascii="Arial" w:hAnsi="Arial" w:cs="Arial"/>
          </w:rPr>
          <w:t>http://www.ceepacslp.org.mx/ceepac/uploads2/files/Ley_Electoral_del_Estado_de_San_Luis_Potosi_03_Julio_2019.pdf</w:t>
        </w:r>
      </w:hyperlink>
    </w:p>
    <w:sectPr w:rsidR="0034701D" w:rsidRPr="00086A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A04"/>
    <w:rsid w:val="00086A04"/>
    <w:rsid w:val="0034701D"/>
    <w:rsid w:val="00885D8B"/>
    <w:rsid w:val="00CA3768"/>
    <w:rsid w:val="00FD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3470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347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eepacslp.org.mx/ceepac/uploads2/files/Ley_Electoral_del_Estado_de_San_Luis_Potosi_03_Julio_2019.pdf" TargetMode="External"/><Relationship Id="rId5" Type="http://schemas.openxmlformats.org/officeDocument/2006/relationships/hyperlink" Target="http://www.ceepacslp.org.mx/ceepac/uploads2/files/reglamentos/Reglamento%20Org%C3%A1nico%20compri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1161</Words>
  <Characters>6386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Paola BPTC. Torres de la Cruz</dc:creator>
  <cp:lastModifiedBy>Brenda Paola BPTC. Torres de la Cruz</cp:lastModifiedBy>
  <cp:revision>4</cp:revision>
  <dcterms:created xsi:type="dcterms:W3CDTF">2020-11-25T17:48:00Z</dcterms:created>
  <dcterms:modified xsi:type="dcterms:W3CDTF">2020-11-27T17:16:00Z</dcterms:modified>
</cp:coreProperties>
</file>