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1DF" w:rsidRDefault="001B5384">
      <w:bookmarkStart w:id="0" w:name="_GoBack"/>
      <w:r>
        <w:t>De acuerdo al Artículo 2º y 4º del Código Fiscal de la Federación, los organismos descentralizados no cuentan con créditos Fiscales.</w:t>
      </w:r>
      <w:bookmarkEnd w:id="0"/>
    </w:p>
    <w:sectPr w:rsidR="00E651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384"/>
    <w:rsid w:val="001B5384"/>
    <w:rsid w:val="00281656"/>
    <w:rsid w:val="00C2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0015BD-5D41-45C9-BB97-B71719F59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</Words>
  <Characters>113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2021-06-22T17:43:00Z</dcterms:created>
  <dcterms:modified xsi:type="dcterms:W3CDTF">2021-06-22T17:52:00Z</dcterms:modified>
</cp:coreProperties>
</file>