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E45F2" w:rsidRDefault="003410AA" w:rsidP="003410AA">
      <w:pPr>
        <w:jc w:val="both"/>
      </w:pPr>
      <w:r>
        <w:rPr>
          <w:rFonts w:ascii="Courier New" w:hAnsi="Courier New" w:cs="Courier New"/>
          <w:color w:val="2C363A"/>
          <w:sz w:val="21"/>
          <w:szCs w:val="21"/>
          <w:shd w:val="clear" w:color="auto" w:fill="FFFFFF"/>
        </w:rPr>
        <w:t>NOTIFICO ACUERDO CEGAIP-794/2020 APROBADO EN SESIÓN DE 04-12-2020</w:t>
      </w:r>
      <w:r>
        <w:rPr>
          <w:rFonts w:ascii="Courier New" w:hAnsi="Courier New" w:cs="Courier New"/>
          <w:color w:val="2C363A"/>
          <w:sz w:val="21"/>
          <w:szCs w:val="21"/>
        </w:rPr>
        <w:br/>
      </w:r>
      <w:r>
        <w:rPr>
          <w:rFonts w:ascii="Courier New" w:hAnsi="Courier New" w:cs="Courier New"/>
          <w:color w:val="2C363A"/>
          <w:sz w:val="21"/>
          <w:szCs w:val="21"/>
        </w:rPr>
        <w:br/>
      </w:r>
      <w:r>
        <w:rPr>
          <w:rFonts w:ascii="Courier New" w:hAnsi="Courier New" w:cs="Courier New"/>
          <w:color w:val="2C363A"/>
          <w:sz w:val="21"/>
          <w:szCs w:val="21"/>
          <w:shd w:val="clear" w:color="auto" w:fill="FFFFFF"/>
        </w:rPr>
        <w:t>13.    Se da cuenta con el memorándum SEDA-UV-036/2020, de fecha 01 de diciembre de 2020, emitido por la Jefa de la Unidad de Verificaciones, Fátima Adriana Martínez López, mediante el cual señala que en cuanto al procedimiento 2020, se presentan los resultados de la primera evaluación que se señalan en el memorándum de cuenta, a los sujetos obligados que obtuvieron el porcentaje mínimo aprobatorio 90%, se les no</w:t>
      </w:r>
      <w:bookmarkStart w:id="0" w:name="_GoBack"/>
      <w:bookmarkEnd w:id="0"/>
      <w:r>
        <w:rPr>
          <w:rFonts w:ascii="Courier New" w:hAnsi="Courier New" w:cs="Courier New"/>
          <w:color w:val="2C363A"/>
          <w:sz w:val="21"/>
          <w:szCs w:val="21"/>
          <w:shd w:val="clear" w:color="auto" w:fill="FFFFFF"/>
        </w:rPr>
        <w:t>tifica el resultado y se les conmina a continuar con la publicación para obtener el 100 % de cumplimiento. En el caso de los sujetos obligados restantes se inician los procedimientos de verificación ya que no obtuvieron el porcentaje requerido (90%), por lo que se deberá requerir a los titulares de las Unidades de Transparencia para que dentro del término de 20 días hábiles subsanen las deficiencias encontradas en la publicación de sus Obligaciones de Transparencia, y con estos resultados se concluye la evaluación 2020 a los sujetos obligados del Estado de San Luis Potosí, continuando así con el desahogo de la misma. (Anexo 53)</w:t>
      </w:r>
      <w:r>
        <w:rPr>
          <w:rFonts w:ascii="Courier New" w:hAnsi="Courier New" w:cs="Courier New"/>
          <w:color w:val="2C363A"/>
          <w:sz w:val="21"/>
          <w:szCs w:val="21"/>
        </w:rPr>
        <w:br/>
      </w:r>
      <w:r>
        <w:rPr>
          <w:rFonts w:ascii="Courier New" w:hAnsi="Courier New" w:cs="Courier New"/>
          <w:color w:val="2C363A"/>
          <w:sz w:val="21"/>
          <w:szCs w:val="21"/>
        </w:rPr>
        <w:br/>
      </w:r>
      <w:r>
        <w:rPr>
          <w:rFonts w:ascii="Courier New" w:hAnsi="Courier New" w:cs="Courier New"/>
          <w:color w:val="2C363A"/>
          <w:sz w:val="21"/>
          <w:szCs w:val="21"/>
          <w:shd w:val="clear" w:color="auto" w:fill="FFFFFF"/>
        </w:rPr>
        <w:t>Se somete a la consideración del Pleno:</w:t>
      </w:r>
      <w:r>
        <w:rPr>
          <w:rFonts w:ascii="Courier New" w:hAnsi="Courier New" w:cs="Courier New"/>
          <w:color w:val="2C363A"/>
          <w:sz w:val="21"/>
          <w:szCs w:val="21"/>
        </w:rPr>
        <w:br/>
      </w:r>
      <w:r>
        <w:rPr>
          <w:rFonts w:ascii="Courier New" w:hAnsi="Courier New" w:cs="Courier New"/>
          <w:color w:val="2C363A"/>
          <w:sz w:val="21"/>
          <w:szCs w:val="21"/>
          <w:shd w:val="clear" w:color="auto" w:fill="FFFFFF"/>
        </w:rPr>
        <w:t>David Enrique Menchaca Zúñiga, Comisionado Presidente:  A favor.</w:t>
      </w:r>
      <w:r>
        <w:rPr>
          <w:rFonts w:ascii="Courier New" w:hAnsi="Courier New" w:cs="Courier New"/>
          <w:color w:val="2C363A"/>
          <w:sz w:val="21"/>
          <w:szCs w:val="21"/>
        </w:rPr>
        <w:br/>
      </w:r>
      <w:r>
        <w:rPr>
          <w:rFonts w:ascii="Courier New" w:hAnsi="Courier New" w:cs="Courier New"/>
          <w:color w:val="2C363A"/>
          <w:sz w:val="21"/>
          <w:szCs w:val="21"/>
          <w:shd w:val="clear" w:color="auto" w:fill="FFFFFF"/>
        </w:rPr>
        <w:t>Paulina Sánchez Pérez del Pozo, Comisionada:  A favor.</w:t>
      </w:r>
      <w:r>
        <w:rPr>
          <w:rFonts w:ascii="Courier New" w:hAnsi="Courier New" w:cs="Courier New"/>
          <w:color w:val="2C363A"/>
          <w:sz w:val="21"/>
          <w:szCs w:val="21"/>
        </w:rPr>
        <w:br/>
      </w:r>
      <w:proofErr w:type="spellStart"/>
      <w:r>
        <w:rPr>
          <w:rFonts w:ascii="Courier New" w:hAnsi="Courier New" w:cs="Courier New"/>
          <w:color w:val="2C363A"/>
          <w:sz w:val="21"/>
          <w:szCs w:val="21"/>
          <w:shd w:val="clear" w:color="auto" w:fill="FFFFFF"/>
        </w:rPr>
        <w:t>Mariajosé</w:t>
      </w:r>
      <w:proofErr w:type="spellEnd"/>
      <w:r>
        <w:rPr>
          <w:rFonts w:ascii="Courier New" w:hAnsi="Courier New" w:cs="Courier New"/>
          <w:color w:val="2C363A"/>
          <w:sz w:val="21"/>
          <w:szCs w:val="21"/>
          <w:shd w:val="clear" w:color="auto" w:fill="FFFFFF"/>
        </w:rPr>
        <w:t> González Zarzosa, Comisionada: A favor.</w:t>
      </w:r>
      <w:r>
        <w:rPr>
          <w:rFonts w:ascii="Courier New" w:hAnsi="Courier New" w:cs="Courier New"/>
          <w:color w:val="2C363A"/>
          <w:sz w:val="21"/>
          <w:szCs w:val="21"/>
        </w:rPr>
        <w:br/>
      </w:r>
      <w:r>
        <w:rPr>
          <w:rFonts w:ascii="Courier New" w:hAnsi="Courier New" w:cs="Courier New"/>
          <w:color w:val="2C363A"/>
          <w:sz w:val="21"/>
          <w:szCs w:val="21"/>
          <w:shd w:val="clear" w:color="auto" w:fill="FFFFFF"/>
        </w:rPr>
        <w:t>En consecuencia, con número de acuerdo CEGAIP-794/2020, se aprueba por Unanimidad de Votos  lo siguiente:</w:t>
      </w:r>
      <w:r>
        <w:rPr>
          <w:rFonts w:ascii="Courier New" w:hAnsi="Courier New" w:cs="Courier New"/>
          <w:color w:val="2C363A"/>
          <w:sz w:val="21"/>
          <w:szCs w:val="21"/>
        </w:rPr>
        <w:br/>
      </w:r>
      <w:r>
        <w:rPr>
          <w:rFonts w:ascii="Courier New" w:hAnsi="Courier New" w:cs="Courier New"/>
          <w:color w:val="2C363A"/>
          <w:sz w:val="21"/>
          <w:szCs w:val="21"/>
          <w:shd w:val="clear" w:color="auto" w:fill="FFFFFF"/>
        </w:rPr>
        <w:t>1.- Se aprueba la primera verificación relativa al periodo 2020, de los sujetos obligados verificados aquí reportados, a saber:</w:t>
      </w:r>
      <w:r>
        <w:rPr>
          <w:rFonts w:ascii="Courier New" w:hAnsi="Courier New" w:cs="Courier New"/>
          <w:color w:val="2C363A"/>
          <w:sz w:val="21"/>
          <w:szCs w:val="21"/>
        </w:rPr>
        <w:br/>
      </w:r>
      <w:r>
        <w:rPr>
          <w:rFonts w:ascii="Courier New" w:hAnsi="Courier New" w:cs="Courier New"/>
          <w:color w:val="2C363A"/>
          <w:sz w:val="21"/>
          <w:szCs w:val="21"/>
          <w:shd w:val="clear" w:color="auto" w:fill="FFFFFF"/>
        </w:rPr>
        <w:t>Poder Judicial del Estado</w:t>
      </w:r>
      <w:r>
        <w:rPr>
          <w:rFonts w:ascii="Courier New" w:hAnsi="Courier New" w:cs="Courier New"/>
          <w:color w:val="2C363A"/>
          <w:sz w:val="21"/>
          <w:szCs w:val="21"/>
        </w:rPr>
        <w:br/>
      </w:r>
      <w:r>
        <w:rPr>
          <w:rFonts w:ascii="Courier New" w:hAnsi="Courier New" w:cs="Courier New"/>
          <w:color w:val="2C363A"/>
          <w:sz w:val="21"/>
          <w:szCs w:val="21"/>
          <w:shd w:val="clear" w:color="auto" w:fill="FFFFFF"/>
        </w:rPr>
        <w:t>Ayuntamiento de San Luis Potosí</w:t>
      </w:r>
      <w:r>
        <w:rPr>
          <w:rFonts w:ascii="Courier New" w:hAnsi="Courier New" w:cs="Courier New"/>
          <w:color w:val="2C363A"/>
          <w:sz w:val="21"/>
          <w:szCs w:val="21"/>
        </w:rPr>
        <w:br/>
      </w:r>
      <w:r>
        <w:rPr>
          <w:rFonts w:ascii="Courier New" w:hAnsi="Courier New" w:cs="Courier New"/>
          <w:color w:val="2C363A"/>
          <w:sz w:val="21"/>
          <w:szCs w:val="21"/>
          <w:shd w:val="clear" w:color="auto" w:fill="FFFFFF"/>
        </w:rPr>
        <w:t>Comisión Estatal de Garantía de Acceso a la Información Pública</w:t>
      </w:r>
      <w:r>
        <w:rPr>
          <w:rFonts w:ascii="Courier New" w:hAnsi="Courier New" w:cs="Courier New"/>
          <w:color w:val="2C363A"/>
          <w:sz w:val="21"/>
          <w:szCs w:val="21"/>
        </w:rPr>
        <w:br/>
      </w:r>
      <w:r>
        <w:rPr>
          <w:rFonts w:ascii="Courier New" w:hAnsi="Courier New" w:cs="Courier New"/>
          <w:color w:val="2C363A"/>
          <w:sz w:val="21"/>
          <w:szCs w:val="21"/>
          <w:shd w:val="clear" w:color="auto" w:fill="FFFFFF"/>
        </w:rPr>
        <w:t>Secretaría de Cultura</w:t>
      </w:r>
      <w:r>
        <w:rPr>
          <w:rFonts w:ascii="Courier New" w:hAnsi="Courier New" w:cs="Courier New"/>
          <w:color w:val="2C363A"/>
          <w:sz w:val="21"/>
          <w:szCs w:val="21"/>
        </w:rPr>
        <w:br/>
      </w:r>
      <w:r>
        <w:rPr>
          <w:rFonts w:ascii="Courier New" w:hAnsi="Courier New" w:cs="Courier New"/>
          <w:color w:val="2C363A"/>
          <w:sz w:val="21"/>
          <w:szCs w:val="21"/>
          <w:shd w:val="clear" w:color="auto" w:fill="FFFFFF"/>
        </w:rPr>
        <w:t>Sistema de Financiamiento para el Desarrollo del Estado</w:t>
      </w:r>
      <w:r>
        <w:rPr>
          <w:rFonts w:ascii="Courier New" w:hAnsi="Courier New" w:cs="Courier New"/>
          <w:color w:val="2C363A"/>
          <w:sz w:val="21"/>
          <w:szCs w:val="21"/>
        </w:rPr>
        <w:br/>
      </w:r>
      <w:r>
        <w:rPr>
          <w:rFonts w:ascii="Courier New" w:hAnsi="Courier New" w:cs="Courier New"/>
          <w:color w:val="2C363A"/>
          <w:sz w:val="21"/>
          <w:szCs w:val="21"/>
          <w:shd w:val="clear" w:color="auto" w:fill="FFFFFF"/>
        </w:rPr>
        <w:t>Sistema Estatal para el Desarrollo de la Familia</w:t>
      </w:r>
      <w:r>
        <w:rPr>
          <w:rFonts w:ascii="Courier New" w:hAnsi="Courier New" w:cs="Courier New"/>
          <w:color w:val="2C363A"/>
          <w:sz w:val="21"/>
          <w:szCs w:val="21"/>
        </w:rPr>
        <w:br/>
      </w:r>
      <w:r>
        <w:rPr>
          <w:rFonts w:ascii="Courier New" w:hAnsi="Courier New" w:cs="Courier New"/>
          <w:color w:val="2C363A"/>
          <w:sz w:val="21"/>
          <w:szCs w:val="21"/>
          <w:shd w:val="clear" w:color="auto" w:fill="FFFFFF"/>
        </w:rPr>
        <w:t>Secretaria de Educación de Gobierno del Estado</w:t>
      </w:r>
      <w:r>
        <w:rPr>
          <w:rFonts w:ascii="Courier New" w:hAnsi="Courier New" w:cs="Courier New"/>
          <w:color w:val="2C363A"/>
          <w:sz w:val="21"/>
          <w:szCs w:val="21"/>
        </w:rPr>
        <w:br/>
      </w:r>
      <w:r>
        <w:rPr>
          <w:rFonts w:ascii="Courier New" w:hAnsi="Courier New" w:cs="Courier New"/>
          <w:color w:val="2C363A"/>
          <w:sz w:val="21"/>
          <w:szCs w:val="21"/>
          <w:shd w:val="clear" w:color="auto" w:fill="FFFFFF"/>
        </w:rPr>
        <w:t>Colegio de Estudios Científicos y Tecnológicos</w:t>
      </w:r>
      <w:r>
        <w:rPr>
          <w:rFonts w:ascii="Courier New" w:hAnsi="Courier New" w:cs="Courier New"/>
          <w:color w:val="2C363A"/>
          <w:sz w:val="21"/>
          <w:szCs w:val="21"/>
        </w:rPr>
        <w:br/>
      </w:r>
      <w:r>
        <w:rPr>
          <w:rFonts w:ascii="Courier New" w:hAnsi="Courier New" w:cs="Courier New"/>
          <w:color w:val="2C363A"/>
          <w:sz w:val="21"/>
          <w:szCs w:val="21"/>
          <w:shd w:val="clear" w:color="auto" w:fill="FFFFFF"/>
        </w:rPr>
        <w:t>Tribunal Electoral</w:t>
      </w:r>
      <w:r>
        <w:rPr>
          <w:rFonts w:ascii="Courier New" w:hAnsi="Courier New" w:cs="Courier New"/>
          <w:color w:val="2C363A"/>
          <w:sz w:val="21"/>
          <w:szCs w:val="21"/>
        </w:rPr>
        <w:br/>
      </w:r>
      <w:r>
        <w:rPr>
          <w:rFonts w:ascii="Courier New" w:hAnsi="Courier New" w:cs="Courier New"/>
          <w:color w:val="2C363A"/>
          <w:sz w:val="21"/>
          <w:szCs w:val="21"/>
          <w:shd w:val="clear" w:color="auto" w:fill="FFFFFF"/>
        </w:rPr>
        <w:t>Ayuntamiento de </w:t>
      </w:r>
      <w:proofErr w:type="spellStart"/>
      <w:r>
        <w:rPr>
          <w:rFonts w:ascii="Courier New" w:hAnsi="Courier New" w:cs="Courier New"/>
          <w:color w:val="2C363A"/>
          <w:sz w:val="21"/>
          <w:szCs w:val="21"/>
          <w:shd w:val="clear" w:color="auto" w:fill="FFFFFF"/>
        </w:rPr>
        <w:t>Rioverde</w:t>
      </w:r>
      <w:proofErr w:type="spellEnd"/>
      <w:r>
        <w:rPr>
          <w:rFonts w:ascii="Courier New" w:hAnsi="Courier New" w:cs="Courier New"/>
          <w:color w:val="2C363A"/>
          <w:sz w:val="21"/>
          <w:szCs w:val="21"/>
        </w:rPr>
        <w:br/>
      </w:r>
      <w:r>
        <w:rPr>
          <w:rFonts w:ascii="Courier New" w:hAnsi="Courier New" w:cs="Courier New"/>
          <w:color w:val="2C363A"/>
          <w:sz w:val="21"/>
          <w:szCs w:val="21"/>
          <w:shd w:val="clear" w:color="auto" w:fill="FFFFFF"/>
        </w:rPr>
        <w:t>Secretaría de Ecología y Gestión Ambiental</w:t>
      </w:r>
      <w:r>
        <w:rPr>
          <w:rFonts w:ascii="Courier New" w:hAnsi="Courier New" w:cs="Courier New"/>
          <w:color w:val="2C363A"/>
          <w:sz w:val="21"/>
          <w:szCs w:val="21"/>
        </w:rPr>
        <w:br/>
      </w:r>
      <w:r>
        <w:rPr>
          <w:rFonts w:ascii="Courier New" w:hAnsi="Courier New" w:cs="Courier New"/>
          <w:color w:val="2C363A"/>
          <w:sz w:val="21"/>
          <w:szCs w:val="21"/>
          <w:shd w:val="clear" w:color="auto" w:fill="FFFFFF"/>
        </w:rPr>
        <w:t>Instituto Catastral y Registral del Estado</w:t>
      </w:r>
      <w:r>
        <w:rPr>
          <w:rFonts w:ascii="Courier New" w:hAnsi="Courier New" w:cs="Courier New"/>
          <w:color w:val="2C363A"/>
          <w:sz w:val="21"/>
          <w:szCs w:val="21"/>
        </w:rPr>
        <w:br/>
      </w:r>
      <w:r>
        <w:rPr>
          <w:rFonts w:ascii="Courier New" w:hAnsi="Courier New" w:cs="Courier New"/>
          <w:color w:val="2C363A"/>
          <w:sz w:val="21"/>
          <w:szCs w:val="21"/>
          <w:shd w:val="clear" w:color="auto" w:fill="FFFFFF"/>
        </w:rPr>
        <w:t>Centro de Convenciones</w:t>
      </w:r>
      <w:r>
        <w:rPr>
          <w:rFonts w:ascii="Courier New" w:hAnsi="Courier New" w:cs="Courier New"/>
          <w:color w:val="2C363A"/>
          <w:sz w:val="21"/>
          <w:szCs w:val="21"/>
        </w:rPr>
        <w:br/>
      </w:r>
      <w:r>
        <w:rPr>
          <w:rFonts w:ascii="Courier New" w:hAnsi="Courier New" w:cs="Courier New"/>
          <w:color w:val="2C363A"/>
          <w:sz w:val="21"/>
          <w:szCs w:val="21"/>
          <w:shd w:val="clear" w:color="auto" w:fill="FFFFFF"/>
        </w:rPr>
        <w:t>Ayuntamiento de Santa Catarina</w:t>
      </w:r>
      <w:r>
        <w:rPr>
          <w:rFonts w:ascii="Courier New" w:hAnsi="Courier New" w:cs="Courier New"/>
          <w:color w:val="2C363A"/>
          <w:sz w:val="21"/>
          <w:szCs w:val="21"/>
        </w:rPr>
        <w:br/>
      </w:r>
      <w:r>
        <w:rPr>
          <w:rFonts w:ascii="Courier New" w:hAnsi="Courier New" w:cs="Courier New"/>
          <w:color w:val="2C363A"/>
          <w:sz w:val="21"/>
          <w:szCs w:val="21"/>
          <w:shd w:val="clear" w:color="auto" w:fill="FFFFFF"/>
        </w:rPr>
        <w:t>Museo Laberinto de las Ciencias y las Artes</w:t>
      </w:r>
      <w:r>
        <w:rPr>
          <w:rFonts w:ascii="Courier New" w:hAnsi="Courier New" w:cs="Courier New"/>
          <w:color w:val="2C363A"/>
          <w:sz w:val="21"/>
          <w:szCs w:val="21"/>
        </w:rPr>
        <w:br/>
      </w:r>
      <w:r>
        <w:rPr>
          <w:rFonts w:ascii="Courier New" w:hAnsi="Courier New" w:cs="Courier New"/>
          <w:color w:val="2C363A"/>
          <w:sz w:val="21"/>
          <w:szCs w:val="21"/>
          <w:shd w:val="clear" w:color="auto" w:fill="FFFFFF"/>
        </w:rPr>
        <w:t>Consejo Consulito del Centro Histórico</w:t>
      </w:r>
      <w:r>
        <w:rPr>
          <w:rFonts w:ascii="Courier New" w:hAnsi="Courier New" w:cs="Courier New"/>
          <w:color w:val="2C363A"/>
          <w:sz w:val="21"/>
          <w:szCs w:val="21"/>
        </w:rPr>
        <w:br/>
      </w:r>
      <w:r>
        <w:rPr>
          <w:rFonts w:ascii="Courier New" w:hAnsi="Courier New" w:cs="Courier New"/>
          <w:color w:val="2C363A"/>
          <w:sz w:val="21"/>
          <w:szCs w:val="21"/>
          <w:shd w:val="clear" w:color="auto" w:fill="FFFFFF"/>
        </w:rPr>
        <w:t>Ayuntamiento de Cerritos</w:t>
      </w:r>
      <w:r>
        <w:rPr>
          <w:rFonts w:ascii="Courier New" w:hAnsi="Courier New" w:cs="Courier New"/>
          <w:color w:val="2C363A"/>
          <w:sz w:val="21"/>
          <w:szCs w:val="21"/>
        </w:rPr>
        <w:br/>
      </w:r>
      <w:r>
        <w:rPr>
          <w:rFonts w:ascii="Courier New" w:hAnsi="Courier New" w:cs="Courier New"/>
          <w:color w:val="2C363A"/>
          <w:sz w:val="21"/>
          <w:szCs w:val="21"/>
          <w:shd w:val="clear" w:color="auto" w:fill="FFFFFF"/>
        </w:rPr>
        <w:t>Ayuntamiento de San Nicolás Tolentino</w:t>
      </w:r>
      <w:r>
        <w:rPr>
          <w:rFonts w:ascii="Courier New" w:hAnsi="Courier New" w:cs="Courier New"/>
          <w:color w:val="2C363A"/>
          <w:sz w:val="21"/>
          <w:szCs w:val="21"/>
        </w:rPr>
        <w:br/>
      </w:r>
      <w:r>
        <w:rPr>
          <w:rFonts w:ascii="Courier New" w:hAnsi="Courier New" w:cs="Courier New"/>
          <w:color w:val="2C363A"/>
          <w:sz w:val="21"/>
          <w:szCs w:val="21"/>
          <w:shd w:val="clear" w:color="auto" w:fill="FFFFFF"/>
        </w:rPr>
        <w:t>Instituto Tecnológico de </w:t>
      </w:r>
      <w:proofErr w:type="spellStart"/>
      <w:r>
        <w:rPr>
          <w:rFonts w:ascii="Courier New" w:hAnsi="Courier New" w:cs="Courier New"/>
          <w:color w:val="2C363A"/>
          <w:sz w:val="21"/>
          <w:szCs w:val="21"/>
          <w:shd w:val="clear" w:color="auto" w:fill="FFFFFF"/>
        </w:rPr>
        <w:t>Rioverde</w:t>
      </w:r>
      <w:proofErr w:type="spellEnd"/>
      <w:r>
        <w:rPr>
          <w:rFonts w:ascii="Courier New" w:hAnsi="Courier New" w:cs="Courier New"/>
          <w:color w:val="2C363A"/>
          <w:sz w:val="21"/>
          <w:szCs w:val="21"/>
        </w:rPr>
        <w:br/>
      </w:r>
      <w:r>
        <w:rPr>
          <w:rFonts w:ascii="Courier New" w:hAnsi="Courier New" w:cs="Courier New"/>
          <w:color w:val="2C363A"/>
          <w:sz w:val="21"/>
          <w:szCs w:val="21"/>
          <w:shd w:val="clear" w:color="auto" w:fill="FFFFFF"/>
        </w:rPr>
        <w:t>Ayuntamiento de Matehuala</w:t>
      </w:r>
      <w:r>
        <w:rPr>
          <w:rFonts w:ascii="Courier New" w:hAnsi="Courier New" w:cs="Courier New"/>
          <w:color w:val="2C363A"/>
          <w:sz w:val="21"/>
          <w:szCs w:val="21"/>
        </w:rPr>
        <w:br/>
      </w:r>
      <w:r>
        <w:rPr>
          <w:rFonts w:ascii="Courier New" w:hAnsi="Courier New" w:cs="Courier New"/>
          <w:color w:val="2C363A"/>
          <w:sz w:val="21"/>
          <w:szCs w:val="21"/>
          <w:shd w:val="clear" w:color="auto" w:fill="FFFFFF"/>
        </w:rPr>
        <w:t>Partido Acción Nacional</w:t>
      </w:r>
      <w:r>
        <w:rPr>
          <w:rFonts w:ascii="Courier New" w:hAnsi="Courier New" w:cs="Courier New"/>
          <w:color w:val="2C363A"/>
          <w:sz w:val="21"/>
          <w:szCs w:val="21"/>
        </w:rPr>
        <w:br/>
      </w:r>
      <w:r>
        <w:rPr>
          <w:rFonts w:ascii="Courier New" w:hAnsi="Courier New" w:cs="Courier New"/>
          <w:color w:val="2C363A"/>
          <w:sz w:val="21"/>
          <w:szCs w:val="21"/>
          <w:shd w:val="clear" w:color="auto" w:fill="FFFFFF"/>
        </w:rPr>
        <w:t>Sistema Agua Potable, Alcantarillado y Saneamiento de Matehuala</w:t>
      </w:r>
      <w:r>
        <w:rPr>
          <w:rFonts w:ascii="Courier New" w:hAnsi="Courier New" w:cs="Courier New"/>
          <w:color w:val="2C363A"/>
          <w:sz w:val="21"/>
          <w:szCs w:val="21"/>
        </w:rPr>
        <w:br/>
      </w:r>
      <w:r>
        <w:rPr>
          <w:rFonts w:ascii="Courier New" w:hAnsi="Courier New" w:cs="Courier New"/>
          <w:color w:val="2C363A"/>
          <w:sz w:val="21"/>
          <w:szCs w:val="21"/>
          <w:shd w:val="clear" w:color="auto" w:fill="FFFFFF"/>
        </w:rPr>
        <w:t>Instituto Tecnológico de San Luis Potosí</w:t>
      </w:r>
      <w:r>
        <w:rPr>
          <w:rFonts w:ascii="Courier New" w:hAnsi="Courier New" w:cs="Courier New"/>
          <w:color w:val="2C363A"/>
          <w:sz w:val="21"/>
          <w:szCs w:val="21"/>
        </w:rPr>
        <w:br/>
      </w:r>
      <w:r>
        <w:rPr>
          <w:rFonts w:ascii="Courier New" w:hAnsi="Courier New" w:cs="Courier New"/>
          <w:color w:val="2C363A"/>
          <w:sz w:val="21"/>
          <w:szCs w:val="21"/>
          <w:shd w:val="clear" w:color="auto" w:fill="FFFFFF"/>
        </w:rPr>
        <w:lastRenderedPageBreak/>
        <w:t>Ayuntamiento de </w:t>
      </w:r>
      <w:proofErr w:type="spellStart"/>
      <w:r>
        <w:rPr>
          <w:rFonts w:ascii="Courier New" w:hAnsi="Courier New" w:cs="Courier New"/>
          <w:color w:val="2C363A"/>
          <w:sz w:val="21"/>
          <w:szCs w:val="21"/>
          <w:shd w:val="clear" w:color="auto" w:fill="FFFFFF"/>
        </w:rPr>
        <w:t>Tampamolón</w:t>
      </w:r>
      <w:proofErr w:type="spellEnd"/>
      <w:r>
        <w:rPr>
          <w:rFonts w:ascii="Courier New" w:hAnsi="Courier New" w:cs="Courier New"/>
          <w:color w:val="2C363A"/>
          <w:sz w:val="21"/>
          <w:szCs w:val="21"/>
        </w:rPr>
        <w:br/>
      </w:r>
      <w:r>
        <w:rPr>
          <w:rFonts w:ascii="Courier New" w:hAnsi="Courier New" w:cs="Courier New"/>
          <w:color w:val="2C363A"/>
          <w:sz w:val="21"/>
          <w:szCs w:val="21"/>
          <w:shd w:val="clear" w:color="auto" w:fill="FFFFFF"/>
        </w:rPr>
        <w:t>Ayuntamiento de </w:t>
      </w:r>
      <w:proofErr w:type="spellStart"/>
      <w:r>
        <w:rPr>
          <w:rFonts w:ascii="Courier New" w:hAnsi="Courier New" w:cs="Courier New"/>
          <w:color w:val="2C363A"/>
          <w:sz w:val="21"/>
          <w:szCs w:val="21"/>
          <w:shd w:val="clear" w:color="auto" w:fill="FFFFFF"/>
        </w:rPr>
        <w:t>Tampacan</w:t>
      </w:r>
      <w:proofErr w:type="spellEnd"/>
      <w:r>
        <w:rPr>
          <w:rFonts w:ascii="Courier New" w:hAnsi="Courier New" w:cs="Courier New"/>
          <w:color w:val="2C363A"/>
          <w:sz w:val="21"/>
          <w:szCs w:val="21"/>
        </w:rPr>
        <w:br/>
      </w:r>
      <w:r>
        <w:rPr>
          <w:rFonts w:ascii="Courier New" w:hAnsi="Courier New" w:cs="Courier New"/>
          <w:color w:val="2C363A"/>
          <w:sz w:val="21"/>
          <w:szCs w:val="21"/>
          <w:shd w:val="clear" w:color="auto" w:fill="FFFFFF"/>
        </w:rPr>
        <w:t>Sistema de Agua Potable de Ciudad del Maíz</w:t>
      </w:r>
      <w:r>
        <w:rPr>
          <w:rFonts w:ascii="Courier New" w:hAnsi="Courier New" w:cs="Courier New"/>
          <w:color w:val="2C363A"/>
          <w:sz w:val="21"/>
          <w:szCs w:val="21"/>
        </w:rPr>
        <w:br/>
      </w:r>
      <w:r>
        <w:rPr>
          <w:rFonts w:ascii="Courier New" w:hAnsi="Courier New" w:cs="Courier New"/>
          <w:color w:val="2C363A"/>
          <w:sz w:val="21"/>
          <w:szCs w:val="21"/>
          <w:shd w:val="clear" w:color="auto" w:fill="FFFFFF"/>
        </w:rPr>
        <w:t>Ayuntamiento de El Naranjo</w:t>
      </w:r>
      <w:r>
        <w:rPr>
          <w:rFonts w:ascii="Courier New" w:hAnsi="Courier New" w:cs="Courier New"/>
          <w:color w:val="2C363A"/>
          <w:sz w:val="21"/>
          <w:szCs w:val="21"/>
        </w:rPr>
        <w:br/>
      </w:r>
      <w:r>
        <w:rPr>
          <w:rFonts w:ascii="Courier New" w:hAnsi="Courier New" w:cs="Courier New"/>
          <w:color w:val="2C363A"/>
          <w:sz w:val="21"/>
          <w:szCs w:val="21"/>
          <w:shd w:val="clear" w:color="auto" w:fill="FFFFFF"/>
        </w:rPr>
        <w:t>2.- Se ordena notificar a los citados sujetos los resultados de la verificación que se reporta.</w:t>
      </w:r>
      <w:r>
        <w:rPr>
          <w:rFonts w:ascii="Courier New" w:hAnsi="Courier New" w:cs="Courier New"/>
          <w:color w:val="2C363A"/>
          <w:sz w:val="21"/>
          <w:szCs w:val="21"/>
        </w:rPr>
        <w:br/>
      </w:r>
      <w:r>
        <w:rPr>
          <w:rFonts w:ascii="Courier New" w:hAnsi="Courier New" w:cs="Courier New"/>
          <w:color w:val="2C363A"/>
          <w:sz w:val="21"/>
          <w:szCs w:val="21"/>
        </w:rPr>
        <w:br/>
      </w:r>
      <w:r>
        <w:rPr>
          <w:rFonts w:ascii="Courier New" w:hAnsi="Courier New" w:cs="Courier New"/>
          <w:color w:val="2C363A"/>
          <w:sz w:val="21"/>
          <w:szCs w:val="21"/>
          <w:shd w:val="clear" w:color="auto" w:fill="FFFFFF"/>
        </w:rPr>
        <w:t>3.- Ahora bien, respecto a los sujetos obligados que no cumplieron con la calificación mínima aprobatoria de 90% (porcentaje que se estableció para las verificaciones de 2019 a través del acuerdo de Pleno CEGAIP-175/2019 en el que se aprobó la reforma del Lineamiento Décimo Segundo inciso e), de los Lineamientos Estatales para la Difusión, Disposición y Evaluación de las Obligaciones de Transparencia Comunes y Específicas, a saber:</w:t>
      </w:r>
      <w:r>
        <w:rPr>
          <w:rFonts w:ascii="Courier New" w:hAnsi="Courier New" w:cs="Courier New"/>
          <w:color w:val="2C363A"/>
          <w:sz w:val="21"/>
          <w:szCs w:val="21"/>
        </w:rPr>
        <w:br/>
      </w:r>
      <w:r>
        <w:rPr>
          <w:rFonts w:ascii="Courier New" w:hAnsi="Courier New" w:cs="Courier New"/>
          <w:color w:val="2C363A"/>
          <w:sz w:val="21"/>
          <w:szCs w:val="21"/>
        </w:rPr>
        <w:br/>
      </w:r>
      <w:r>
        <w:rPr>
          <w:rFonts w:ascii="Courier New" w:hAnsi="Courier New" w:cs="Courier New"/>
          <w:color w:val="2C363A"/>
          <w:sz w:val="21"/>
          <w:szCs w:val="21"/>
          <w:shd w:val="clear" w:color="auto" w:fill="FFFFFF"/>
        </w:rPr>
        <w:t>Poder Judicial del Estado</w:t>
      </w:r>
      <w:r>
        <w:rPr>
          <w:rFonts w:ascii="Courier New" w:hAnsi="Courier New" w:cs="Courier New"/>
          <w:color w:val="2C363A"/>
          <w:sz w:val="21"/>
          <w:szCs w:val="21"/>
        </w:rPr>
        <w:br/>
      </w:r>
      <w:r>
        <w:rPr>
          <w:rFonts w:ascii="Courier New" w:hAnsi="Courier New" w:cs="Courier New"/>
          <w:color w:val="2C363A"/>
          <w:sz w:val="21"/>
          <w:szCs w:val="21"/>
          <w:shd w:val="clear" w:color="auto" w:fill="FFFFFF"/>
        </w:rPr>
        <w:t>Ayuntamiento de San Luis Potosí</w:t>
      </w:r>
      <w:r>
        <w:rPr>
          <w:rFonts w:ascii="Courier New" w:hAnsi="Courier New" w:cs="Courier New"/>
          <w:color w:val="2C363A"/>
          <w:sz w:val="21"/>
          <w:szCs w:val="21"/>
        </w:rPr>
        <w:br/>
      </w:r>
      <w:r>
        <w:rPr>
          <w:rFonts w:ascii="Courier New" w:hAnsi="Courier New" w:cs="Courier New"/>
          <w:color w:val="2C363A"/>
          <w:sz w:val="21"/>
          <w:szCs w:val="21"/>
          <w:shd w:val="clear" w:color="auto" w:fill="FFFFFF"/>
        </w:rPr>
        <w:t>Comisión Estatal de Garantía de Acceso a la Información Pública</w:t>
      </w:r>
      <w:r>
        <w:rPr>
          <w:rFonts w:ascii="Courier New" w:hAnsi="Courier New" w:cs="Courier New"/>
          <w:color w:val="2C363A"/>
          <w:sz w:val="21"/>
          <w:szCs w:val="21"/>
        </w:rPr>
        <w:br/>
      </w:r>
      <w:r>
        <w:rPr>
          <w:rFonts w:ascii="Courier New" w:hAnsi="Courier New" w:cs="Courier New"/>
          <w:color w:val="2C363A"/>
          <w:sz w:val="21"/>
          <w:szCs w:val="21"/>
          <w:shd w:val="clear" w:color="auto" w:fill="FFFFFF"/>
        </w:rPr>
        <w:t>Secretaría de Cultura</w:t>
      </w:r>
      <w:r>
        <w:rPr>
          <w:rFonts w:ascii="Courier New" w:hAnsi="Courier New" w:cs="Courier New"/>
          <w:color w:val="2C363A"/>
          <w:sz w:val="21"/>
          <w:szCs w:val="21"/>
        </w:rPr>
        <w:br/>
      </w:r>
      <w:r>
        <w:rPr>
          <w:rFonts w:ascii="Courier New" w:hAnsi="Courier New" w:cs="Courier New"/>
          <w:color w:val="2C363A"/>
          <w:sz w:val="21"/>
          <w:szCs w:val="21"/>
          <w:shd w:val="clear" w:color="auto" w:fill="FFFFFF"/>
        </w:rPr>
        <w:t>Sistema de Financiamiento para el Desarrollo del Estado</w:t>
      </w:r>
      <w:r>
        <w:rPr>
          <w:rFonts w:ascii="Courier New" w:hAnsi="Courier New" w:cs="Courier New"/>
          <w:color w:val="2C363A"/>
          <w:sz w:val="21"/>
          <w:szCs w:val="21"/>
        </w:rPr>
        <w:br/>
      </w:r>
      <w:r>
        <w:rPr>
          <w:rFonts w:ascii="Courier New" w:hAnsi="Courier New" w:cs="Courier New"/>
          <w:color w:val="2C363A"/>
          <w:sz w:val="21"/>
          <w:szCs w:val="21"/>
          <w:shd w:val="clear" w:color="auto" w:fill="FFFFFF"/>
        </w:rPr>
        <w:t>Sistema Estatal para el Desarrollo de la Familia</w:t>
      </w:r>
      <w:r>
        <w:rPr>
          <w:rFonts w:ascii="Courier New" w:hAnsi="Courier New" w:cs="Courier New"/>
          <w:color w:val="2C363A"/>
          <w:sz w:val="21"/>
          <w:szCs w:val="21"/>
        </w:rPr>
        <w:br/>
      </w:r>
      <w:r>
        <w:rPr>
          <w:rFonts w:ascii="Courier New" w:hAnsi="Courier New" w:cs="Courier New"/>
          <w:color w:val="2C363A"/>
          <w:sz w:val="21"/>
          <w:szCs w:val="21"/>
          <w:shd w:val="clear" w:color="auto" w:fill="FFFFFF"/>
        </w:rPr>
        <w:t>Secretaria de Educación de Gobierno del Estado</w:t>
      </w:r>
      <w:r>
        <w:rPr>
          <w:rFonts w:ascii="Courier New" w:hAnsi="Courier New" w:cs="Courier New"/>
          <w:color w:val="2C363A"/>
          <w:sz w:val="21"/>
          <w:szCs w:val="21"/>
        </w:rPr>
        <w:br/>
      </w:r>
      <w:r>
        <w:rPr>
          <w:rFonts w:ascii="Courier New" w:hAnsi="Courier New" w:cs="Courier New"/>
          <w:color w:val="2C363A"/>
          <w:sz w:val="21"/>
          <w:szCs w:val="21"/>
          <w:shd w:val="clear" w:color="auto" w:fill="FFFFFF"/>
        </w:rPr>
        <w:t>Colegio de Estudios Científicos y Tecnológicos</w:t>
      </w:r>
      <w:r>
        <w:rPr>
          <w:rFonts w:ascii="Courier New" w:hAnsi="Courier New" w:cs="Courier New"/>
          <w:color w:val="2C363A"/>
          <w:sz w:val="21"/>
          <w:szCs w:val="21"/>
        </w:rPr>
        <w:br/>
      </w:r>
      <w:r>
        <w:rPr>
          <w:rFonts w:ascii="Courier New" w:hAnsi="Courier New" w:cs="Courier New"/>
          <w:color w:val="2C363A"/>
          <w:sz w:val="21"/>
          <w:szCs w:val="21"/>
          <w:shd w:val="clear" w:color="auto" w:fill="FFFFFF"/>
        </w:rPr>
        <w:t>Tribunal Electoral</w:t>
      </w:r>
      <w:r>
        <w:rPr>
          <w:rFonts w:ascii="Courier New" w:hAnsi="Courier New" w:cs="Courier New"/>
          <w:color w:val="2C363A"/>
          <w:sz w:val="21"/>
          <w:szCs w:val="21"/>
        </w:rPr>
        <w:br/>
      </w:r>
      <w:r>
        <w:rPr>
          <w:rFonts w:ascii="Courier New" w:hAnsi="Courier New" w:cs="Courier New"/>
          <w:color w:val="2C363A"/>
          <w:sz w:val="21"/>
          <w:szCs w:val="21"/>
          <w:shd w:val="clear" w:color="auto" w:fill="FFFFFF"/>
        </w:rPr>
        <w:t>Ayuntamiento de </w:t>
      </w:r>
      <w:proofErr w:type="spellStart"/>
      <w:r>
        <w:rPr>
          <w:rFonts w:ascii="Courier New" w:hAnsi="Courier New" w:cs="Courier New"/>
          <w:color w:val="2C363A"/>
          <w:sz w:val="21"/>
          <w:szCs w:val="21"/>
          <w:shd w:val="clear" w:color="auto" w:fill="FFFFFF"/>
        </w:rPr>
        <w:t>Rioverde</w:t>
      </w:r>
      <w:proofErr w:type="spellEnd"/>
      <w:r>
        <w:rPr>
          <w:rFonts w:ascii="Courier New" w:hAnsi="Courier New" w:cs="Courier New"/>
          <w:color w:val="2C363A"/>
          <w:sz w:val="21"/>
          <w:szCs w:val="21"/>
        </w:rPr>
        <w:br/>
      </w:r>
      <w:r>
        <w:rPr>
          <w:rFonts w:ascii="Courier New" w:hAnsi="Courier New" w:cs="Courier New"/>
          <w:color w:val="2C363A"/>
          <w:sz w:val="21"/>
          <w:szCs w:val="21"/>
          <w:shd w:val="clear" w:color="auto" w:fill="FFFFFF"/>
        </w:rPr>
        <w:t>Secretaría de Ecología y Gestión Ambiental</w:t>
      </w:r>
      <w:r>
        <w:rPr>
          <w:rFonts w:ascii="Courier New" w:hAnsi="Courier New" w:cs="Courier New"/>
          <w:color w:val="2C363A"/>
          <w:sz w:val="21"/>
          <w:szCs w:val="21"/>
        </w:rPr>
        <w:br/>
      </w:r>
      <w:r>
        <w:rPr>
          <w:rFonts w:ascii="Courier New" w:hAnsi="Courier New" w:cs="Courier New"/>
          <w:color w:val="2C363A"/>
          <w:sz w:val="21"/>
          <w:szCs w:val="21"/>
          <w:shd w:val="clear" w:color="auto" w:fill="FFFFFF"/>
        </w:rPr>
        <w:t>Instituto Catastral y Registral del Estado</w:t>
      </w:r>
      <w:r>
        <w:rPr>
          <w:rFonts w:ascii="Courier New" w:hAnsi="Courier New" w:cs="Courier New"/>
          <w:color w:val="2C363A"/>
          <w:sz w:val="21"/>
          <w:szCs w:val="21"/>
        </w:rPr>
        <w:br/>
      </w:r>
      <w:r>
        <w:rPr>
          <w:rFonts w:ascii="Courier New" w:hAnsi="Courier New" w:cs="Courier New"/>
          <w:color w:val="2C363A"/>
          <w:sz w:val="21"/>
          <w:szCs w:val="21"/>
          <w:shd w:val="clear" w:color="auto" w:fill="FFFFFF"/>
        </w:rPr>
        <w:t>Centro de Convenciones</w:t>
      </w:r>
      <w:r>
        <w:rPr>
          <w:rFonts w:ascii="Courier New" w:hAnsi="Courier New" w:cs="Courier New"/>
          <w:color w:val="2C363A"/>
          <w:sz w:val="21"/>
          <w:szCs w:val="21"/>
        </w:rPr>
        <w:br/>
      </w:r>
      <w:r>
        <w:rPr>
          <w:rFonts w:ascii="Courier New" w:hAnsi="Courier New" w:cs="Courier New"/>
          <w:color w:val="2C363A"/>
          <w:sz w:val="21"/>
          <w:szCs w:val="21"/>
          <w:shd w:val="clear" w:color="auto" w:fill="FFFFFF"/>
        </w:rPr>
        <w:t>Ayuntamiento de Santa Catarina</w:t>
      </w:r>
      <w:r>
        <w:rPr>
          <w:rFonts w:ascii="Courier New" w:hAnsi="Courier New" w:cs="Courier New"/>
          <w:color w:val="2C363A"/>
          <w:sz w:val="21"/>
          <w:szCs w:val="21"/>
        </w:rPr>
        <w:br/>
      </w:r>
      <w:r>
        <w:rPr>
          <w:rFonts w:ascii="Courier New" w:hAnsi="Courier New" w:cs="Courier New"/>
          <w:color w:val="2C363A"/>
          <w:sz w:val="21"/>
          <w:szCs w:val="21"/>
          <w:shd w:val="clear" w:color="auto" w:fill="FFFFFF"/>
        </w:rPr>
        <w:t>Consejo Consulito del Centro Histórico</w:t>
      </w:r>
      <w:r>
        <w:rPr>
          <w:rFonts w:ascii="Courier New" w:hAnsi="Courier New" w:cs="Courier New"/>
          <w:color w:val="2C363A"/>
          <w:sz w:val="21"/>
          <w:szCs w:val="21"/>
        </w:rPr>
        <w:br/>
      </w:r>
      <w:r>
        <w:rPr>
          <w:rFonts w:ascii="Courier New" w:hAnsi="Courier New" w:cs="Courier New"/>
          <w:color w:val="2C363A"/>
          <w:sz w:val="21"/>
          <w:szCs w:val="21"/>
          <w:shd w:val="clear" w:color="auto" w:fill="FFFFFF"/>
        </w:rPr>
        <w:t>Ayuntamiento de Cerritos</w:t>
      </w:r>
      <w:r>
        <w:rPr>
          <w:rFonts w:ascii="Courier New" w:hAnsi="Courier New" w:cs="Courier New"/>
          <w:color w:val="2C363A"/>
          <w:sz w:val="21"/>
          <w:szCs w:val="21"/>
        </w:rPr>
        <w:br/>
      </w:r>
      <w:r>
        <w:rPr>
          <w:rFonts w:ascii="Courier New" w:hAnsi="Courier New" w:cs="Courier New"/>
          <w:color w:val="2C363A"/>
          <w:sz w:val="21"/>
          <w:szCs w:val="21"/>
          <w:shd w:val="clear" w:color="auto" w:fill="FFFFFF"/>
        </w:rPr>
        <w:t>Ayuntamiento de San Nicolás Tolentino</w:t>
      </w:r>
      <w:r>
        <w:rPr>
          <w:rFonts w:ascii="Courier New" w:hAnsi="Courier New" w:cs="Courier New"/>
          <w:color w:val="2C363A"/>
          <w:sz w:val="21"/>
          <w:szCs w:val="21"/>
        </w:rPr>
        <w:br/>
      </w:r>
      <w:r>
        <w:rPr>
          <w:rFonts w:ascii="Courier New" w:hAnsi="Courier New" w:cs="Courier New"/>
          <w:color w:val="2C363A"/>
          <w:sz w:val="21"/>
          <w:szCs w:val="21"/>
          <w:shd w:val="clear" w:color="auto" w:fill="FFFFFF"/>
        </w:rPr>
        <w:t>Instituto Tecnológico de </w:t>
      </w:r>
      <w:proofErr w:type="spellStart"/>
      <w:r>
        <w:rPr>
          <w:rFonts w:ascii="Courier New" w:hAnsi="Courier New" w:cs="Courier New"/>
          <w:color w:val="2C363A"/>
          <w:sz w:val="21"/>
          <w:szCs w:val="21"/>
          <w:shd w:val="clear" w:color="auto" w:fill="FFFFFF"/>
        </w:rPr>
        <w:t>Rioverde</w:t>
      </w:r>
      <w:proofErr w:type="spellEnd"/>
      <w:r>
        <w:rPr>
          <w:rFonts w:ascii="Courier New" w:hAnsi="Courier New" w:cs="Courier New"/>
          <w:color w:val="2C363A"/>
          <w:sz w:val="21"/>
          <w:szCs w:val="21"/>
        </w:rPr>
        <w:br/>
      </w:r>
      <w:r>
        <w:rPr>
          <w:rFonts w:ascii="Courier New" w:hAnsi="Courier New" w:cs="Courier New"/>
          <w:color w:val="2C363A"/>
          <w:sz w:val="21"/>
          <w:szCs w:val="21"/>
          <w:shd w:val="clear" w:color="auto" w:fill="FFFFFF"/>
        </w:rPr>
        <w:t>Ayuntamiento de Matehuala</w:t>
      </w:r>
      <w:r>
        <w:rPr>
          <w:rFonts w:ascii="Courier New" w:hAnsi="Courier New" w:cs="Courier New"/>
          <w:color w:val="2C363A"/>
          <w:sz w:val="21"/>
          <w:szCs w:val="21"/>
        </w:rPr>
        <w:br/>
      </w:r>
      <w:r>
        <w:rPr>
          <w:rFonts w:ascii="Courier New" w:hAnsi="Courier New" w:cs="Courier New"/>
          <w:color w:val="2C363A"/>
          <w:sz w:val="21"/>
          <w:szCs w:val="21"/>
          <w:shd w:val="clear" w:color="auto" w:fill="FFFFFF"/>
        </w:rPr>
        <w:t>Partido Acción Nacional</w:t>
      </w:r>
      <w:r>
        <w:rPr>
          <w:rFonts w:ascii="Courier New" w:hAnsi="Courier New" w:cs="Courier New"/>
          <w:color w:val="2C363A"/>
          <w:sz w:val="21"/>
          <w:szCs w:val="21"/>
        </w:rPr>
        <w:br/>
      </w:r>
      <w:r>
        <w:rPr>
          <w:rFonts w:ascii="Courier New" w:hAnsi="Courier New" w:cs="Courier New"/>
          <w:color w:val="2C363A"/>
          <w:sz w:val="21"/>
          <w:szCs w:val="21"/>
          <w:shd w:val="clear" w:color="auto" w:fill="FFFFFF"/>
        </w:rPr>
        <w:t>Sistema Agua Potable, Alcantarillado y Saneamiento de Matehuala</w:t>
      </w:r>
      <w:r>
        <w:rPr>
          <w:rFonts w:ascii="Courier New" w:hAnsi="Courier New" w:cs="Courier New"/>
          <w:color w:val="2C363A"/>
          <w:sz w:val="21"/>
          <w:szCs w:val="21"/>
        </w:rPr>
        <w:br/>
      </w:r>
      <w:r>
        <w:rPr>
          <w:rFonts w:ascii="Courier New" w:hAnsi="Courier New" w:cs="Courier New"/>
          <w:color w:val="2C363A"/>
          <w:sz w:val="21"/>
          <w:szCs w:val="21"/>
          <w:shd w:val="clear" w:color="auto" w:fill="FFFFFF"/>
        </w:rPr>
        <w:t>Instituto Tecnológico de San Luis Potosí</w:t>
      </w:r>
      <w:r>
        <w:rPr>
          <w:rFonts w:ascii="Courier New" w:hAnsi="Courier New" w:cs="Courier New"/>
          <w:color w:val="2C363A"/>
          <w:sz w:val="21"/>
          <w:szCs w:val="21"/>
        </w:rPr>
        <w:br/>
      </w:r>
      <w:r>
        <w:rPr>
          <w:rFonts w:ascii="Courier New" w:hAnsi="Courier New" w:cs="Courier New"/>
          <w:color w:val="2C363A"/>
          <w:sz w:val="21"/>
          <w:szCs w:val="21"/>
          <w:shd w:val="clear" w:color="auto" w:fill="FFFFFF"/>
        </w:rPr>
        <w:t>Ayuntamiento de </w:t>
      </w:r>
      <w:proofErr w:type="spellStart"/>
      <w:r>
        <w:rPr>
          <w:rFonts w:ascii="Courier New" w:hAnsi="Courier New" w:cs="Courier New"/>
          <w:color w:val="2C363A"/>
          <w:sz w:val="21"/>
          <w:szCs w:val="21"/>
          <w:shd w:val="clear" w:color="auto" w:fill="FFFFFF"/>
        </w:rPr>
        <w:t>Tampamolón</w:t>
      </w:r>
      <w:proofErr w:type="spellEnd"/>
      <w:r>
        <w:rPr>
          <w:rFonts w:ascii="Courier New" w:hAnsi="Courier New" w:cs="Courier New"/>
          <w:color w:val="2C363A"/>
          <w:sz w:val="21"/>
          <w:szCs w:val="21"/>
        </w:rPr>
        <w:br/>
      </w:r>
      <w:r>
        <w:rPr>
          <w:rFonts w:ascii="Courier New" w:hAnsi="Courier New" w:cs="Courier New"/>
          <w:color w:val="2C363A"/>
          <w:sz w:val="21"/>
          <w:szCs w:val="21"/>
          <w:shd w:val="clear" w:color="auto" w:fill="FFFFFF"/>
        </w:rPr>
        <w:t>Ayuntamiento de </w:t>
      </w:r>
      <w:proofErr w:type="spellStart"/>
      <w:r>
        <w:rPr>
          <w:rFonts w:ascii="Courier New" w:hAnsi="Courier New" w:cs="Courier New"/>
          <w:color w:val="2C363A"/>
          <w:sz w:val="21"/>
          <w:szCs w:val="21"/>
          <w:shd w:val="clear" w:color="auto" w:fill="FFFFFF"/>
        </w:rPr>
        <w:t>Tampacan</w:t>
      </w:r>
      <w:proofErr w:type="spellEnd"/>
      <w:r>
        <w:rPr>
          <w:rFonts w:ascii="Courier New" w:hAnsi="Courier New" w:cs="Courier New"/>
          <w:color w:val="2C363A"/>
          <w:sz w:val="21"/>
          <w:szCs w:val="21"/>
        </w:rPr>
        <w:br/>
      </w:r>
      <w:r>
        <w:rPr>
          <w:rFonts w:ascii="Courier New" w:hAnsi="Courier New" w:cs="Courier New"/>
          <w:color w:val="2C363A"/>
          <w:sz w:val="21"/>
          <w:szCs w:val="21"/>
          <w:shd w:val="clear" w:color="auto" w:fill="FFFFFF"/>
        </w:rPr>
        <w:t>Sistema de Agua Potable de Ciudad del Maíz</w:t>
      </w:r>
      <w:r>
        <w:rPr>
          <w:rFonts w:ascii="Courier New" w:hAnsi="Courier New" w:cs="Courier New"/>
          <w:color w:val="2C363A"/>
          <w:sz w:val="21"/>
          <w:szCs w:val="21"/>
        </w:rPr>
        <w:br/>
      </w:r>
      <w:r>
        <w:rPr>
          <w:rFonts w:ascii="Courier New" w:hAnsi="Courier New" w:cs="Courier New"/>
          <w:color w:val="2C363A"/>
          <w:sz w:val="21"/>
          <w:szCs w:val="21"/>
          <w:shd w:val="clear" w:color="auto" w:fill="FFFFFF"/>
        </w:rPr>
        <w:t>Ayuntamiento de El Naranjo</w:t>
      </w:r>
      <w:r>
        <w:rPr>
          <w:rFonts w:ascii="Courier New" w:hAnsi="Courier New" w:cs="Courier New"/>
          <w:color w:val="2C363A"/>
          <w:sz w:val="21"/>
          <w:szCs w:val="21"/>
        </w:rPr>
        <w:br/>
      </w:r>
      <w:r>
        <w:rPr>
          <w:rFonts w:ascii="Courier New" w:hAnsi="Courier New" w:cs="Courier New"/>
          <w:color w:val="2C363A"/>
          <w:sz w:val="21"/>
          <w:szCs w:val="21"/>
        </w:rPr>
        <w:br/>
      </w:r>
      <w:r>
        <w:rPr>
          <w:rFonts w:ascii="Courier New" w:hAnsi="Courier New" w:cs="Courier New"/>
          <w:color w:val="2C363A"/>
          <w:sz w:val="21"/>
          <w:szCs w:val="21"/>
          <w:shd w:val="clear" w:color="auto" w:fill="FFFFFF"/>
        </w:rPr>
        <w:t>Se ordena requerir a cada sujeto obligado para que subsane las inconsistencias detectadas dentro de un plazo no mayor a veinte días, y una vez vencido este plazo, esta CEGAIP verificará la publicación de las obligaciones de transparencia.</w:t>
      </w:r>
      <w:r>
        <w:rPr>
          <w:rFonts w:ascii="Courier New" w:hAnsi="Courier New" w:cs="Courier New"/>
          <w:color w:val="2C363A"/>
          <w:sz w:val="21"/>
          <w:szCs w:val="21"/>
        </w:rPr>
        <w:br/>
      </w:r>
      <w:r>
        <w:rPr>
          <w:rFonts w:ascii="Courier New" w:hAnsi="Courier New" w:cs="Courier New"/>
          <w:color w:val="2C363A"/>
          <w:sz w:val="21"/>
          <w:szCs w:val="21"/>
        </w:rPr>
        <w:br/>
      </w:r>
      <w:r>
        <w:rPr>
          <w:rFonts w:ascii="Courier New" w:hAnsi="Courier New" w:cs="Courier New"/>
          <w:color w:val="2C363A"/>
          <w:sz w:val="21"/>
          <w:szCs w:val="21"/>
          <w:shd w:val="clear" w:color="auto" w:fill="FFFFFF"/>
        </w:rPr>
        <w:t xml:space="preserve">4.- Se ordena apercibir a los referidos sujetos obligados, en el sentido de que de no alcanzar la calificación mínima aprobatoria del 90% de cumplimiento en la verificación que se realice por parte de esta </w:t>
      </w:r>
      <w:r>
        <w:rPr>
          <w:rFonts w:ascii="Courier New" w:hAnsi="Courier New" w:cs="Courier New"/>
          <w:color w:val="2C363A"/>
          <w:sz w:val="21"/>
          <w:szCs w:val="21"/>
          <w:shd w:val="clear" w:color="auto" w:fill="FFFFFF"/>
        </w:rPr>
        <w:lastRenderedPageBreak/>
        <w:t>Comisión, se requerirá el cumplimiento por conducto de la Unidad de Transparencia, al superior jerárquico del servidor público responsable de dar cumplimiento.</w:t>
      </w:r>
      <w:r>
        <w:rPr>
          <w:rFonts w:ascii="Courier New" w:hAnsi="Courier New" w:cs="Courier New"/>
          <w:color w:val="2C363A"/>
          <w:sz w:val="21"/>
          <w:szCs w:val="21"/>
        </w:rPr>
        <w:br/>
      </w:r>
      <w:r>
        <w:rPr>
          <w:rFonts w:ascii="Courier New" w:hAnsi="Courier New" w:cs="Courier New"/>
          <w:color w:val="2C363A"/>
          <w:sz w:val="21"/>
          <w:szCs w:val="21"/>
        </w:rPr>
        <w:br/>
      </w:r>
      <w:r>
        <w:rPr>
          <w:rFonts w:ascii="Courier New" w:hAnsi="Courier New" w:cs="Courier New"/>
          <w:color w:val="2C363A"/>
          <w:sz w:val="21"/>
          <w:szCs w:val="21"/>
          <w:shd w:val="clear" w:color="auto" w:fill="FFFFFF"/>
        </w:rPr>
        <w:t>Todo lo anterior, con fundamento en el artículo 101 de la Ley de Transparencia y Acceso a la Información Pública.</w:t>
      </w:r>
      <w:r>
        <w:rPr>
          <w:rFonts w:ascii="Courier New" w:hAnsi="Courier New" w:cs="Courier New"/>
          <w:color w:val="2C363A"/>
          <w:sz w:val="21"/>
          <w:szCs w:val="21"/>
        </w:rPr>
        <w:br/>
      </w:r>
      <w:r>
        <w:rPr>
          <w:rFonts w:ascii="Courier New" w:hAnsi="Courier New" w:cs="Courier New"/>
          <w:color w:val="2C363A"/>
          <w:sz w:val="21"/>
          <w:szCs w:val="21"/>
        </w:rPr>
        <w:br/>
      </w:r>
      <w:r>
        <w:rPr>
          <w:rFonts w:ascii="Courier New" w:hAnsi="Courier New" w:cs="Courier New"/>
          <w:color w:val="2C363A"/>
          <w:sz w:val="21"/>
          <w:szCs w:val="21"/>
          <w:shd w:val="clear" w:color="auto" w:fill="FFFFFF"/>
        </w:rPr>
        <w:t>Notifíquese el presente asunto al Director de Vigilancia, Análisis y Gestión Documental y a la Unidad de Verificaciones para que realicen las gestiones necesarias para el cumplimiento del  presente acuerdo de Pleno.</w:t>
      </w:r>
    </w:p>
    <w:sectPr w:rsidR="009E45F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10AA"/>
    <w:rsid w:val="003410AA"/>
    <w:rsid w:val="004013A4"/>
    <w:rsid w:val="004744E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04D619"/>
  <w15:chartTrackingRefBased/>
  <w15:docId w15:val="{8CF54D92-03E6-4F46-85F8-A1566D6147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763</Words>
  <Characters>4198</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4952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1</cp:revision>
  <dcterms:created xsi:type="dcterms:W3CDTF">2021-01-11T00:18:00Z</dcterms:created>
  <dcterms:modified xsi:type="dcterms:W3CDTF">2021-01-11T00:18:00Z</dcterms:modified>
</cp:coreProperties>
</file>