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A55" w:rsidRPr="00CA5A55" w:rsidRDefault="00CA5A55" w:rsidP="00CA5A55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es-MX"/>
        </w:rPr>
      </w:pPr>
      <w:r w:rsidRPr="00CA5A55">
        <w:rPr>
          <w:rFonts w:ascii="Calibri" w:eastAsia="Times New Roman" w:hAnsi="Calibri" w:cs="Times New Roman"/>
          <w:color w:val="000000"/>
          <w:lang w:eastAsia="es-MX"/>
        </w:rPr>
        <w:t xml:space="preserve">En el periodo que se reporta no se generó información, pues las áreas o unidades administrativas no requirieron la contratación de servicios profesionales por honorarios conforme a sus respectivos planes de trabajo. Ello con fundamento en el artículo 62 de la Ley de Presupuesto y Responsabilidad Hacendaria del Estado y Municipios del Estado de San Luis Potosí, que establece como posibilidad y no como obligación para los ejecutores del gasto la contratación de dicha modalidad de servicios personales. </w:t>
      </w:r>
    </w:p>
    <w:p w:rsidR="00A101D3" w:rsidRDefault="00A101D3" w:rsidP="00CA5A55">
      <w:pPr>
        <w:jc w:val="both"/>
      </w:pPr>
      <w:bookmarkStart w:id="0" w:name="_GoBack"/>
      <w:bookmarkEnd w:id="0"/>
    </w:p>
    <w:sectPr w:rsidR="00A101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55"/>
    <w:rsid w:val="00A101D3"/>
    <w:rsid w:val="00CA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1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Angelina Teresa ATGM. Gonzalez Malibran</cp:lastModifiedBy>
  <cp:revision>1</cp:revision>
  <dcterms:created xsi:type="dcterms:W3CDTF">2020-11-19T17:05:00Z</dcterms:created>
  <dcterms:modified xsi:type="dcterms:W3CDTF">2020-11-19T17:07:00Z</dcterms:modified>
</cp:coreProperties>
</file>