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776553" w:rsidRDefault="00776553" w:rsidP="00776553">
      <w:pPr>
        <w:pStyle w:val="Default"/>
        <w:jc w:val="center"/>
        <w:rPr>
          <w:b/>
          <w:bCs/>
          <w:sz w:val="22"/>
          <w:szCs w:val="22"/>
        </w:rPr>
      </w:pPr>
    </w:p>
    <w:p w:rsidR="00776553" w:rsidRDefault="00776553" w:rsidP="0077655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E20"/>
          <w:sz w:val="21"/>
          <w:szCs w:val="21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>TÍTULO DÉCIMO</w:t>
      </w:r>
    </w:p>
    <w:p w:rsidR="00776553" w:rsidRDefault="00776553" w:rsidP="0077655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E20"/>
          <w:sz w:val="21"/>
          <w:szCs w:val="21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>CAPÍTULO ÚNICO</w:t>
      </w:r>
    </w:p>
    <w:p w:rsidR="00776553" w:rsidRDefault="00776553" w:rsidP="0077655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E20"/>
          <w:sz w:val="21"/>
          <w:szCs w:val="21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 xml:space="preserve">De </w:t>
      </w:r>
      <w:r>
        <w:rPr>
          <w:rFonts w:ascii="Arial" w:hAnsi="Arial" w:cs="Arial"/>
          <w:b/>
          <w:bCs/>
          <w:color w:val="150D0F"/>
          <w:sz w:val="21"/>
          <w:szCs w:val="21"/>
        </w:rPr>
        <w:t xml:space="preserve">las </w:t>
      </w:r>
      <w:r>
        <w:rPr>
          <w:rFonts w:ascii="Arial" w:hAnsi="Arial" w:cs="Arial"/>
          <w:b/>
          <w:bCs/>
          <w:color w:val="261E20"/>
          <w:sz w:val="21"/>
          <w:szCs w:val="21"/>
        </w:rPr>
        <w:t>Jefaturas</w:t>
      </w:r>
    </w:p>
    <w:p w:rsidR="00776553" w:rsidRPr="00776553" w:rsidRDefault="00776553" w:rsidP="007765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50D0F"/>
        </w:rPr>
      </w:pPr>
      <w:r>
        <w:rPr>
          <w:rFonts w:ascii="Arial" w:hAnsi="Arial" w:cs="Arial"/>
          <w:b/>
          <w:bCs/>
          <w:color w:val="261E20"/>
        </w:rPr>
        <w:t xml:space="preserve">Artículo 49. </w:t>
      </w:r>
      <w:r>
        <w:rPr>
          <w:rFonts w:ascii="Arial" w:hAnsi="Arial" w:cs="Arial"/>
          <w:color w:val="150D0F"/>
        </w:rPr>
        <w:t xml:space="preserve">Las jefaturas </w:t>
      </w:r>
      <w:r>
        <w:rPr>
          <w:rFonts w:ascii="Arial" w:hAnsi="Arial" w:cs="Arial"/>
          <w:color w:val="261E20"/>
        </w:rPr>
        <w:t xml:space="preserve">del Consejo, son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cargos subordinados adscritos a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E20"/>
        </w:rPr>
        <w:t xml:space="preserve">direcciones, </w:t>
      </w:r>
      <w:r>
        <w:rPr>
          <w:rFonts w:ascii="Arial" w:hAnsi="Arial" w:cs="Arial"/>
          <w:color w:val="150D0F"/>
        </w:rPr>
        <w:t xml:space="preserve">unidades </w:t>
      </w:r>
      <w:r>
        <w:rPr>
          <w:rFonts w:ascii="Arial" w:hAnsi="Arial" w:cs="Arial"/>
          <w:color w:val="261E20"/>
        </w:rPr>
        <w:t xml:space="preserve">y coordinaciones ejecutivas y/o técnicas; que de </w:t>
      </w:r>
      <w:r>
        <w:rPr>
          <w:rFonts w:ascii="Arial" w:hAnsi="Arial" w:cs="Arial"/>
          <w:color w:val="150D0F"/>
        </w:rPr>
        <w:t xml:space="preserve">manera </w:t>
      </w:r>
      <w:r>
        <w:rPr>
          <w:rFonts w:ascii="Arial" w:hAnsi="Arial" w:cs="Arial"/>
          <w:color w:val="261E20"/>
        </w:rPr>
        <w:t>general</w:t>
      </w:r>
      <w:r>
        <w:rPr>
          <w:rFonts w:ascii="Arial" w:hAnsi="Arial" w:cs="Arial"/>
          <w:color w:val="150D0F"/>
        </w:rPr>
        <w:t xml:space="preserve"> </w:t>
      </w:r>
      <w:r>
        <w:rPr>
          <w:rFonts w:ascii="Arial" w:hAnsi="Arial" w:cs="Arial"/>
          <w:color w:val="261E20"/>
        </w:rPr>
        <w:t xml:space="preserve">atienden, ejecutan, dirigen y supervisan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E20"/>
        </w:rPr>
        <w:t xml:space="preserve">funciones específicas que </w:t>
      </w:r>
      <w:r>
        <w:rPr>
          <w:rFonts w:ascii="Arial" w:hAnsi="Arial" w:cs="Arial"/>
          <w:color w:val="150D0F"/>
        </w:rPr>
        <w:t xml:space="preserve">le </w:t>
      </w:r>
      <w:r>
        <w:rPr>
          <w:rFonts w:ascii="Arial" w:hAnsi="Arial" w:cs="Arial"/>
          <w:color w:val="261E20"/>
        </w:rPr>
        <w:t>sean</w:t>
      </w:r>
      <w:r>
        <w:rPr>
          <w:rFonts w:ascii="Arial" w:hAnsi="Arial" w:cs="Arial"/>
          <w:color w:val="150D0F"/>
        </w:rPr>
        <w:t xml:space="preserve"> </w:t>
      </w:r>
      <w:r>
        <w:rPr>
          <w:rFonts w:ascii="Arial" w:hAnsi="Arial" w:cs="Arial"/>
          <w:color w:val="261E20"/>
        </w:rPr>
        <w:t>encomendadas.</w:t>
      </w:r>
    </w:p>
    <w:p w:rsidR="00776553" w:rsidRPr="00776553" w:rsidRDefault="00776553" w:rsidP="007765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50D0F"/>
        </w:rPr>
      </w:pPr>
      <w:r>
        <w:rPr>
          <w:rFonts w:ascii="Arial" w:hAnsi="Arial" w:cs="Arial"/>
          <w:b/>
          <w:bCs/>
          <w:color w:val="261E20"/>
        </w:rPr>
        <w:t xml:space="preserve">Artículo 50. </w:t>
      </w:r>
      <w:r>
        <w:rPr>
          <w:rFonts w:ascii="Arial" w:hAnsi="Arial" w:cs="Arial"/>
          <w:color w:val="150D0F"/>
        </w:rPr>
        <w:t xml:space="preserve">Las jefaturas </w:t>
      </w:r>
      <w:r>
        <w:rPr>
          <w:rFonts w:ascii="Arial" w:hAnsi="Arial" w:cs="Arial"/>
          <w:color w:val="261E20"/>
        </w:rPr>
        <w:t xml:space="preserve">tendrán de manera enunciativa </w:t>
      </w:r>
      <w:r>
        <w:rPr>
          <w:rFonts w:ascii="Arial" w:hAnsi="Arial" w:cs="Arial"/>
          <w:color w:val="150D0F"/>
        </w:rPr>
        <w:t xml:space="preserve">más no limitativa, las </w:t>
      </w:r>
      <w:r>
        <w:rPr>
          <w:rFonts w:ascii="Arial" w:hAnsi="Arial" w:cs="Arial"/>
          <w:color w:val="261E20"/>
        </w:rPr>
        <w:t>siguientes atribuciones:</w:t>
      </w:r>
    </w:p>
    <w:p w:rsidR="00776553" w:rsidRPr="00776553" w:rsidRDefault="00776553" w:rsidP="007765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150D0F"/>
        </w:rPr>
        <w:t xml:space="preserve">l. </w:t>
      </w:r>
      <w:r>
        <w:rPr>
          <w:rFonts w:ascii="Arial" w:hAnsi="Arial" w:cs="Arial"/>
          <w:color w:val="261E20"/>
        </w:rPr>
        <w:t xml:space="preserve">Asesorar a </w:t>
      </w:r>
      <w:r>
        <w:rPr>
          <w:rFonts w:ascii="Arial" w:hAnsi="Arial" w:cs="Arial"/>
          <w:color w:val="150D0F"/>
        </w:rPr>
        <w:t xml:space="preserve">los </w:t>
      </w:r>
      <w:r>
        <w:rPr>
          <w:rFonts w:ascii="Arial" w:hAnsi="Arial" w:cs="Arial"/>
          <w:color w:val="261E20"/>
        </w:rPr>
        <w:t xml:space="preserve">servidores públicos del área a </w:t>
      </w:r>
      <w:r>
        <w:rPr>
          <w:rFonts w:ascii="Arial" w:hAnsi="Arial" w:cs="Arial"/>
          <w:color w:val="150D0F"/>
        </w:rPr>
        <w:t xml:space="preserve">la </w:t>
      </w:r>
      <w:r>
        <w:rPr>
          <w:rFonts w:ascii="Arial" w:hAnsi="Arial" w:cs="Arial"/>
          <w:color w:val="261E20"/>
        </w:rPr>
        <w:t xml:space="preserve">que se encuentran adscritos en </w:t>
      </w:r>
      <w:r>
        <w:rPr>
          <w:rFonts w:ascii="Arial" w:hAnsi="Arial" w:cs="Arial"/>
          <w:color w:val="150D0F"/>
        </w:rPr>
        <w:t xml:space="preserve">las </w:t>
      </w:r>
      <w:r>
        <w:rPr>
          <w:rFonts w:ascii="Arial" w:hAnsi="Arial" w:cs="Arial"/>
          <w:color w:val="261E20"/>
        </w:rPr>
        <w:t xml:space="preserve">consultas que </w:t>
      </w:r>
      <w:r>
        <w:rPr>
          <w:rFonts w:ascii="Arial" w:hAnsi="Arial" w:cs="Arial"/>
          <w:color w:val="150D0F"/>
        </w:rPr>
        <w:t xml:space="preserve">le </w:t>
      </w:r>
      <w:r>
        <w:rPr>
          <w:rFonts w:ascii="Arial" w:hAnsi="Arial" w:cs="Arial"/>
          <w:color w:val="261E20"/>
        </w:rPr>
        <w:t xml:space="preserve">sean formuladas, y que se </w:t>
      </w:r>
      <w:r>
        <w:rPr>
          <w:rFonts w:ascii="Arial" w:hAnsi="Arial" w:cs="Arial"/>
          <w:color w:val="150D0F"/>
        </w:rPr>
        <w:t xml:space="preserve">refieran </w:t>
      </w:r>
      <w:r>
        <w:rPr>
          <w:rFonts w:ascii="Arial" w:hAnsi="Arial" w:cs="Arial"/>
          <w:color w:val="261E20"/>
        </w:rPr>
        <w:t xml:space="preserve">a temas que </w:t>
      </w:r>
      <w:r>
        <w:rPr>
          <w:rFonts w:ascii="Arial" w:hAnsi="Arial" w:cs="Arial"/>
          <w:color w:val="150D0F"/>
        </w:rPr>
        <w:t xml:space="preserve">no </w:t>
      </w:r>
      <w:r>
        <w:rPr>
          <w:rFonts w:ascii="Arial" w:hAnsi="Arial" w:cs="Arial"/>
          <w:color w:val="261E20"/>
        </w:rPr>
        <w:t>sean</w:t>
      </w:r>
      <w:r>
        <w:rPr>
          <w:rFonts w:ascii="Arial" w:hAnsi="Arial" w:cs="Arial"/>
          <w:color w:val="261E20"/>
        </w:rPr>
        <w:t xml:space="preserve"> </w:t>
      </w:r>
      <w:r>
        <w:rPr>
          <w:rFonts w:ascii="Arial" w:hAnsi="Arial" w:cs="Arial"/>
          <w:color w:val="251E1F"/>
          <w:sz w:val="21"/>
          <w:szCs w:val="21"/>
        </w:rPr>
        <w:t>competencia de algún otro órgano del Consejo;</w:t>
      </w:r>
    </w:p>
    <w:p w:rsidR="00776553" w:rsidRPr="00776553" w:rsidRDefault="00776553" w:rsidP="007765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C0E"/>
          <w:sz w:val="21"/>
          <w:szCs w:val="21"/>
        </w:rPr>
      </w:pPr>
      <w:r>
        <w:rPr>
          <w:rFonts w:ascii="Arial" w:hAnsi="Arial" w:cs="Arial"/>
          <w:color w:val="140C0E"/>
          <w:sz w:val="21"/>
          <w:szCs w:val="21"/>
        </w:rPr>
        <w:t>II</w:t>
      </w:r>
      <w:r>
        <w:rPr>
          <w:rFonts w:ascii="Arial" w:hAnsi="Arial" w:cs="Arial"/>
          <w:color w:val="140C0E"/>
          <w:sz w:val="21"/>
          <w:szCs w:val="21"/>
        </w:rPr>
        <w:t xml:space="preserve">. </w:t>
      </w:r>
      <w:r>
        <w:rPr>
          <w:rFonts w:ascii="Arial" w:hAnsi="Arial" w:cs="Arial"/>
          <w:color w:val="251E1F"/>
          <w:sz w:val="21"/>
          <w:szCs w:val="21"/>
        </w:rPr>
        <w:t xml:space="preserve">Opinar sobre </w:t>
      </w:r>
      <w:r>
        <w:rPr>
          <w:rFonts w:ascii="Arial" w:hAnsi="Arial" w:cs="Arial"/>
          <w:color w:val="140C0E"/>
          <w:sz w:val="21"/>
          <w:szCs w:val="21"/>
        </w:rPr>
        <w:t xml:space="preserve">las </w:t>
      </w:r>
      <w:r>
        <w:rPr>
          <w:rFonts w:ascii="Arial" w:hAnsi="Arial" w:cs="Arial"/>
          <w:color w:val="251E1F"/>
          <w:sz w:val="21"/>
          <w:szCs w:val="21"/>
        </w:rPr>
        <w:t xml:space="preserve">propuestas que se realicen para el perfeccionamiento del </w:t>
      </w:r>
      <w:r>
        <w:rPr>
          <w:rFonts w:ascii="Arial" w:hAnsi="Arial" w:cs="Arial"/>
          <w:color w:val="140C0E"/>
          <w:sz w:val="21"/>
          <w:szCs w:val="21"/>
        </w:rPr>
        <w:t xml:space="preserve">marco </w:t>
      </w:r>
      <w:r>
        <w:rPr>
          <w:rFonts w:ascii="Arial" w:hAnsi="Arial" w:cs="Arial"/>
          <w:color w:val="251E1F"/>
          <w:sz w:val="21"/>
          <w:szCs w:val="21"/>
        </w:rPr>
        <w:t xml:space="preserve">jurídico que </w:t>
      </w:r>
      <w:r>
        <w:rPr>
          <w:rFonts w:ascii="Arial" w:hAnsi="Arial" w:cs="Arial"/>
          <w:color w:val="140C0E"/>
          <w:sz w:val="21"/>
          <w:szCs w:val="21"/>
        </w:rPr>
        <w:t xml:space="preserve">les </w:t>
      </w:r>
      <w:r>
        <w:rPr>
          <w:rFonts w:ascii="Arial" w:hAnsi="Arial" w:cs="Arial"/>
          <w:color w:val="251E1F"/>
          <w:sz w:val="21"/>
          <w:szCs w:val="21"/>
        </w:rPr>
        <w:t>compete;</w:t>
      </w:r>
    </w:p>
    <w:p w:rsidR="00776553" w:rsidRPr="00776553" w:rsidRDefault="00776553" w:rsidP="007765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C0E"/>
          <w:sz w:val="21"/>
          <w:szCs w:val="21"/>
        </w:rPr>
      </w:pPr>
      <w:r>
        <w:rPr>
          <w:rFonts w:ascii="Arial" w:hAnsi="Arial" w:cs="Arial"/>
          <w:color w:val="140C0E"/>
          <w:sz w:val="21"/>
          <w:szCs w:val="21"/>
        </w:rPr>
        <w:t>III</w:t>
      </w:r>
      <w:r>
        <w:rPr>
          <w:rFonts w:ascii="Arial" w:hAnsi="Arial" w:cs="Arial"/>
          <w:color w:val="140C0E"/>
          <w:sz w:val="21"/>
          <w:szCs w:val="21"/>
        </w:rPr>
        <w:t xml:space="preserve">. </w:t>
      </w:r>
      <w:r>
        <w:rPr>
          <w:rFonts w:ascii="Arial" w:hAnsi="Arial" w:cs="Arial"/>
          <w:color w:val="251E1F"/>
          <w:sz w:val="21"/>
          <w:szCs w:val="21"/>
        </w:rPr>
        <w:t xml:space="preserve">Auxiliar en diversas tareas a </w:t>
      </w:r>
      <w:r>
        <w:rPr>
          <w:rFonts w:ascii="Arial" w:hAnsi="Arial" w:cs="Arial"/>
          <w:color w:val="140C0E"/>
          <w:sz w:val="21"/>
          <w:szCs w:val="21"/>
        </w:rPr>
        <w:t xml:space="preserve">las </w:t>
      </w:r>
      <w:r>
        <w:rPr>
          <w:rFonts w:ascii="Arial" w:hAnsi="Arial" w:cs="Arial"/>
          <w:color w:val="251E1F"/>
          <w:sz w:val="21"/>
          <w:szCs w:val="21"/>
        </w:rPr>
        <w:t xml:space="preserve">demás áreas del Consejo de conformidad a </w:t>
      </w:r>
      <w:r>
        <w:rPr>
          <w:rFonts w:ascii="Arial" w:hAnsi="Arial" w:cs="Arial"/>
          <w:color w:val="140C0E"/>
          <w:sz w:val="21"/>
          <w:szCs w:val="21"/>
        </w:rPr>
        <w:t xml:space="preserve">las </w:t>
      </w:r>
      <w:r>
        <w:rPr>
          <w:rFonts w:ascii="Arial" w:hAnsi="Arial" w:cs="Arial"/>
          <w:color w:val="140C0E"/>
          <w:sz w:val="21"/>
          <w:szCs w:val="21"/>
        </w:rPr>
        <w:t xml:space="preserve">instrucciones </w:t>
      </w:r>
      <w:r>
        <w:rPr>
          <w:rFonts w:ascii="Arial" w:hAnsi="Arial" w:cs="Arial"/>
          <w:color w:val="251E1F"/>
          <w:sz w:val="21"/>
          <w:szCs w:val="21"/>
        </w:rPr>
        <w:t>de su superior;</w:t>
      </w:r>
    </w:p>
    <w:p w:rsidR="00776553" w:rsidRDefault="00776553" w:rsidP="007765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  <w:sz w:val="21"/>
          <w:szCs w:val="21"/>
        </w:rPr>
      </w:pPr>
      <w:r>
        <w:rPr>
          <w:rFonts w:ascii="Arial" w:hAnsi="Arial" w:cs="Arial"/>
          <w:color w:val="140C0E"/>
          <w:sz w:val="21"/>
          <w:szCs w:val="21"/>
        </w:rPr>
        <w:t xml:space="preserve">IV. </w:t>
      </w:r>
      <w:r>
        <w:rPr>
          <w:rFonts w:ascii="Arial" w:hAnsi="Arial" w:cs="Arial"/>
          <w:color w:val="251E1F"/>
          <w:sz w:val="21"/>
          <w:szCs w:val="21"/>
        </w:rPr>
        <w:t xml:space="preserve">Atender </w:t>
      </w:r>
      <w:r>
        <w:rPr>
          <w:rFonts w:ascii="Arial" w:hAnsi="Arial" w:cs="Arial"/>
          <w:color w:val="140C0E"/>
          <w:sz w:val="21"/>
          <w:szCs w:val="21"/>
        </w:rPr>
        <w:t xml:space="preserve">las leyes, reglamentos, </w:t>
      </w:r>
      <w:r>
        <w:rPr>
          <w:rFonts w:ascii="Arial" w:hAnsi="Arial" w:cs="Arial"/>
          <w:color w:val="251E1F"/>
          <w:sz w:val="21"/>
          <w:szCs w:val="21"/>
        </w:rPr>
        <w:t xml:space="preserve">acuerdos, circulares, relacionadas con </w:t>
      </w:r>
      <w:r>
        <w:rPr>
          <w:rFonts w:ascii="Arial" w:hAnsi="Arial" w:cs="Arial"/>
          <w:color w:val="140C0E"/>
          <w:sz w:val="21"/>
          <w:szCs w:val="21"/>
        </w:rPr>
        <w:t xml:space="preserve">la </w:t>
      </w:r>
      <w:r>
        <w:rPr>
          <w:rFonts w:ascii="Arial" w:hAnsi="Arial" w:cs="Arial"/>
          <w:color w:val="251E1F"/>
          <w:sz w:val="21"/>
          <w:szCs w:val="21"/>
        </w:rPr>
        <w:t xml:space="preserve">esfera </w:t>
      </w:r>
      <w:r>
        <w:rPr>
          <w:rFonts w:ascii="Arial" w:hAnsi="Arial" w:cs="Arial"/>
          <w:color w:val="251E1F"/>
          <w:sz w:val="21"/>
          <w:szCs w:val="21"/>
        </w:rPr>
        <w:t>de competencia del Consejo;</w:t>
      </w:r>
    </w:p>
    <w:p w:rsidR="00776553" w:rsidRPr="00776553" w:rsidRDefault="00776553" w:rsidP="007765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C0E"/>
          <w:sz w:val="21"/>
          <w:szCs w:val="21"/>
        </w:rPr>
      </w:pPr>
      <w:r>
        <w:rPr>
          <w:rFonts w:ascii="Arial" w:hAnsi="Arial" w:cs="Arial"/>
          <w:color w:val="251E1F"/>
          <w:sz w:val="21"/>
          <w:szCs w:val="21"/>
        </w:rPr>
        <w:t xml:space="preserve">V. Coadyuvar en </w:t>
      </w:r>
      <w:r>
        <w:rPr>
          <w:rFonts w:ascii="Arial" w:hAnsi="Arial" w:cs="Arial"/>
          <w:color w:val="140C0E"/>
          <w:sz w:val="21"/>
          <w:szCs w:val="21"/>
        </w:rPr>
        <w:t xml:space="preserve">la </w:t>
      </w:r>
      <w:r>
        <w:rPr>
          <w:rFonts w:ascii="Arial" w:hAnsi="Arial" w:cs="Arial"/>
          <w:color w:val="251E1F"/>
          <w:sz w:val="21"/>
          <w:szCs w:val="21"/>
        </w:rPr>
        <w:t xml:space="preserve">sustanciación de </w:t>
      </w:r>
      <w:r>
        <w:rPr>
          <w:rFonts w:ascii="Arial" w:hAnsi="Arial" w:cs="Arial"/>
          <w:color w:val="140C0E"/>
          <w:sz w:val="21"/>
          <w:szCs w:val="21"/>
        </w:rPr>
        <w:t xml:space="preserve">los </w:t>
      </w:r>
      <w:r>
        <w:rPr>
          <w:rFonts w:ascii="Arial" w:hAnsi="Arial" w:cs="Arial"/>
          <w:color w:val="251E1F"/>
          <w:sz w:val="21"/>
          <w:szCs w:val="21"/>
        </w:rPr>
        <w:t xml:space="preserve">procedimientos administrativos y/o </w:t>
      </w:r>
      <w:r>
        <w:rPr>
          <w:rFonts w:ascii="Arial" w:hAnsi="Arial" w:cs="Arial"/>
          <w:color w:val="140C0E"/>
          <w:sz w:val="21"/>
          <w:szCs w:val="21"/>
        </w:rPr>
        <w:t xml:space="preserve">legales </w:t>
      </w:r>
      <w:r>
        <w:rPr>
          <w:rFonts w:ascii="Arial" w:hAnsi="Arial" w:cs="Arial"/>
          <w:color w:val="140C0E"/>
          <w:sz w:val="21"/>
          <w:szCs w:val="21"/>
        </w:rPr>
        <w:t xml:space="preserve">del </w:t>
      </w:r>
      <w:r>
        <w:rPr>
          <w:rFonts w:ascii="Arial" w:hAnsi="Arial" w:cs="Arial"/>
          <w:color w:val="251E1F"/>
          <w:sz w:val="21"/>
          <w:szCs w:val="21"/>
        </w:rPr>
        <w:t>Consejo;</w:t>
      </w:r>
    </w:p>
    <w:p w:rsidR="00776553" w:rsidRPr="00776553" w:rsidRDefault="00776553" w:rsidP="007765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  <w:sz w:val="21"/>
          <w:szCs w:val="21"/>
        </w:rPr>
      </w:pPr>
      <w:r>
        <w:rPr>
          <w:rFonts w:ascii="Arial" w:hAnsi="Arial" w:cs="Arial"/>
          <w:color w:val="251E1F"/>
          <w:sz w:val="21"/>
          <w:szCs w:val="21"/>
        </w:rPr>
        <w:t xml:space="preserve">VI. Revisar y opinar, acerca de </w:t>
      </w:r>
      <w:r>
        <w:rPr>
          <w:rFonts w:ascii="Arial" w:hAnsi="Arial" w:cs="Arial"/>
          <w:color w:val="140C0E"/>
          <w:sz w:val="21"/>
          <w:szCs w:val="21"/>
        </w:rPr>
        <w:t xml:space="preserve">los </w:t>
      </w:r>
      <w:r>
        <w:rPr>
          <w:rFonts w:ascii="Arial" w:hAnsi="Arial" w:cs="Arial"/>
          <w:color w:val="251E1F"/>
          <w:sz w:val="21"/>
          <w:szCs w:val="21"/>
        </w:rPr>
        <w:t>proyectos propios del área de su adscripción en</w:t>
      </w:r>
      <w:r>
        <w:rPr>
          <w:rFonts w:ascii="Arial" w:hAnsi="Arial" w:cs="Arial"/>
          <w:color w:val="251E1F"/>
          <w:sz w:val="21"/>
          <w:szCs w:val="21"/>
        </w:rPr>
        <w:t xml:space="preserve"> </w:t>
      </w:r>
      <w:r>
        <w:rPr>
          <w:rFonts w:ascii="Arial" w:hAnsi="Arial" w:cs="Arial"/>
          <w:color w:val="140C0E"/>
          <w:sz w:val="21"/>
          <w:szCs w:val="21"/>
        </w:rPr>
        <w:t xml:space="preserve">los </w:t>
      </w:r>
      <w:r>
        <w:rPr>
          <w:rFonts w:ascii="Arial" w:hAnsi="Arial" w:cs="Arial"/>
          <w:color w:val="251E1F"/>
          <w:sz w:val="21"/>
          <w:szCs w:val="21"/>
        </w:rPr>
        <w:t xml:space="preserve">términos de </w:t>
      </w:r>
      <w:r>
        <w:rPr>
          <w:rFonts w:ascii="Arial" w:hAnsi="Arial" w:cs="Arial"/>
          <w:color w:val="140C0E"/>
          <w:sz w:val="21"/>
          <w:szCs w:val="21"/>
        </w:rPr>
        <w:t xml:space="preserve">lo </w:t>
      </w:r>
      <w:r>
        <w:rPr>
          <w:rFonts w:ascii="Arial" w:hAnsi="Arial" w:cs="Arial"/>
          <w:color w:val="251E1F"/>
          <w:sz w:val="21"/>
          <w:szCs w:val="21"/>
        </w:rPr>
        <w:t xml:space="preserve">previsto por </w:t>
      </w:r>
      <w:r>
        <w:rPr>
          <w:rFonts w:ascii="Arial" w:hAnsi="Arial" w:cs="Arial"/>
          <w:color w:val="140C0E"/>
          <w:sz w:val="21"/>
          <w:szCs w:val="21"/>
        </w:rPr>
        <w:t xml:space="preserve">la Ley </w:t>
      </w:r>
      <w:r>
        <w:rPr>
          <w:rFonts w:ascii="Arial" w:hAnsi="Arial" w:cs="Arial"/>
          <w:color w:val="251E1F"/>
          <w:sz w:val="21"/>
          <w:szCs w:val="21"/>
        </w:rPr>
        <w:t xml:space="preserve">en conjunto con su superior </w:t>
      </w:r>
      <w:r>
        <w:rPr>
          <w:rFonts w:ascii="Arial" w:hAnsi="Arial" w:cs="Arial"/>
          <w:color w:val="140C0E"/>
          <w:sz w:val="21"/>
          <w:szCs w:val="21"/>
        </w:rPr>
        <w:t>jerárquico;</w:t>
      </w:r>
    </w:p>
    <w:p w:rsidR="00776553" w:rsidRDefault="00776553" w:rsidP="007765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  <w:sz w:val="21"/>
          <w:szCs w:val="21"/>
        </w:rPr>
      </w:pPr>
      <w:r>
        <w:rPr>
          <w:rFonts w:ascii="Arial" w:hAnsi="Arial" w:cs="Arial"/>
          <w:color w:val="251E1F"/>
          <w:sz w:val="21"/>
          <w:szCs w:val="21"/>
        </w:rPr>
        <w:t xml:space="preserve">VII. </w:t>
      </w:r>
      <w:r>
        <w:rPr>
          <w:rFonts w:ascii="Arial" w:hAnsi="Arial" w:cs="Arial"/>
          <w:color w:val="140C0E"/>
          <w:sz w:val="21"/>
          <w:szCs w:val="21"/>
        </w:rPr>
        <w:t xml:space="preserve">Llevar </w:t>
      </w:r>
      <w:r>
        <w:rPr>
          <w:rFonts w:ascii="Arial" w:hAnsi="Arial" w:cs="Arial"/>
          <w:color w:val="251E1F"/>
          <w:sz w:val="21"/>
          <w:szCs w:val="21"/>
        </w:rPr>
        <w:t xml:space="preserve">el </w:t>
      </w:r>
      <w:r>
        <w:rPr>
          <w:rFonts w:ascii="Arial" w:hAnsi="Arial" w:cs="Arial"/>
          <w:color w:val="140C0E"/>
          <w:sz w:val="21"/>
          <w:szCs w:val="21"/>
        </w:rPr>
        <w:t xml:space="preserve">registro de </w:t>
      </w:r>
      <w:r>
        <w:rPr>
          <w:rFonts w:ascii="Arial" w:hAnsi="Arial" w:cs="Arial"/>
          <w:color w:val="251E1F"/>
          <w:sz w:val="21"/>
          <w:szCs w:val="21"/>
        </w:rPr>
        <w:t xml:space="preserve">actividades realizadas por </w:t>
      </w:r>
      <w:r>
        <w:rPr>
          <w:rFonts w:ascii="Arial" w:hAnsi="Arial" w:cs="Arial"/>
          <w:color w:val="140C0E"/>
          <w:sz w:val="21"/>
          <w:szCs w:val="21"/>
        </w:rPr>
        <w:t xml:space="preserve">la jefatura </w:t>
      </w:r>
      <w:r>
        <w:rPr>
          <w:rFonts w:ascii="Arial" w:hAnsi="Arial" w:cs="Arial"/>
          <w:color w:val="251E1F"/>
          <w:sz w:val="21"/>
          <w:szCs w:val="21"/>
        </w:rPr>
        <w:t>a su cargo; y</w:t>
      </w:r>
    </w:p>
    <w:p w:rsidR="00776553" w:rsidRPr="00776553" w:rsidRDefault="00776553" w:rsidP="0077655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C0E"/>
          <w:sz w:val="21"/>
          <w:szCs w:val="21"/>
        </w:rPr>
      </w:pPr>
      <w:r>
        <w:rPr>
          <w:rFonts w:ascii="Arial" w:hAnsi="Arial" w:cs="Arial"/>
          <w:color w:val="251E1F"/>
          <w:sz w:val="21"/>
          <w:szCs w:val="21"/>
        </w:rPr>
        <w:t xml:space="preserve">VIII. </w:t>
      </w:r>
      <w:r>
        <w:rPr>
          <w:rFonts w:ascii="Arial" w:hAnsi="Arial" w:cs="Arial"/>
          <w:color w:val="140C0E"/>
          <w:sz w:val="21"/>
          <w:szCs w:val="21"/>
        </w:rPr>
        <w:t xml:space="preserve">En </w:t>
      </w:r>
      <w:r>
        <w:rPr>
          <w:rFonts w:ascii="Arial" w:hAnsi="Arial" w:cs="Arial"/>
          <w:color w:val="251E1F"/>
          <w:sz w:val="21"/>
          <w:szCs w:val="21"/>
        </w:rPr>
        <w:t xml:space="preserve">materia de transparencia y archivos, con </w:t>
      </w:r>
      <w:r>
        <w:rPr>
          <w:rFonts w:ascii="Arial" w:hAnsi="Arial" w:cs="Arial"/>
          <w:color w:val="140C0E"/>
          <w:sz w:val="21"/>
          <w:szCs w:val="21"/>
        </w:rPr>
        <w:t xml:space="preserve">la </w:t>
      </w:r>
      <w:r>
        <w:rPr>
          <w:rFonts w:ascii="Arial" w:hAnsi="Arial" w:cs="Arial"/>
          <w:color w:val="251E1F"/>
          <w:sz w:val="21"/>
          <w:szCs w:val="21"/>
        </w:rPr>
        <w:t xml:space="preserve">supervisión del superior </w:t>
      </w:r>
      <w:r>
        <w:rPr>
          <w:rFonts w:ascii="Arial" w:hAnsi="Arial" w:cs="Arial"/>
          <w:color w:val="140C0E"/>
          <w:sz w:val="21"/>
          <w:szCs w:val="21"/>
        </w:rPr>
        <w:t xml:space="preserve">jerárquico, </w:t>
      </w:r>
      <w:r>
        <w:rPr>
          <w:rFonts w:ascii="Arial" w:hAnsi="Arial" w:cs="Arial"/>
          <w:color w:val="251E1F"/>
          <w:sz w:val="21"/>
          <w:szCs w:val="21"/>
        </w:rPr>
        <w:t xml:space="preserve">atender </w:t>
      </w:r>
      <w:r>
        <w:rPr>
          <w:rFonts w:ascii="Arial" w:hAnsi="Arial" w:cs="Arial"/>
          <w:color w:val="140C0E"/>
          <w:sz w:val="21"/>
          <w:szCs w:val="21"/>
        </w:rPr>
        <w:t xml:space="preserve">lo </w:t>
      </w:r>
      <w:r>
        <w:rPr>
          <w:rFonts w:ascii="Arial" w:hAnsi="Arial" w:cs="Arial"/>
          <w:color w:val="251E1F"/>
          <w:sz w:val="21"/>
          <w:szCs w:val="21"/>
        </w:rPr>
        <w:t xml:space="preserve">que </w:t>
      </w:r>
      <w:r>
        <w:rPr>
          <w:rFonts w:ascii="Arial" w:hAnsi="Arial" w:cs="Arial"/>
          <w:color w:val="140C0E"/>
          <w:sz w:val="21"/>
          <w:szCs w:val="21"/>
        </w:rPr>
        <w:t xml:space="preserve">le </w:t>
      </w:r>
      <w:r>
        <w:rPr>
          <w:rFonts w:ascii="Arial" w:hAnsi="Arial" w:cs="Arial"/>
          <w:color w:val="251E1F"/>
          <w:sz w:val="21"/>
          <w:szCs w:val="21"/>
        </w:rPr>
        <w:t>sea</w:t>
      </w:r>
      <w:bookmarkStart w:id="0" w:name="_GoBack"/>
      <w:bookmarkEnd w:id="0"/>
      <w:r>
        <w:rPr>
          <w:rFonts w:ascii="Arial" w:hAnsi="Arial" w:cs="Arial"/>
          <w:color w:val="251E1F"/>
          <w:sz w:val="21"/>
          <w:szCs w:val="21"/>
        </w:rPr>
        <w:t xml:space="preserve"> encomendado.</w:t>
      </w:r>
    </w:p>
    <w:p w:rsidR="00776553" w:rsidRDefault="00776553" w:rsidP="00D806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D0E"/>
        </w:rPr>
      </w:pPr>
    </w:p>
    <w:p w:rsidR="00086A04" w:rsidRDefault="00086A04" w:rsidP="00D806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 xml:space="preserve">presente Reglamento Orgánico fue aprobado por unanimidad de votos por </w:t>
      </w:r>
      <w:r w:rsidR="00D8061C">
        <w:rPr>
          <w:rFonts w:ascii="Arial" w:hAnsi="Arial" w:cs="Arial"/>
          <w:color w:val="140D0E"/>
        </w:rPr>
        <w:t xml:space="preserve">los </w:t>
      </w:r>
      <w:r>
        <w:rPr>
          <w:rFonts w:ascii="Arial" w:hAnsi="Arial" w:cs="Arial"/>
          <w:color w:val="140D0E"/>
        </w:rPr>
        <w:t xml:space="preserve">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086A04" w:rsidRDefault="00086A04" w:rsidP="002A3ABB">
      <w:pPr>
        <w:jc w:val="both"/>
        <w:rPr>
          <w:rFonts w:ascii="Arial" w:hAnsi="Arial" w:cs="Arial"/>
          <w:color w:val="261F20"/>
        </w:rPr>
      </w:pPr>
    </w:p>
    <w:p w:rsidR="00FA601B" w:rsidRPr="00086A04" w:rsidRDefault="00086A04" w:rsidP="00086A04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261F20"/>
        </w:rPr>
        <w:t xml:space="preserve">El contenido puede ser consultado en la siguiente liga: </w:t>
      </w:r>
      <w:hyperlink r:id="rId6" w:history="1">
        <w:r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>
        <w:rPr>
          <w:rFonts w:ascii="Arial" w:hAnsi="Arial" w:cs="Arial"/>
        </w:rPr>
        <w:t xml:space="preserve"> </w:t>
      </w:r>
    </w:p>
    <w:sectPr w:rsidR="00FA601B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8585F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9278E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557533"/>
    <w:multiLevelType w:val="hybridMultilevel"/>
    <w:tmpl w:val="0B9813FA"/>
    <w:lvl w:ilvl="0" w:tplc="E1A648F4">
      <w:start w:val="8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20DD"/>
    <w:rsid w:val="00086A04"/>
    <w:rsid w:val="00146F5E"/>
    <w:rsid w:val="002A3ABB"/>
    <w:rsid w:val="002D0FB3"/>
    <w:rsid w:val="00390618"/>
    <w:rsid w:val="003D658F"/>
    <w:rsid w:val="006C698B"/>
    <w:rsid w:val="00776553"/>
    <w:rsid w:val="007F266D"/>
    <w:rsid w:val="008519D2"/>
    <w:rsid w:val="008A74B1"/>
    <w:rsid w:val="00A775E7"/>
    <w:rsid w:val="00AA5A39"/>
    <w:rsid w:val="00B33607"/>
    <w:rsid w:val="00BE1EF9"/>
    <w:rsid w:val="00CA3768"/>
    <w:rsid w:val="00CC5B47"/>
    <w:rsid w:val="00D50DC7"/>
    <w:rsid w:val="00D8061C"/>
    <w:rsid w:val="00ED59BE"/>
    <w:rsid w:val="00EF7733"/>
    <w:rsid w:val="00FA601B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epacslp.org.mx/ceepac/uploads2/files/reglamentos/Reglamento%20Org%C3%A1nico%20compri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328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22</cp:revision>
  <dcterms:created xsi:type="dcterms:W3CDTF">2020-11-25T17:48:00Z</dcterms:created>
  <dcterms:modified xsi:type="dcterms:W3CDTF">2020-11-25T19:59:00Z</dcterms:modified>
</cp:coreProperties>
</file>