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bookmarkStart w:id="0" w:name="_GoBack"/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La exención o condonación de créditos fiscales realizada por el gobierno a través de su autoridad fiscalizadora, consiste en la exclusión total o parcial de la obligación de pago de los sujetos pasivos del </w:t>
            </w:r>
            <w:proofErr w:type="gramStart"/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impuesto .</w:t>
            </w:r>
            <w:proofErr w:type="gramEnd"/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Generalmente en los códigos fiscales correspondientes se determinan los tipos de condonaciones.</w:t>
            </w:r>
          </w:p>
        </w:tc>
      </w:tr>
      <w:bookmarkEnd w:id="0"/>
    </w:tbl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0D093F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NO SE GENERO INFORMACIÓN DE CONTRIBUYENTES QUE RECIBIERON CANCELACIÓN O CONDONACIÓN DE CRÉDITOS FISCALES, ACUERDO AL ARTICULO 18 Y 19 DE LA LEY DE TRANSPARENCIA. NO SE OTORGARON CONDONACIONES, EN EL MES DE  FEBRERO DEL 2020.</w:t>
      </w:r>
    </w:p>
    <w:sectPr w:rsidR="000D093F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B84"/>
    <w:rsid w:val="003E5B84"/>
    <w:rsid w:val="00930C81"/>
    <w:rsid w:val="00A76CCC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563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2</cp:revision>
  <dcterms:created xsi:type="dcterms:W3CDTF">2020-11-09T15:34:00Z</dcterms:created>
  <dcterms:modified xsi:type="dcterms:W3CDTF">2020-11-09T15:35:00Z</dcterms:modified>
</cp:coreProperties>
</file>