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758757" w14:textId="39198BCE" w:rsidR="00781D2F" w:rsidRDefault="00B57CB0" w:rsidP="00E51C09">
      <w:pPr>
        <w:ind w:left="4248"/>
        <w:jc w:val="center"/>
        <w:rPr>
          <w:rFonts w:ascii="Arial" w:hAnsi="Arial" w:cs="Arial"/>
          <w:b/>
          <w:szCs w:val="16"/>
          <w:lang w:val="es-MX"/>
        </w:rPr>
      </w:pPr>
      <w:bookmarkStart w:id="0" w:name="_GoBack"/>
      <w:bookmarkEnd w:id="0"/>
      <w:r>
        <w:rPr>
          <w:rFonts w:ascii="Arial" w:hAnsi="Arial" w:cs="Arial"/>
          <w:b/>
          <w:szCs w:val="16"/>
          <w:lang w:val="es-MX"/>
        </w:rPr>
        <w:t>San Luis Potosí, S.L.P., a 2</w:t>
      </w:r>
      <w:r w:rsidR="00DC25ED">
        <w:rPr>
          <w:rFonts w:ascii="Arial" w:hAnsi="Arial" w:cs="Arial"/>
          <w:b/>
          <w:szCs w:val="16"/>
          <w:lang w:val="es-MX"/>
        </w:rPr>
        <w:t>6</w:t>
      </w:r>
      <w:r w:rsidR="00E51C09">
        <w:rPr>
          <w:rFonts w:ascii="Arial" w:hAnsi="Arial" w:cs="Arial"/>
          <w:b/>
          <w:szCs w:val="16"/>
          <w:lang w:val="es-MX"/>
        </w:rPr>
        <w:t xml:space="preserve"> </w:t>
      </w:r>
      <w:r w:rsidR="00781D2F">
        <w:rPr>
          <w:rFonts w:ascii="Arial" w:hAnsi="Arial" w:cs="Arial"/>
          <w:b/>
          <w:szCs w:val="16"/>
          <w:lang w:val="es-MX"/>
        </w:rPr>
        <w:t xml:space="preserve">de </w:t>
      </w:r>
      <w:r w:rsidR="00DC25ED">
        <w:rPr>
          <w:rFonts w:ascii="Arial" w:hAnsi="Arial" w:cs="Arial"/>
          <w:b/>
          <w:szCs w:val="16"/>
          <w:lang w:val="es-MX"/>
        </w:rPr>
        <w:t>febrero</w:t>
      </w:r>
      <w:r w:rsidR="00781D2F">
        <w:rPr>
          <w:rFonts w:ascii="Arial" w:hAnsi="Arial" w:cs="Arial"/>
          <w:b/>
          <w:szCs w:val="16"/>
          <w:lang w:val="es-MX"/>
        </w:rPr>
        <w:t xml:space="preserve"> de 20</w:t>
      </w:r>
      <w:r w:rsidR="006F4431">
        <w:rPr>
          <w:rFonts w:ascii="Arial" w:hAnsi="Arial" w:cs="Arial"/>
          <w:b/>
          <w:szCs w:val="16"/>
          <w:lang w:val="es-MX"/>
        </w:rPr>
        <w:t>2</w:t>
      </w:r>
      <w:r w:rsidR="00E51C09">
        <w:rPr>
          <w:rFonts w:ascii="Arial" w:hAnsi="Arial" w:cs="Arial"/>
          <w:b/>
          <w:szCs w:val="16"/>
          <w:lang w:val="es-MX"/>
        </w:rPr>
        <w:t>1</w:t>
      </w:r>
    </w:p>
    <w:p w14:paraId="1E57B20A" w14:textId="1322F3D9" w:rsidR="00781D2F" w:rsidRDefault="00781D2F" w:rsidP="00687D08">
      <w:pPr>
        <w:jc w:val="right"/>
        <w:rPr>
          <w:rFonts w:ascii="Arial" w:hAnsi="Arial" w:cs="Arial"/>
          <w:b/>
          <w:szCs w:val="16"/>
          <w:lang w:val="es-MX"/>
        </w:rPr>
      </w:pPr>
    </w:p>
    <w:p w14:paraId="38C006D0" w14:textId="46B44B46" w:rsidR="00961F3B" w:rsidRPr="00CA72A2" w:rsidRDefault="00961F3B" w:rsidP="00687D08">
      <w:pPr>
        <w:jc w:val="right"/>
        <w:rPr>
          <w:rFonts w:ascii="Arial" w:hAnsi="Arial" w:cs="Arial"/>
          <w:szCs w:val="16"/>
          <w:lang w:val="es-MX"/>
        </w:rPr>
      </w:pPr>
    </w:p>
    <w:p w14:paraId="39DDFF55" w14:textId="322DD8ED" w:rsidR="00961F3B" w:rsidRDefault="00DC25ED" w:rsidP="006F4431">
      <w:pPr>
        <w:jc w:val="center"/>
        <w:rPr>
          <w:rFonts w:ascii="Arial" w:hAnsi="Arial" w:cs="Arial"/>
          <w:b/>
          <w:szCs w:val="16"/>
          <w:lang w:val="es-MX"/>
        </w:rPr>
      </w:pPr>
      <w:r>
        <w:rPr>
          <w:rFonts w:ascii="Arial" w:hAnsi="Arial" w:cs="Arial"/>
          <w:b/>
          <w:szCs w:val="16"/>
          <w:lang w:val="es-MX"/>
        </w:rPr>
        <w:t>FEBRERO</w:t>
      </w:r>
      <w:r w:rsidR="006F4431" w:rsidRPr="006F4431">
        <w:rPr>
          <w:rFonts w:ascii="Arial" w:hAnsi="Arial" w:cs="Arial"/>
          <w:b/>
          <w:szCs w:val="16"/>
          <w:lang w:val="es-MX"/>
        </w:rPr>
        <w:t xml:space="preserve"> 202</w:t>
      </w:r>
      <w:r w:rsidR="00E51C09">
        <w:rPr>
          <w:rFonts w:ascii="Arial" w:hAnsi="Arial" w:cs="Arial"/>
          <w:b/>
          <w:szCs w:val="16"/>
          <w:lang w:val="es-MX"/>
        </w:rPr>
        <w:t>1</w:t>
      </w:r>
    </w:p>
    <w:p w14:paraId="72FEFC1A" w14:textId="77777777" w:rsidR="00D36E3F" w:rsidRDefault="00D36E3F" w:rsidP="006F4431">
      <w:pPr>
        <w:jc w:val="center"/>
        <w:rPr>
          <w:rFonts w:ascii="Arial" w:hAnsi="Arial" w:cs="Arial"/>
          <w:b/>
          <w:szCs w:val="16"/>
          <w:lang w:val="es-MX"/>
        </w:rPr>
      </w:pPr>
      <w:r>
        <w:rPr>
          <w:rFonts w:ascii="Arial" w:hAnsi="Arial" w:cs="Arial"/>
          <w:b/>
          <w:szCs w:val="16"/>
          <w:lang w:val="es-MX"/>
        </w:rPr>
        <w:t xml:space="preserve">Información pública de oficio </w:t>
      </w:r>
    </w:p>
    <w:p w14:paraId="4E3402DE" w14:textId="3B1A5985" w:rsidR="00D36E3F" w:rsidRDefault="00D36E3F" w:rsidP="006F4431">
      <w:pPr>
        <w:jc w:val="center"/>
        <w:rPr>
          <w:rFonts w:ascii="Arial" w:hAnsi="Arial" w:cs="Arial"/>
          <w:b/>
          <w:szCs w:val="16"/>
          <w:lang w:val="es-MX"/>
        </w:rPr>
      </w:pPr>
      <w:r>
        <w:rPr>
          <w:rFonts w:ascii="Arial" w:hAnsi="Arial" w:cs="Arial"/>
          <w:b/>
          <w:szCs w:val="16"/>
          <w:lang w:val="es-MX"/>
        </w:rPr>
        <w:t>artículo 84, fracción XLII A</w:t>
      </w:r>
    </w:p>
    <w:p w14:paraId="7CE928B1" w14:textId="2E3C9CF9" w:rsidR="00D36E3F" w:rsidRPr="006F4431" w:rsidRDefault="00D36E3F" w:rsidP="006F4431">
      <w:pPr>
        <w:jc w:val="center"/>
        <w:rPr>
          <w:rFonts w:ascii="Arial" w:hAnsi="Arial" w:cs="Arial"/>
          <w:b/>
          <w:szCs w:val="16"/>
          <w:lang w:val="es-MX"/>
        </w:rPr>
      </w:pPr>
      <w:r>
        <w:rPr>
          <w:rFonts w:ascii="Arial" w:hAnsi="Arial" w:cs="Arial"/>
          <w:b/>
          <w:szCs w:val="16"/>
          <w:lang w:val="es-MX"/>
        </w:rPr>
        <w:t>LAIPESLP</w:t>
      </w:r>
    </w:p>
    <w:p w14:paraId="149932AD" w14:textId="662547B3" w:rsidR="00961F3B" w:rsidRPr="00CA72A2" w:rsidRDefault="00961F3B" w:rsidP="00961F3B">
      <w:pPr>
        <w:rPr>
          <w:rFonts w:ascii="Arial" w:hAnsi="Arial" w:cs="Arial"/>
          <w:szCs w:val="16"/>
          <w:lang w:val="es-MX"/>
        </w:rPr>
      </w:pPr>
    </w:p>
    <w:p w14:paraId="0889E4AE" w14:textId="38F33886" w:rsidR="006F4431" w:rsidRDefault="006F4431" w:rsidP="006F4431">
      <w:pPr>
        <w:jc w:val="both"/>
        <w:rPr>
          <w:rFonts w:ascii="Arial" w:hAnsi="Arial" w:cs="Arial"/>
          <w:szCs w:val="16"/>
          <w:lang w:val="es-MX"/>
        </w:rPr>
      </w:pPr>
      <w:r w:rsidRPr="006F4431">
        <w:rPr>
          <w:rFonts w:ascii="Arial" w:hAnsi="Arial" w:cs="Arial"/>
          <w:szCs w:val="16"/>
          <w:lang w:val="es-MX"/>
        </w:rPr>
        <w:t>La información que se solicita en el format</w:t>
      </w:r>
      <w:r>
        <w:rPr>
          <w:rFonts w:ascii="Arial" w:hAnsi="Arial" w:cs="Arial"/>
          <w:szCs w:val="16"/>
          <w:lang w:val="es-MX"/>
        </w:rPr>
        <w:t>o</w:t>
      </w:r>
      <w:r w:rsidRPr="006F4431">
        <w:rPr>
          <w:rFonts w:ascii="Arial" w:hAnsi="Arial" w:cs="Arial"/>
          <w:szCs w:val="16"/>
          <w:lang w:val="es-MX"/>
        </w:rPr>
        <w:t xml:space="preserve"> preestablecido por la Comisi</w:t>
      </w:r>
      <w:r>
        <w:rPr>
          <w:rFonts w:ascii="Arial" w:hAnsi="Arial" w:cs="Arial"/>
          <w:szCs w:val="16"/>
          <w:lang w:val="es-MX"/>
        </w:rPr>
        <w:t xml:space="preserve">ón Estatal de Garantía de Acceso a la Información Pública del Estado de San Luis Potosí, y que fue establecido para dar cumplimiento a la información pública que de oficio debe darse a conocer a través de su portal de acceso y así dar cumplimiento a lo establecido en el artículo 84, fracción XLII de la Ley de Acceso a la Información Pública para el Estado de San Luis Potosí, que se refiere a y se cita: </w:t>
      </w:r>
    </w:p>
    <w:p w14:paraId="58921417" w14:textId="77777777" w:rsidR="006F4431" w:rsidRDefault="006F4431" w:rsidP="006F4431">
      <w:pPr>
        <w:jc w:val="both"/>
        <w:rPr>
          <w:rFonts w:ascii="Arial" w:hAnsi="Arial" w:cs="Arial"/>
          <w:szCs w:val="16"/>
          <w:lang w:val="es-MX"/>
        </w:rPr>
      </w:pPr>
    </w:p>
    <w:p w14:paraId="7F356400" w14:textId="2D16A3AE" w:rsidR="006F4431" w:rsidRDefault="006F4431" w:rsidP="006F4431">
      <w:pPr>
        <w:jc w:val="both"/>
        <w:rPr>
          <w:rFonts w:ascii="Arial" w:hAnsi="Arial" w:cs="Arial"/>
          <w:szCs w:val="16"/>
          <w:lang w:val="es-MX"/>
        </w:rPr>
      </w:pPr>
      <w:r>
        <w:rPr>
          <w:rFonts w:ascii="Arial" w:hAnsi="Arial" w:cs="Arial"/>
          <w:szCs w:val="16"/>
          <w:lang w:val="es-MX"/>
        </w:rPr>
        <w:t>“</w:t>
      </w:r>
      <w:r w:rsidRPr="006F4431">
        <w:rPr>
          <w:rFonts w:ascii="Arial" w:hAnsi="Arial" w:cs="Arial"/>
          <w:szCs w:val="16"/>
          <w:lang w:val="es-MX"/>
        </w:rPr>
        <w:t>Las recomendaciones emitidas por los órganos públicos del Estado mexicano u organismos</w:t>
      </w:r>
      <w:r>
        <w:rPr>
          <w:rFonts w:ascii="Arial" w:hAnsi="Arial" w:cs="Arial"/>
          <w:szCs w:val="16"/>
          <w:lang w:val="es-MX"/>
        </w:rPr>
        <w:t xml:space="preserve"> </w:t>
      </w:r>
      <w:r w:rsidRPr="006F4431">
        <w:rPr>
          <w:rFonts w:ascii="Arial" w:hAnsi="Arial" w:cs="Arial"/>
          <w:szCs w:val="16"/>
          <w:lang w:val="es-MX"/>
        </w:rPr>
        <w:t>internacionales garantes de los derechos humanos, así como las acciones que han llevado a</w:t>
      </w:r>
      <w:r>
        <w:rPr>
          <w:rFonts w:ascii="Arial" w:hAnsi="Arial" w:cs="Arial"/>
          <w:szCs w:val="16"/>
          <w:lang w:val="es-MX"/>
        </w:rPr>
        <w:t xml:space="preserve"> </w:t>
      </w:r>
      <w:r w:rsidRPr="006F4431">
        <w:rPr>
          <w:rFonts w:ascii="Arial" w:hAnsi="Arial" w:cs="Arial"/>
          <w:szCs w:val="16"/>
          <w:lang w:val="es-MX"/>
        </w:rPr>
        <w:t>cabo para su atención, hasta su total cumplimiento</w:t>
      </w:r>
      <w:r>
        <w:rPr>
          <w:rFonts w:ascii="Arial" w:hAnsi="Arial" w:cs="Arial"/>
          <w:szCs w:val="16"/>
          <w:lang w:val="es-MX"/>
        </w:rPr>
        <w:t>.”</w:t>
      </w:r>
      <w:r w:rsidRPr="006F4431">
        <w:rPr>
          <w:rFonts w:ascii="Arial" w:hAnsi="Arial" w:cs="Arial"/>
          <w:szCs w:val="16"/>
          <w:lang w:val="es-MX"/>
        </w:rPr>
        <w:cr/>
      </w:r>
    </w:p>
    <w:p w14:paraId="5B33FA01" w14:textId="1F83450A" w:rsidR="0078679C" w:rsidRDefault="0078679C" w:rsidP="00961F3B">
      <w:pPr>
        <w:jc w:val="both"/>
        <w:rPr>
          <w:rFonts w:ascii="Arial" w:hAnsi="Arial" w:cs="Arial"/>
          <w:szCs w:val="16"/>
          <w:lang w:val="es-MX"/>
        </w:rPr>
      </w:pPr>
      <w:r>
        <w:rPr>
          <w:rFonts w:ascii="Arial" w:hAnsi="Arial" w:cs="Arial"/>
          <w:szCs w:val="16"/>
          <w:lang w:val="es-MX"/>
        </w:rPr>
        <w:t xml:space="preserve">Por lo que se explica que en relación a la información requerida </w:t>
      </w:r>
      <w:r w:rsidR="006F4431">
        <w:rPr>
          <w:rFonts w:ascii="Arial" w:hAnsi="Arial" w:cs="Arial"/>
          <w:szCs w:val="16"/>
          <w:lang w:val="es-MX"/>
        </w:rPr>
        <w:t>en dicho formato</w:t>
      </w:r>
      <w:r>
        <w:rPr>
          <w:rFonts w:ascii="Arial" w:hAnsi="Arial" w:cs="Arial"/>
          <w:szCs w:val="16"/>
          <w:lang w:val="es-MX"/>
        </w:rPr>
        <w:t xml:space="preserve"> de </w:t>
      </w:r>
      <w:r w:rsidR="00893FD9">
        <w:rPr>
          <w:rFonts w:ascii="Arial" w:hAnsi="Arial" w:cs="Arial"/>
          <w:szCs w:val="16"/>
          <w:lang w:val="es-MX"/>
        </w:rPr>
        <w:t>Excel</w:t>
      </w:r>
      <w:r>
        <w:rPr>
          <w:rFonts w:ascii="Arial" w:hAnsi="Arial" w:cs="Arial"/>
          <w:szCs w:val="16"/>
          <w:lang w:val="es-MX"/>
        </w:rPr>
        <w:t>:</w:t>
      </w:r>
    </w:p>
    <w:p w14:paraId="60A74A1C" w14:textId="2415429E" w:rsidR="0078679C" w:rsidRDefault="0078679C" w:rsidP="00961F3B">
      <w:pPr>
        <w:jc w:val="both"/>
        <w:rPr>
          <w:rFonts w:ascii="Arial" w:hAnsi="Arial" w:cs="Arial"/>
          <w:szCs w:val="16"/>
          <w:lang w:val="es-MX"/>
        </w:rPr>
      </w:pPr>
    </w:p>
    <w:p w14:paraId="5EA966A3" w14:textId="29FC69DD" w:rsidR="00DC25ED" w:rsidRDefault="00DC25ED" w:rsidP="00961F3B">
      <w:pPr>
        <w:jc w:val="both"/>
        <w:rPr>
          <w:rFonts w:ascii="Arial" w:hAnsi="Arial" w:cs="Arial"/>
          <w:szCs w:val="16"/>
          <w:lang w:val="es-MX"/>
        </w:rPr>
      </w:pPr>
      <w:r>
        <w:rPr>
          <w:rFonts w:ascii="Arial" w:hAnsi="Arial" w:cs="Arial"/>
          <w:szCs w:val="16"/>
          <w:lang w:val="es-MX"/>
        </w:rPr>
        <w:t>Columna “</w:t>
      </w:r>
      <w:r w:rsidRPr="00DC25ED">
        <w:rPr>
          <w:rFonts w:ascii="Arial" w:hAnsi="Arial" w:cs="Arial"/>
          <w:b/>
          <w:szCs w:val="16"/>
          <w:lang w:val="es-MX"/>
        </w:rPr>
        <w:t>G</w:t>
      </w:r>
      <w:r>
        <w:rPr>
          <w:rFonts w:ascii="Arial" w:hAnsi="Arial" w:cs="Arial"/>
          <w:szCs w:val="16"/>
          <w:lang w:val="es-MX"/>
        </w:rPr>
        <w:t>”, en donde se solicita se capture la información relativa al “</w:t>
      </w:r>
      <w:r w:rsidRPr="00DC25ED">
        <w:rPr>
          <w:rFonts w:ascii="Arial" w:hAnsi="Arial" w:cs="Arial"/>
          <w:b/>
          <w:szCs w:val="16"/>
          <w:lang w:val="es-MX"/>
        </w:rPr>
        <w:t>tipo de recomendación</w:t>
      </w:r>
      <w:r>
        <w:rPr>
          <w:rFonts w:ascii="Arial" w:hAnsi="Arial" w:cs="Arial"/>
          <w:szCs w:val="16"/>
          <w:lang w:val="es-MX"/>
        </w:rPr>
        <w:t>” no se captura información al no generarse información en el periodo que se informa.</w:t>
      </w:r>
    </w:p>
    <w:p w14:paraId="7F333794" w14:textId="01E982B0" w:rsidR="00DC25ED" w:rsidRDefault="00DC25ED" w:rsidP="00961F3B">
      <w:pPr>
        <w:jc w:val="both"/>
        <w:rPr>
          <w:rFonts w:ascii="Arial" w:hAnsi="Arial" w:cs="Arial"/>
          <w:szCs w:val="16"/>
          <w:lang w:val="es-MX"/>
        </w:rPr>
      </w:pPr>
    </w:p>
    <w:p w14:paraId="2344C35A" w14:textId="2F2A6F00" w:rsidR="00DC25ED" w:rsidRDefault="00DC25ED" w:rsidP="00DC25ED">
      <w:pPr>
        <w:jc w:val="both"/>
        <w:rPr>
          <w:rFonts w:ascii="Arial" w:hAnsi="Arial" w:cs="Arial"/>
          <w:szCs w:val="16"/>
          <w:lang w:val="es-MX"/>
        </w:rPr>
      </w:pPr>
      <w:r>
        <w:rPr>
          <w:rFonts w:ascii="Arial" w:hAnsi="Arial" w:cs="Arial"/>
          <w:szCs w:val="16"/>
          <w:lang w:val="es-MX"/>
        </w:rPr>
        <w:t>Columna “</w:t>
      </w:r>
      <w:r w:rsidRPr="00DC25ED">
        <w:rPr>
          <w:rFonts w:ascii="Arial" w:hAnsi="Arial" w:cs="Arial"/>
          <w:b/>
          <w:szCs w:val="16"/>
          <w:lang w:val="es-MX"/>
        </w:rPr>
        <w:t>k</w:t>
      </w:r>
      <w:r>
        <w:rPr>
          <w:rFonts w:ascii="Arial" w:hAnsi="Arial" w:cs="Arial"/>
          <w:szCs w:val="16"/>
          <w:lang w:val="es-MX"/>
        </w:rPr>
        <w:t>”, en donde se solicita se capture la información relativa al “</w:t>
      </w:r>
      <w:r>
        <w:rPr>
          <w:rFonts w:ascii="Arial" w:hAnsi="Arial" w:cs="Arial"/>
          <w:b/>
          <w:szCs w:val="16"/>
          <w:lang w:val="es-MX"/>
        </w:rPr>
        <w:t>Estatus de la recomendación</w:t>
      </w:r>
      <w:r>
        <w:rPr>
          <w:rFonts w:ascii="Arial" w:hAnsi="Arial" w:cs="Arial"/>
          <w:szCs w:val="16"/>
          <w:lang w:val="es-MX"/>
        </w:rPr>
        <w:t>” no se captura información al no generarse información en el periodo que se informa.</w:t>
      </w:r>
    </w:p>
    <w:p w14:paraId="76473DE6" w14:textId="261EA7F4" w:rsidR="00DC25ED" w:rsidRDefault="00DC25ED" w:rsidP="00961F3B">
      <w:pPr>
        <w:jc w:val="both"/>
        <w:rPr>
          <w:rFonts w:ascii="Arial" w:hAnsi="Arial" w:cs="Arial"/>
          <w:szCs w:val="16"/>
          <w:lang w:val="es-MX"/>
        </w:rPr>
      </w:pPr>
    </w:p>
    <w:p w14:paraId="011E0EBE" w14:textId="24550585" w:rsidR="00DC25ED" w:rsidRDefault="00DC25ED" w:rsidP="00961F3B">
      <w:pPr>
        <w:jc w:val="both"/>
        <w:rPr>
          <w:rFonts w:ascii="Arial" w:hAnsi="Arial" w:cs="Arial"/>
          <w:szCs w:val="16"/>
          <w:lang w:val="es-MX"/>
        </w:rPr>
      </w:pPr>
      <w:r>
        <w:rPr>
          <w:rFonts w:ascii="Arial" w:hAnsi="Arial" w:cs="Arial"/>
          <w:szCs w:val="16"/>
          <w:lang w:val="es-MX"/>
        </w:rPr>
        <w:t>Columna “</w:t>
      </w:r>
      <w:r w:rsidRPr="00DC25ED">
        <w:rPr>
          <w:rFonts w:ascii="Arial" w:hAnsi="Arial" w:cs="Arial"/>
          <w:b/>
          <w:szCs w:val="16"/>
          <w:lang w:val="es-MX"/>
        </w:rPr>
        <w:t>M</w:t>
      </w:r>
      <w:r>
        <w:rPr>
          <w:rFonts w:ascii="Arial" w:hAnsi="Arial" w:cs="Arial"/>
          <w:szCs w:val="16"/>
          <w:lang w:val="es-MX"/>
        </w:rPr>
        <w:t>”, en donde se solita se capture la información relativa al “Hipervínculo al documento de la Recomendación, no se captura el vínculo al no generarse información en el periodo que se informa.</w:t>
      </w:r>
    </w:p>
    <w:p w14:paraId="1552FF4B" w14:textId="77777777" w:rsidR="00DC25ED" w:rsidRDefault="00DC25ED" w:rsidP="00961F3B">
      <w:pPr>
        <w:jc w:val="both"/>
        <w:rPr>
          <w:rFonts w:ascii="Arial" w:hAnsi="Arial" w:cs="Arial"/>
          <w:szCs w:val="16"/>
          <w:lang w:val="es-MX"/>
        </w:rPr>
      </w:pPr>
    </w:p>
    <w:p w14:paraId="4408E696" w14:textId="1E756597" w:rsidR="006F4431" w:rsidRPr="0078679C" w:rsidRDefault="0078679C" w:rsidP="00961F3B">
      <w:pPr>
        <w:jc w:val="both"/>
        <w:rPr>
          <w:rFonts w:ascii="Arial" w:hAnsi="Arial" w:cs="Arial"/>
          <w:b/>
          <w:szCs w:val="16"/>
          <w:lang w:val="es-MX"/>
        </w:rPr>
      </w:pPr>
      <w:r>
        <w:rPr>
          <w:rFonts w:ascii="Arial" w:hAnsi="Arial" w:cs="Arial"/>
          <w:szCs w:val="16"/>
          <w:lang w:val="es-MX"/>
        </w:rPr>
        <w:t>C</w:t>
      </w:r>
      <w:r w:rsidR="0032754D">
        <w:rPr>
          <w:rFonts w:ascii="Arial" w:hAnsi="Arial" w:cs="Arial"/>
          <w:szCs w:val="16"/>
          <w:lang w:val="es-MX"/>
        </w:rPr>
        <w:t>olumna “</w:t>
      </w:r>
      <w:r w:rsidR="0032754D" w:rsidRPr="0078679C">
        <w:rPr>
          <w:rFonts w:ascii="Arial" w:hAnsi="Arial" w:cs="Arial"/>
          <w:b/>
          <w:szCs w:val="16"/>
          <w:lang w:val="es-MX"/>
        </w:rPr>
        <w:t>W</w:t>
      </w:r>
      <w:r w:rsidR="0032754D">
        <w:rPr>
          <w:rFonts w:ascii="Arial" w:hAnsi="Arial" w:cs="Arial"/>
          <w:szCs w:val="16"/>
          <w:lang w:val="es-MX"/>
        </w:rPr>
        <w:t>”</w:t>
      </w:r>
      <w:r>
        <w:rPr>
          <w:rFonts w:ascii="Arial" w:hAnsi="Arial" w:cs="Arial"/>
          <w:szCs w:val="16"/>
          <w:lang w:val="es-MX"/>
        </w:rPr>
        <w:t xml:space="preserve">, en donde se solicita se capture </w:t>
      </w:r>
      <w:r w:rsidR="006F4431">
        <w:rPr>
          <w:rFonts w:ascii="Arial" w:hAnsi="Arial" w:cs="Arial"/>
          <w:szCs w:val="16"/>
          <w:lang w:val="es-MX"/>
        </w:rPr>
        <w:t xml:space="preserve">la información relativa al </w:t>
      </w:r>
      <w:r w:rsidRPr="0078679C">
        <w:rPr>
          <w:rFonts w:ascii="Arial" w:hAnsi="Arial" w:cs="Arial"/>
          <w:b/>
          <w:szCs w:val="16"/>
          <w:lang w:val="es-MX"/>
        </w:rPr>
        <w:t>“</w:t>
      </w:r>
      <w:r w:rsidR="006F4431" w:rsidRPr="0078679C">
        <w:rPr>
          <w:rFonts w:ascii="Arial" w:hAnsi="Arial" w:cs="Arial"/>
          <w:b/>
          <w:szCs w:val="16"/>
          <w:lang w:val="es-MX"/>
        </w:rPr>
        <w:t>Hipervínculo a la minuta de la comparecencia en su caso”</w:t>
      </w:r>
    </w:p>
    <w:p w14:paraId="05B7E3CC" w14:textId="7AAAADD3" w:rsidR="0032754D" w:rsidRDefault="0032754D" w:rsidP="00961F3B">
      <w:pPr>
        <w:jc w:val="both"/>
        <w:rPr>
          <w:rFonts w:ascii="Arial" w:hAnsi="Arial" w:cs="Arial"/>
          <w:szCs w:val="16"/>
          <w:lang w:val="es-MX"/>
        </w:rPr>
      </w:pPr>
    </w:p>
    <w:p w14:paraId="3DEFDC4E" w14:textId="1DB86501" w:rsidR="003328B5" w:rsidRDefault="003328B5" w:rsidP="00660159">
      <w:pPr>
        <w:ind w:left="708"/>
        <w:jc w:val="both"/>
        <w:rPr>
          <w:rFonts w:ascii="Arial" w:hAnsi="Arial" w:cs="Arial"/>
          <w:szCs w:val="16"/>
          <w:lang w:val="es-MX"/>
        </w:rPr>
      </w:pPr>
      <w:r>
        <w:rPr>
          <w:rFonts w:ascii="Arial" w:hAnsi="Arial" w:cs="Arial"/>
          <w:szCs w:val="16"/>
          <w:lang w:val="es-MX"/>
        </w:rPr>
        <w:t>Como se señala en el artículo 17, fracción I de la Constitución Política</w:t>
      </w:r>
      <w:r w:rsidR="0078679C">
        <w:rPr>
          <w:rFonts w:ascii="Arial" w:hAnsi="Arial" w:cs="Arial"/>
          <w:szCs w:val="16"/>
          <w:lang w:val="es-MX"/>
        </w:rPr>
        <w:t xml:space="preserve"> para el Estado de San Luis Potosí</w:t>
      </w:r>
      <w:r>
        <w:rPr>
          <w:rFonts w:ascii="Arial" w:hAnsi="Arial" w:cs="Arial"/>
          <w:szCs w:val="16"/>
          <w:lang w:val="es-MX"/>
        </w:rPr>
        <w:t xml:space="preserve">, el sistema no jurisdiccional de protección de los derechos humanos </w:t>
      </w:r>
      <w:r w:rsidR="000631DA">
        <w:rPr>
          <w:rFonts w:ascii="Arial" w:hAnsi="Arial" w:cs="Arial"/>
          <w:szCs w:val="16"/>
          <w:lang w:val="es-MX"/>
        </w:rPr>
        <w:t xml:space="preserve">en el Estado de San Luis Potosí, </w:t>
      </w:r>
      <w:r>
        <w:rPr>
          <w:rFonts w:ascii="Arial" w:hAnsi="Arial" w:cs="Arial"/>
          <w:szCs w:val="16"/>
          <w:lang w:val="es-MX"/>
        </w:rPr>
        <w:t xml:space="preserve">está a cargo de la Comisión Estatal de Derechos </w:t>
      </w:r>
      <w:r>
        <w:rPr>
          <w:rFonts w:ascii="Arial" w:hAnsi="Arial" w:cs="Arial"/>
          <w:szCs w:val="16"/>
          <w:lang w:val="es-MX"/>
        </w:rPr>
        <w:lastRenderedPageBreak/>
        <w:t xml:space="preserve">Humanos, y su </w:t>
      </w:r>
      <w:r w:rsidR="0032754D">
        <w:rPr>
          <w:rFonts w:ascii="Arial" w:hAnsi="Arial" w:cs="Arial"/>
          <w:szCs w:val="16"/>
          <w:lang w:val="es-MX"/>
        </w:rPr>
        <w:t>Ley</w:t>
      </w:r>
      <w:r>
        <w:rPr>
          <w:rStyle w:val="Refdenotaalpie"/>
          <w:rFonts w:ascii="Arial" w:hAnsi="Arial" w:cs="Arial"/>
          <w:szCs w:val="16"/>
          <w:lang w:val="es-MX"/>
        </w:rPr>
        <w:footnoteReference w:id="1"/>
      </w:r>
      <w:r w:rsidR="0032754D">
        <w:rPr>
          <w:rFonts w:ascii="Arial" w:hAnsi="Arial" w:cs="Arial"/>
          <w:szCs w:val="16"/>
          <w:lang w:val="es-MX"/>
        </w:rPr>
        <w:t>, precisa el proceso para que se dé una comparecencia por parte del titular de alguna Institución Pública, en su artículo 29</w:t>
      </w:r>
      <w:r>
        <w:rPr>
          <w:rFonts w:ascii="Arial" w:hAnsi="Arial" w:cs="Arial"/>
          <w:szCs w:val="16"/>
          <w:lang w:val="es-MX"/>
        </w:rPr>
        <w:t>.</w:t>
      </w:r>
      <w:r w:rsidR="000631DA">
        <w:rPr>
          <w:rFonts w:ascii="Arial" w:hAnsi="Arial" w:cs="Arial"/>
          <w:szCs w:val="16"/>
          <w:lang w:val="es-MX"/>
        </w:rPr>
        <w:t xml:space="preserve"> Por cuanto hace a las Recomendaciones emitidas por la Comisión Nacional de los Derechos Humanos, se señala el proceso en el artículo 102, aparatado B, párrafo segundo de la Constitución Política de los Estados Unidos Mexicanos </w:t>
      </w:r>
    </w:p>
    <w:p w14:paraId="7244ED80" w14:textId="77777777" w:rsidR="003328B5" w:rsidRDefault="003328B5" w:rsidP="00660159">
      <w:pPr>
        <w:ind w:left="708"/>
        <w:jc w:val="both"/>
        <w:rPr>
          <w:rFonts w:ascii="Arial" w:hAnsi="Arial" w:cs="Arial"/>
          <w:szCs w:val="16"/>
          <w:lang w:val="es-MX"/>
        </w:rPr>
      </w:pPr>
    </w:p>
    <w:p w14:paraId="00DB68A4" w14:textId="53B8CE95" w:rsidR="0032754D" w:rsidRDefault="003328B5" w:rsidP="00660159">
      <w:pPr>
        <w:ind w:left="708"/>
        <w:jc w:val="both"/>
        <w:rPr>
          <w:rFonts w:ascii="Arial" w:hAnsi="Arial" w:cs="Arial"/>
          <w:szCs w:val="16"/>
          <w:lang w:val="es-MX"/>
        </w:rPr>
      </w:pPr>
      <w:r>
        <w:rPr>
          <w:rFonts w:ascii="Arial" w:hAnsi="Arial" w:cs="Arial"/>
          <w:szCs w:val="16"/>
          <w:lang w:val="es-MX"/>
        </w:rPr>
        <w:t xml:space="preserve">Hipótesis, </w:t>
      </w:r>
      <w:r w:rsidR="0032754D">
        <w:rPr>
          <w:rFonts w:ascii="Arial" w:hAnsi="Arial" w:cs="Arial"/>
          <w:szCs w:val="16"/>
          <w:lang w:val="es-MX"/>
        </w:rPr>
        <w:t xml:space="preserve">que </w:t>
      </w:r>
      <w:r>
        <w:rPr>
          <w:rFonts w:ascii="Arial" w:hAnsi="Arial" w:cs="Arial"/>
          <w:szCs w:val="16"/>
          <w:lang w:val="es-MX"/>
        </w:rPr>
        <w:t>puede presentarse o no y que es facultad exclusiva d</w:t>
      </w:r>
      <w:r w:rsidR="0032754D">
        <w:rPr>
          <w:rFonts w:ascii="Arial" w:hAnsi="Arial" w:cs="Arial"/>
          <w:szCs w:val="16"/>
          <w:lang w:val="es-MX"/>
        </w:rPr>
        <w:t>el Congreso del Estado</w:t>
      </w:r>
      <w:r w:rsidR="000631DA">
        <w:rPr>
          <w:rFonts w:ascii="Arial" w:hAnsi="Arial" w:cs="Arial"/>
          <w:szCs w:val="16"/>
          <w:lang w:val="es-MX"/>
        </w:rPr>
        <w:t>, respecto a las emitidas por el Organismo Estatal Defensor de los Derechos Humanos y de la Cámara de Senadores respecto de las Emitidas por la Comisión Nacional Defensora de los Derechos Humanos; facultad que ejercen en sus respectivas competencias cuando han sida solicita la comparecencia por dicho organismos</w:t>
      </w:r>
      <w:r w:rsidR="0032754D">
        <w:rPr>
          <w:rFonts w:ascii="Arial" w:hAnsi="Arial" w:cs="Arial"/>
          <w:szCs w:val="16"/>
          <w:lang w:val="es-MX"/>
        </w:rPr>
        <w:t>, respecto a omisiones o prácticas recurrentes que violenten los Derechos Humanos</w:t>
      </w:r>
      <w:r w:rsidR="000631DA">
        <w:rPr>
          <w:rFonts w:ascii="Arial" w:hAnsi="Arial" w:cs="Arial"/>
          <w:szCs w:val="16"/>
          <w:lang w:val="es-MX"/>
        </w:rPr>
        <w:t xml:space="preserve"> por parte de la Fiscalía General del Estado </w:t>
      </w:r>
      <w:r w:rsidR="0078679C">
        <w:rPr>
          <w:rFonts w:ascii="Arial" w:hAnsi="Arial" w:cs="Arial"/>
          <w:szCs w:val="16"/>
          <w:lang w:val="es-MX"/>
        </w:rPr>
        <w:t xml:space="preserve">de San Luis Potosí, debido a </w:t>
      </w:r>
      <w:r w:rsidR="0032754D">
        <w:rPr>
          <w:rFonts w:ascii="Arial" w:hAnsi="Arial" w:cs="Arial"/>
          <w:szCs w:val="16"/>
          <w:lang w:val="es-MX"/>
        </w:rPr>
        <w:t>incumplimiento de recomendaciones para que explique públicamente su actuar.</w:t>
      </w:r>
    </w:p>
    <w:p w14:paraId="3D1AED3E" w14:textId="77777777" w:rsidR="009A07EC" w:rsidRDefault="009A07EC" w:rsidP="00660159">
      <w:pPr>
        <w:ind w:left="708"/>
        <w:jc w:val="both"/>
        <w:rPr>
          <w:rFonts w:ascii="Arial" w:hAnsi="Arial" w:cs="Arial"/>
          <w:szCs w:val="16"/>
          <w:lang w:val="es-MX"/>
        </w:rPr>
      </w:pPr>
    </w:p>
    <w:p w14:paraId="2EAF6EED" w14:textId="43E5765D" w:rsidR="0032754D" w:rsidRDefault="0078679C" w:rsidP="00660159">
      <w:pPr>
        <w:ind w:left="708"/>
        <w:jc w:val="both"/>
        <w:rPr>
          <w:rFonts w:ascii="Arial" w:hAnsi="Arial" w:cs="Arial"/>
          <w:szCs w:val="16"/>
          <w:lang w:val="es-MX"/>
        </w:rPr>
      </w:pPr>
      <w:r>
        <w:rPr>
          <w:rFonts w:ascii="Arial" w:hAnsi="Arial" w:cs="Arial"/>
          <w:szCs w:val="16"/>
          <w:lang w:val="es-MX"/>
        </w:rPr>
        <w:t xml:space="preserve">Dicho lo anterior </w:t>
      </w:r>
      <w:r w:rsidR="0032754D">
        <w:rPr>
          <w:rFonts w:ascii="Arial" w:hAnsi="Arial" w:cs="Arial"/>
          <w:szCs w:val="16"/>
          <w:lang w:val="es-MX"/>
        </w:rPr>
        <w:t xml:space="preserve">en el mes que se informa </w:t>
      </w:r>
      <w:r w:rsidR="00DC25ED">
        <w:rPr>
          <w:rFonts w:ascii="Arial" w:hAnsi="Arial" w:cs="Arial"/>
          <w:b/>
          <w:szCs w:val="16"/>
          <w:lang w:val="es-MX"/>
        </w:rPr>
        <w:t>febrero</w:t>
      </w:r>
      <w:r w:rsidR="0032754D" w:rsidRPr="003328B5">
        <w:rPr>
          <w:rFonts w:ascii="Arial" w:hAnsi="Arial" w:cs="Arial"/>
          <w:b/>
          <w:szCs w:val="16"/>
          <w:lang w:val="es-MX"/>
        </w:rPr>
        <w:t xml:space="preserve"> del 202</w:t>
      </w:r>
      <w:r w:rsidR="000631DA">
        <w:rPr>
          <w:rFonts w:ascii="Arial" w:hAnsi="Arial" w:cs="Arial"/>
          <w:b/>
          <w:szCs w:val="16"/>
          <w:lang w:val="es-MX"/>
        </w:rPr>
        <w:t>1</w:t>
      </w:r>
      <w:r w:rsidR="0032754D">
        <w:rPr>
          <w:rFonts w:ascii="Arial" w:hAnsi="Arial" w:cs="Arial"/>
          <w:szCs w:val="16"/>
          <w:lang w:val="es-MX"/>
        </w:rPr>
        <w:t xml:space="preserve">, no se recibió cita alguna hecha al Fiscal General del Estado de San Luis Potosí, </w:t>
      </w:r>
      <w:r>
        <w:rPr>
          <w:rFonts w:ascii="Arial" w:hAnsi="Arial" w:cs="Arial"/>
          <w:szCs w:val="16"/>
          <w:lang w:val="es-MX"/>
        </w:rPr>
        <w:t xml:space="preserve">derivado del ejercicio de la facultad establecida en el artículo 29 de la Ley de la Comisión Estatal de Derechos Humanos </w:t>
      </w:r>
      <w:r w:rsidR="000631DA">
        <w:rPr>
          <w:rFonts w:ascii="Arial" w:hAnsi="Arial" w:cs="Arial"/>
          <w:szCs w:val="16"/>
          <w:lang w:val="es-MX"/>
        </w:rPr>
        <w:t xml:space="preserve">o de la facultad establecida en la Constitución Federal a la Comisión Nacional de los Derechos Humanos y </w:t>
      </w:r>
      <w:r w:rsidR="0032754D">
        <w:rPr>
          <w:rFonts w:ascii="Arial" w:hAnsi="Arial" w:cs="Arial"/>
          <w:szCs w:val="16"/>
          <w:lang w:val="es-MX"/>
        </w:rPr>
        <w:t>que se haya hecho del conocimiento de esta Vicefiscalía Jurídica para que explique su actuación en cumplimiento a alguna recomendación especifica.</w:t>
      </w:r>
    </w:p>
    <w:p w14:paraId="2986B744" w14:textId="77777777" w:rsidR="00660159" w:rsidRDefault="00660159" w:rsidP="00660159">
      <w:pPr>
        <w:jc w:val="both"/>
        <w:rPr>
          <w:rFonts w:ascii="Arial" w:hAnsi="Arial" w:cs="Arial"/>
          <w:szCs w:val="16"/>
          <w:lang w:val="es-MX"/>
        </w:rPr>
      </w:pPr>
    </w:p>
    <w:p w14:paraId="32C7F787" w14:textId="6EC038F1" w:rsidR="00660159" w:rsidRPr="0078679C" w:rsidRDefault="00660159" w:rsidP="00660159">
      <w:pPr>
        <w:jc w:val="both"/>
        <w:rPr>
          <w:rFonts w:ascii="Arial" w:hAnsi="Arial" w:cs="Arial"/>
          <w:b/>
          <w:szCs w:val="16"/>
          <w:lang w:val="es-MX"/>
        </w:rPr>
      </w:pPr>
      <w:r>
        <w:rPr>
          <w:rFonts w:ascii="Arial" w:hAnsi="Arial" w:cs="Arial"/>
          <w:szCs w:val="16"/>
          <w:lang w:val="es-MX"/>
        </w:rPr>
        <w:t>Columna “</w:t>
      </w:r>
      <w:r w:rsidRPr="00660159">
        <w:rPr>
          <w:rFonts w:ascii="Arial" w:hAnsi="Arial" w:cs="Arial"/>
          <w:b/>
          <w:szCs w:val="16"/>
          <w:lang w:val="es-MX"/>
        </w:rPr>
        <w:t>Z</w:t>
      </w:r>
      <w:r>
        <w:rPr>
          <w:rFonts w:ascii="Arial" w:hAnsi="Arial" w:cs="Arial"/>
          <w:szCs w:val="16"/>
          <w:lang w:val="es-MX"/>
        </w:rPr>
        <w:t xml:space="preserve">”, en donde se solicita se capture la información relativa al </w:t>
      </w:r>
      <w:r w:rsidRPr="0078679C">
        <w:rPr>
          <w:rFonts w:ascii="Arial" w:hAnsi="Arial" w:cs="Arial"/>
          <w:b/>
          <w:szCs w:val="16"/>
          <w:lang w:val="es-MX"/>
        </w:rPr>
        <w:t xml:space="preserve">“Hipervínculo </w:t>
      </w:r>
      <w:r>
        <w:rPr>
          <w:rFonts w:ascii="Arial" w:hAnsi="Arial" w:cs="Arial"/>
          <w:b/>
          <w:szCs w:val="16"/>
          <w:lang w:val="es-MX"/>
        </w:rPr>
        <w:t xml:space="preserve">Oficio </w:t>
      </w:r>
      <w:r w:rsidRPr="0078679C">
        <w:rPr>
          <w:rFonts w:ascii="Arial" w:hAnsi="Arial" w:cs="Arial"/>
          <w:b/>
          <w:szCs w:val="16"/>
          <w:lang w:val="es-MX"/>
        </w:rPr>
        <w:t>notificación</w:t>
      </w:r>
      <w:r>
        <w:rPr>
          <w:rFonts w:ascii="Arial" w:hAnsi="Arial" w:cs="Arial"/>
          <w:b/>
          <w:szCs w:val="16"/>
          <w:lang w:val="es-MX"/>
        </w:rPr>
        <w:t xml:space="preserve"> de la determinación</w:t>
      </w:r>
      <w:r w:rsidRPr="0078679C">
        <w:rPr>
          <w:rFonts w:ascii="Arial" w:hAnsi="Arial" w:cs="Arial"/>
          <w:b/>
          <w:szCs w:val="16"/>
          <w:lang w:val="es-MX"/>
        </w:rPr>
        <w:t>”</w:t>
      </w:r>
    </w:p>
    <w:p w14:paraId="6CC1AF56" w14:textId="5D70650F" w:rsidR="0032754D" w:rsidRDefault="0032754D" w:rsidP="00961F3B">
      <w:pPr>
        <w:jc w:val="both"/>
        <w:rPr>
          <w:rFonts w:ascii="Arial" w:hAnsi="Arial" w:cs="Arial"/>
          <w:szCs w:val="16"/>
          <w:lang w:val="es-MX"/>
        </w:rPr>
      </w:pPr>
    </w:p>
    <w:p w14:paraId="3F8288A9" w14:textId="14F70247" w:rsidR="004B1D7D" w:rsidRDefault="00660159" w:rsidP="004B1D7D">
      <w:pPr>
        <w:ind w:left="708"/>
        <w:jc w:val="both"/>
        <w:rPr>
          <w:rFonts w:ascii="Arial" w:hAnsi="Arial" w:cs="Arial"/>
          <w:szCs w:val="16"/>
          <w:lang w:val="es-MX"/>
        </w:rPr>
      </w:pPr>
      <w:r>
        <w:rPr>
          <w:rFonts w:ascii="Arial" w:hAnsi="Arial" w:cs="Arial"/>
          <w:szCs w:val="16"/>
          <w:lang w:val="es-MX"/>
        </w:rPr>
        <w:t xml:space="preserve">Acorde a lo señalado en párrafos precedentes, respecto a las recomendaciones que fueron aceptadas, el </w:t>
      </w:r>
      <w:r w:rsidR="0032754D">
        <w:rPr>
          <w:rFonts w:ascii="Arial" w:hAnsi="Arial" w:cs="Arial"/>
          <w:szCs w:val="16"/>
          <w:lang w:val="es-MX"/>
        </w:rPr>
        <w:t>Congreso del Estado de San Luis Potosí</w:t>
      </w:r>
      <w:r>
        <w:rPr>
          <w:rFonts w:ascii="Arial" w:hAnsi="Arial" w:cs="Arial"/>
          <w:szCs w:val="16"/>
          <w:lang w:val="es-MX"/>
        </w:rPr>
        <w:t xml:space="preserve">, </w:t>
      </w:r>
      <w:r w:rsidR="00EF5CF4">
        <w:rPr>
          <w:rFonts w:ascii="Arial" w:hAnsi="Arial" w:cs="Arial"/>
          <w:szCs w:val="16"/>
          <w:lang w:val="es-MX"/>
        </w:rPr>
        <w:t xml:space="preserve">a solicitud de la Comisión Estatal de Derechos Humanos, </w:t>
      </w:r>
      <w:r>
        <w:rPr>
          <w:rFonts w:ascii="Arial" w:hAnsi="Arial" w:cs="Arial"/>
          <w:szCs w:val="16"/>
          <w:lang w:val="es-MX"/>
        </w:rPr>
        <w:t xml:space="preserve">no han emitido pronunciamiento </w:t>
      </w:r>
      <w:r w:rsidR="00EF5CF4">
        <w:rPr>
          <w:rFonts w:ascii="Arial" w:hAnsi="Arial" w:cs="Arial"/>
          <w:szCs w:val="16"/>
          <w:lang w:val="es-MX"/>
        </w:rPr>
        <w:t>por</w:t>
      </w:r>
      <w:r>
        <w:rPr>
          <w:rFonts w:ascii="Arial" w:hAnsi="Arial" w:cs="Arial"/>
          <w:szCs w:val="16"/>
          <w:lang w:val="es-MX"/>
        </w:rPr>
        <w:t xml:space="preserve"> </w:t>
      </w:r>
      <w:r w:rsidR="0032754D">
        <w:rPr>
          <w:rFonts w:ascii="Arial" w:hAnsi="Arial" w:cs="Arial"/>
          <w:szCs w:val="16"/>
          <w:lang w:val="es-MX"/>
        </w:rPr>
        <w:t>causa grave de responsabilidad por incumplimiento de recomendaciones</w:t>
      </w:r>
      <w:r w:rsidR="003328B5">
        <w:rPr>
          <w:rFonts w:ascii="Arial" w:hAnsi="Arial" w:cs="Arial"/>
          <w:szCs w:val="16"/>
          <w:lang w:val="es-MX"/>
        </w:rPr>
        <w:t>, como se prevé en el artículo 111 de la Ley de la Comisión Estatal de Derechos Humano</w:t>
      </w:r>
      <w:r w:rsidR="00936679">
        <w:rPr>
          <w:rFonts w:ascii="Arial" w:hAnsi="Arial" w:cs="Arial"/>
          <w:szCs w:val="16"/>
          <w:lang w:val="es-MX"/>
        </w:rPr>
        <w:t>s</w:t>
      </w:r>
      <w:r w:rsidR="004B1D7D">
        <w:rPr>
          <w:rFonts w:ascii="Arial" w:hAnsi="Arial" w:cs="Arial"/>
          <w:szCs w:val="16"/>
          <w:lang w:val="es-MX"/>
        </w:rPr>
        <w:t xml:space="preserve"> del Estado de San Luis Potosí; </w:t>
      </w:r>
      <w:r w:rsidR="00936679">
        <w:rPr>
          <w:rFonts w:ascii="Arial" w:hAnsi="Arial" w:cs="Arial"/>
          <w:szCs w:val="16"/>
          <w:lang w:val="es-MX"/>
        </w:rPr>
        <w:t>respecto a la Comisión Nacional de los Derechos Humanos</w:t>
      </w:r>
      <w:r w:rsidR="004B1D7D">
        <w:rPr>
          <w:rFonts w:ascii="Arial" w:hAnsi="Arial" w:cs="Arial"/>
          <w:szCs w:val="16"/>
          <w:lang w:val="es-MX"/>
        </w:rPr>
        <w:t>.</w:t>
      </w:r>
      <w:r w:rsidR="004B1D7D" w:rsidRPr="004B1D7D">
        <w:rPr>
          <w:rFonts w:ascii="Arial" w:hAnsi="Arial" w:cs="Arial"/>
          <w:szCs w:val="16"/>
          <w:lang w:val="es-MX"/>
        </w:rPr>
        <w:t xml:space="preserve"> </w:t>
      </w:r>
      <w:r w:rsidR="004B1D7D">
        <w:rPr>
          <w:rFonts w:ascii="Arial" w:hAnsi="Arial" w:cs="Arial"/>
          <w:szCs w:val="16"/>
          <w:lang w:val="es-MX"/>
        </w:rPr>
        <w:t xml:space="preserve">No se hizo de la faculta establecida en el artículo 102, aparatado B, párrafo segundo de la Constitución Política de los Estados Unidos Mexicanos </w:t>
      </w:r>
    </w:p>
    <w:p w14:paraId="3BE1E32A" w14:textId="0ADDCEFA" w:rsidR="0032754D" w:rsidRDefault="0032754D" w:rsidP="00D36E3F">
      <w:pPr>
        <w:ind w:left="708"/>
        <w:jc w:val="both"/>
        <w:rPr>
          <w:rFonts w:ascii="Arial" w:hAnsi="Arial" w:cs="Arial"/>
          <w:szCs w:val="16"/>
          <w:lang w:val="es-MX"/>
        </w:rPr>
      </w:pPr>
    </w:p>
    <w:p w14:paraId="4CD5812E" w14:textId="77777777" w:rsidR="006F4431" w:rsidRDefault="006F4431" w:rsidP="00961F3B">
      <w:pPr>
        <w:jc w:val="both"/>
        <w:rPr>
          <w:rFonts w:ascii="Arial" w:hAnsi="Arial" w:cs="Arial"/>
          <w:szCs w:val="16"/>
          <w:lang w:val="es-MX"/>
        </w:rPr>
      </w:pPr>
    </w:p>
    <w:p w14:paraId="7B96613A" w14:textId="2F75BC1E" w:rsidR="00961F3B" w:rsidRDefault="00D36E3F" w:rsidP="00D36E3F">
      <w:pPr>
        <w:ind w:left="708"/>
        <w:jc w:val="both"/>
        <w:rPr>
          <w:rFonts w:ascii="Arial" w:hAnsi="Arial" w:cs="Arial"/>
          <w:szCs w:val="16"/>
          <w:lang w:val="es-MX"/>
        </w:rPr>
      </w:pPr>
      <w:r>
        <w:rPr>
          <w:rFonts w:ascii="Arial" w:hAnsi="Arial" w:cs="Arial"/>
          <w:szCs w:val="16"/>
          <w:lang w:val="es-MX"/>
        </w:rPr>
        <w:t xml:space="preserve">En el mes que se informa </w:t>
      </w:r>
      <w:r w:rsidR="00DC25ED">
        <w:rPr>
          <w:rFonts w:ascii="Arial" w:hAnsi="Arial" w:cs="Arial"/>
          <w:b/>
          <w:szCs w:val="16"/>
          <w:lang w:val="es-MX"/>
        </w:rPr>
        <w:t>febrero</w:t>
      </w:r>
      <w:r w:rsidRPr="003328B5">
        <w:rPr>
          <w:rFonts w:ascii="Arial" w:hAnsi="Arial" w:cs="Arial"/>
          <w:b/>
          <w:szCs w:val="16"/>
          <w:lang w:val="es-MX"/>
        </w:rPr>
        <w:t xml:space="preserve"> del 202</w:t>
      </w:r>
      <w:r w:rsidR="004B1D7D">
        <w:rPr>
          <w:rFonts w:ascii="Arial" w:hAnsi="Arial" w:cs="Arial"/>
          <w:b/>
          <w:szCs w:val="16"/>
          <w:lang w:val="es-MX"/>
        </w:rPr>
        <w:t>1</w:t>
      </w:r>
      <w:r>
        <w:rPr>
          <w:rFonts w:ascii="Arial" w:hAnsi="Arial" w:cs="Arial"/>
          <w:szCs w:val="16"/>
          <w:lang w:val="es-MX"/>
        </w:rPr>
        <w:t>, no se recibió oficio de notificación de determinación emitida al Fiscal General del Estado de San Luis Potosí, por incumplimiento de recomendación</w:t>
      </w:r>
      <w:r w:rsidR="002B1C5F">
        <w:rPr>
          <w:rFonts w:ascii="Arial" w:hAnsi="Arial" w:cs="Arial"/>
          <w:szCs w:val="16"/>
          <w:lang w:val="es-MX"/>
        </w:rPr>
        <w:t>, derivado de alguna vista hecha al Congreso del Estado de San Luis Potosí por parte de la Comisión Estatal de Derechos Humanos</w:t>
      </w:r>
      <w:r w:rsidR="004B1D7D">
        <w:rPr>
          <w:rFonts w:ascii="Arial" w:hAnsi="Arial" w:cs="Arial"/>
          <w:szCs w:val="16"/>
          <w:lang w:val="es-MX"/>
        </w:rPr>
        <w:t>, ni a la Cámara de Senadores, respecto al cumplimiento de la recomendación general emitida por la Comisión Nacional de los Derechos Humanos</w:t>
      </w:r>
      <w:r>
        <w:rPr>
          <w:rFonts w:ascii="Arial" w:hAnsi="Arial" w:cs="Arial"/>
          <w:szCs w:val="16"/>
          <w:lang w:val="es-MX"/>
        </w:rPr>
        <w:t>.</w:t>
      </w:r>
    </w:p>
    <w:p w14:paraId="2FA187A5" w14:textId="62DD920A" w:rsidR="00D36E3F" w:rsidRDefault="00D36E3F" w:rsidP="00D36E3F">
      <w:pPr>
        <w:ind w:left="708"/>
        <w:jc w:val="both"/>
        <w:rPr>
          <w:rFonts w:ascii="Arial" w:hAnsi="Arial" w:cs="Arial"/>
          <w:szCs w:val="16"/>
          <w:lang w:val="es-MX"/>
        </w:rPr>
      </w:pPr>
    </w:p>
    <w:p w14:paraId="4193B034" w14:textId="70867053" w:rsidR="00072855" w:rsidRDefault="00072855" w:rsidP="00072855">
      <w:pPr>
        <w:jc w:val="both"/>
        <w:rPr>
          <w:rFonts w:ascii="Arial" w:hAnsi="Arial" w:cs="Arial"/>
          <w:szCs w:val="16"/>
          <w:lang w:val="es-MX"/>
        </w:rPr>
      </w:pPr>
      <w:r>
        <w:rPr>
          <w:rFonts w:ascii="Arial" w:hAnsi="Arial" w:cs="Arial"/>
          <w:szCs w:val="16"/>
          <w:lang w:val="es-MX"/>
        </w:rPr>
        <w:t>Columna “</w:t>
      </w:r>
      <w:r>
        <w:rPr>
          <w:rFonts w:ascii="Arial" w:hAnsi="Arial" w:cs="Arial"/>
          <w:b/>
          <w:szCs w:val="16"/>
          <w:lang w:val="es-MX"/>
        </w:rPr>
        <w:t>AE</w:t>
      </w:r>
      <w:r>
        <w:rPr>
          <w:rFonts w:ascii="Arial" w:hAnsi="Arial" w:cs="Arial"/>
          <w:szCs w:val="16"/>
          <w:lang w:val="es-MX"/>
        </w:rPr>
        <w:t>”, en donde se solicita se capture la información relativa al “</w:t>
      </w:r>
      <w:r>
        <w:rPr>
          <w:rFonts w:ascii="Arial" w:hAnsi="Arial" w:cs="Arial"/>
          <w:b/>
          <w:szCs w:val="16"/>
          <w:lang w:val="es-MX"/>
        </w:rPr>
        <w:t>Estado de las recomendaciones aceptadas (catálogo)</w:t>
      </w:r>
      <w:r>
        <w:rPr>
          <w:rFonts w:ascii="Arial" w:hAnsi="Arial" w:cs="Arial"/>
          <w:szCs w:val="16"/>
          <w:lang w:val="es-MX"/>
        </w:rPr>
        <w:t>” no se captura información al no generarse información en el periodo que se informa.</w:t>
      </w:r>
    </w:p>
    <w:p w14:paraId="70901C28" w14:textId="63951C0C" w:rsidR="00072855" w:rsidRDefault="00072855" w:rsidP="00072855">
      <w:pPr>
        <w:jc w:val="both"/>
        <w:rPr>
          <w:rFonts w:ascii="Arial" w:hAnsi="Arial" w:cs="Arial"/>
          <w:szCs w:val="16"/>
          <w:lang w:val="es-MX"/>
        </w:rPr>
      </w:pPr>
    </w:p>
    <w:p w14:paraId="36F54210" w14:textId="4E125FBD" w:rsidR="00072855" w:rsidRDefault="00072855" w:rsidP="00072855">
      <w:pPr>
        <w:jc w:val="both"/>
        <w:rPr>
          <w:rFonts w:ascii="Arial" w:hAnsi="Arial" w:cs="Arial"/>
          <w:szCs w:val="16"/>
          <w:lang w:val="es-MX"/>
        </w:rPr>
      </w:pPr>
      <w:r>
        <w:rPr>
          <w:rFonts w:ascii="Arial" w:hAnsi="Arial" w:cs="Arial"/>
          <w:szCs w:val="16"/>
          <w:lang w:val="es-MX"/>
        </w:rPr>
        <w:t>Columna “</w:t>
      </w:r>
      <w:r>
        <w:rPr>
          <w:rFonts w:ascii="Arial" w:hAnsi="Arial" w:cs="Arial"/>
          <w:b/>
          <w:szCs w:val="16"/>
          <w:lang w:val="es-MX"/>
        </w:rPr>
        <w:t>AH</w:t>
      </w:r>
      <w:r>
        <w:rPr>
          <w:rFonts w:ascii="Arial" w:hAnsi="Arial" w:cs="Arial"/>
          <w:szCs w:val="16"/>
          <w:lang w:val="es-MX"/>
        </w:rPr>
        <w:t>”, en donde se solicita se capture la información relativa al “</w:t>
      </w:r>
      <w:r w:rsidRPr="00072855">
        <w:rPr>
          <w:rFonts w:ascii="Arial" w:hAnsi="Arial" w:cs="Arial"/>
          <w:b/>
          <w:szCs w:val="16"/>
          <w:lang w:val="es-MX"/>
        </w:rPr>
        <w:t>Hipervínculo a la versión pública del sistema correspondiente</w:t>
      </w:r>
      <w:r>
        <w:rPr>
          <w:rFonts w:ascii="Arial" w:hAnsi="Arial" w:cs="Arial"/>
          <w:szCs w:val="16"/>
          <w:lang w:val="es-MX"/>
        </w:rPr>
        <w:t>” no se captura información al no generarse información en el periodo que se informa.</w:t>
      </w:r>
    </w:p>
    <w:p w14:paraId="6A61D964" w14:textId="46DDB3C9" w:rsidR="00072855" w:rsidRDefault="00072855" w:rsidP="00072855">
      <w:pPr>
        <w:jc w:val="both"/>
        <w:rPr>
          <w:rFonts w:ascii="Arial" w:hAnsi="Arial" w:cs="Arial"/>
          <w:szCs w:val="16"/>
          <w:lang w:val="es-MX"/>
        </w:rPr>
      </w:pPr>
    </w:p>
    <w:p w14:paraId="4246F36C" w14:textId="77777777" w:rsidR="00072855" w:rsidRDefault="00072855" w:rsidP="00072855">
      <w:pPr>
        <w:jc w:val="both"/>
        <w:rPr>
          <w:rFonts w:ascii="Arial" w:hAnsi="Arial" w:cs="Arial"/>
          <w:szCs w:val="16"/>
          <w:lang w:val="es-MX"/>
        </w:rPr>
      </w:pPr>
    </w:p>
    <w:p w14:paraId="69388650" w14:textId="77777777" w:rsidR="00D36E3F" w:rsidRPr="00CA72A2" w:rsidRDefault="00D36E3F" w:rsidP="00D36E3F">
      <w:pPr>
        <w:ind w:left="708"/>
        <w:jc w:val="both"/>
        <w:rPr>
          <w:rFonts w:ascii="Arial" w:hAnsi="Arial" w:cs="Arial"/>
          <w:szCs w:val="16"/>
          <w:lang w:val="es-MX"/>
        </w:rPr>
      </w:pPr>
    </w:p>
    <w:p w14:paraId="615CFA2E" w14:textId="1BB95F8E" w:rsidR="00961F3B" w:rsidRPr="00CA72A2" w:rsidRDefault="002F00E2" w:rsidP="00961F3B">
      <w:pPr>
        <w:jc w:val="center"/>
        <w:rPr>
          <w:rFonts w:ascii="Arial" w:hAnsi="Arial" w:cs="Arial"/>
          <w:b/>
          <w:szCs w:val="16"/>
          <w:lang w:val="es-MX"/>
        </w:rPr>
      </w:pPr>
      <w:r>
        <w:rPr>
          <w:rFonts w:ascii="Arial" w:hAnsi="Arial" w:cs="Arial"/>
          <w:b/>
          <w:szCs w:val="16"/>
          <w:lang w:val="es-MX"/>
        </w:rPr>
        <w:t>VICEFISCALÍA JURÍDICA</w:t>
      </w:r>
      <w:r w:rsidR="00961F3B" w:rsidRPr="00CA72A2">
        <w:rPr>
          <w:rFonts w:ascii="Arial" w:hAnsi="Arial" w:cs="Arial"/>
          <w:b/>
          <w:szCs w:val="16"/>
          <w:lang w:val="es-MX"/>
        </w:rPr>
        <w:t xml:space="preserve"> DE LA</w:t>
      </w:r>
    </w:p>
    <w:p w14:paraId="7D24DD3C" w14:textId="1985BA3A" w:rsidR="00C36491" w:rsidRPr="00D224A0" w:rsidRDefault="00961F3B" w:rsidP="00961F3B">
      <w:pPr>
        <w:jc w:val="center"/>
        <w:rPr>
          <w:rFonts w:ascii="Arial" w:hAnsi="Arial" w:cs="Arial"/>
          <w:b/>
          <w:sz w:val="22"/>
          <w:szCs w:val="16"/>
          <w:lang w:val="es-MX"/>
        </w:rPr>
      </w:pPr>
      <w:r w:rsidRPr="00CA72A2">
        <w:rPr>
          <w:rFonts w:ascii="Arial" w:hAnsi="Arial" w:cs="Arial"/>
          <w:b/>
          <w:szCs w:val="16"/>
          <w:lang w:val="es-MX"/>
        </w:rPr>
        <w:t xml:space="preserve">FISCALÍA GENERAL </w:t>
      </w:r>
      <w:r w:rsidR="00C36491">
        <w:rPr>
          <w:rFonts w:ascii="Arial" w:hAnsi="Arial" w:cs="Arial"/>
          <w:b/>
          <w:szCs w:val="16"/>
          <w:lang w:val="es-MX"/>
        </w:rPr>
        <w:t>D</w:t>
      </w:r>
      <w:r w:rsidRPr="00CA72A2">
        <w:rPr>
          <w:rFonts w:ascii="Arial" w:hAnsi="Arial" w:cs="Arial"/>
          <w:b/>
          <w:szCs w:val="16"/>
          <w:lang w:val="es-MX"/>
        </w:rPr>
        <w:t>EL ESTADO</w:t>
      </w:r>
      <w:r w:rsidR="00C36491">
        <w:rPr>
          <w:rFonts w:ascii="Arial" w:hAnsi="Arial" w:cs="Arial"/>
          <w:b/>
          <w:szCs w:val="16"/>
          <w:lang w:val="es-MX"/>
        </w:rPr>
        <w:t xml:space="preserve"> DE SAN LUIS POTOSÍ</w:t>
      </w:r>
    </w:p>
    <w:p w14:paraId="1C5F30B9" w14:textId="5633356F" w:rsidR="00E139B0" w:rsidRDefault="00E139B0" w:rsidP="00E139B0">
      <w:pPr>
        <w:spacing w:after="160" w:line="256" w:lineRule="auto"/>
        <w:jc w:val="center"/>
        <w:rPr>
          <w:rFonts w:ascii="Arial" w:eastAsiaTheme="minorHAnsi" w:hAnsi="Arial" w:cs="Arial"/>
          <w:i/>
          <w:sz w:val="18"/>
          <w:szCs w:val="18"/>
          <w:lang w:val="es-MX" w:eastAsia="en-US"/>
        </w:rPr>
      </w:pPr>
      <w:r>
        <w:rPr>
          <w:rFonts w:ascii="Arial" w:hAnsi="Arial" w:cs="Arial"/>
          <w:i/>
          <w:color w:val="000000" w:themeColor="text1"/>
        </w:rPr>
        <w:t xml:space="preserve"> </w:t>
      </w:r>
      <w:r>
        <w:rPr>
          <w:rFonts w:ascii="Arial" w:eastAsiaTheme="minorHAnsi" w:hAnsi="Arial" w:cs="Arial"/>
          <w:i/>
          <w:sz w:val="18"/>
          <w:szCs w:val="18"/>
          <w:lang w:val="es-MX" w:eastAsia="en-US"/>
        </w:rPr>
        <w:t>“2021, Año de la Solidaridad médica, administrativa, y civil, que colabora en la contingencia sanitaria del COVID 19”</w:t>
      </w:r>
    </w:p>
    <w:p w14:paraId="77500842" w14:textId="0CB52528" w:rsidR="00A00378" w:rsidRPr="00854CCF" w:rsidRDefault="00A00378" w:rsidP="00E139B0">
      <w:pPr>
        <w:jc w:val="center"/>
        <w:rPr>
          <w:rFonts w:ascii="Arial" w:hAnsi="Arial" w:cs="Arial"/>
          <w:sz w:val="16"/>
          <w:szCs w:val="16"/>
          <w:lang w:val="es-MX"/>
        </w:rPr>
      </w:pPr>
    </w:p>
    <w:sectPr w:rsidR="00A00378" w:rsidRPr="00854CCF" w:rsidSect="00717CF8">
      <w:headerReference w:type="even" r:id="rId8"/>
      <w:headerReference w:type="default" r:id="rId9"/>
      <w:footerReference w:type="even" r:id="rId10"/>
      <w:footerReference w:type="default" r:id="rId11"/>
      <w:headerReference w:type="first" r:id="rId12"/>
      <w:footerReference w:type="first" r:id="rId13"/>
      <w:pgSz w:w="12240" w:h="15840" w:code="1"/>
      <w:pgMar w:top="2268"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5E773C" w14:textId="77777777" w:rsidR="00D459F1" w:rsidRDefault="00D459F1" w:rsidP="00961F3B">
      <w:r>
        <w:separator/>
      </w:r>
    </w:p>
  </w:endnote>
  <w:endnote w:type="continuationSeparator" w:id="0">
    <w:p w14:paraId="655290E7" w14:textId="77777777" w:rsidR="00D459F1" w:rsidRDefault="00D459F1"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533155" w14:textId="77777777" w:rsidR="00717CF8" w:rsidRDefault="00717CF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FA5484" w:rsidRDefault="00717045"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w:t>
    </w:r>
    <w:r w:rsidR="00FA5484">
      <w:rPr>
        <w:rFonts w:ascii="Arial" w:hAnsi="Arial" w:cs="Arial"/>
        <w:noProof/>
        <w:color w:val="000000" w:themeColor="text1"/>
        <w:sz w:val="13"/>
        <w:lang w:eastAsia="es-ES_tradnl"/>
      </w:rPr>
      <w:t>scalía General del Estado de SLP</w:t>
    </w:r>
  </w:p>
  <w:p w14:paraId="28545F2B" w14:textId="77777777" w:rsidR="002054C1" w:rsidRDefault="002054C1" w:rsidP="008C1FCF">
    <w:pPr>
      <w:pStyle w:val="Piedepgina"/>
      <w:jc w:val="right"/>
      <w:rPr>
        <w:rFonts w:ascii="Arial" w:hAnsi="Arial" w:cs="Arial"/>
        <w:noProof/>
        <w:color w:val="000000" w:themeColor="text1"/>
        <w:sz w:val="13"/>
        <w:lang w:eastAsia="es-ES_tradnl"/>
      </w:rPr>
    </w:pPr>
  </w:p>
  <w:p w14:paraId="26436FCB" w14:textId="112DE26E" w:rsidR="008C1FCF" w:rsidRPr="00E27D91" w:rsidRDefault="00244CB1"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244CB1" w:rsidRPr="00E27D91" w:rsidRDefault="00244CB1"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5CE2FACC" w:rsidR="00244CB1" w:rsidRPr="008C1FCF" w:rsidRDefault="00244CB1" w:rsidP="00244C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Tel. 01 (444) 812 26 24</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811C2A" w14:textId="77777777" w:rsidR="00717CF8" w:rsidRDefault="00717CF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02EA0B" w14:textId="77777777" w:rsidR="00D459F1" w:rsidRDefault="00D459F1" w:rsidP="00961F3B">
      <w:r>
        <w:separator/>
      </w:r>
    </w:p>
  </w:footnote>
  <w:footnote w:type="continuationSeparator" w:id="0">
    <w:p w14:paraId="025C54A6" w14:textId="77777777" w:rsidR="00D459F1" w:rsidRDefault="00D459F1" w:rsidP="00961F3B">
      <w:r>
        <w:continuationSeparator/>
      </w:r>
    </w:p>
  </w:footnote>
  <w:footnote w:id="1">
    <w:p w14:paraId="1E63AFEE" w14:textId="0A3129F2" w:rsidR="003328B5" w:rsidRPr="003328B5" w:rsidRDefault="003328B5">
      <w:pPr>
        <w:pStyle w:val="Textonotapie"/>
        <w:rPr>
          <w:lang w:val="es-MX"/>
        </w:rPr>
      </w:pPr>
      <w:r>
        <w:rPr>
          <w:rStyle w:val="Refdenotaalpie"/>
        </w:rPr>
        <w:footnoteRef/>
      </w:r>
      <w:r>
        <w:t xml:space="preserve"> </w:t>
      </w:r>
      <w:r>
        <w:rPr>
          <w:lang w:val="es-MX"/>
        </w:rPr>
        <w:t>Ley de la Comisión Estatal de Derechos Humanos para el Estado de San Luis Potosí.</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40FC9" w14:textId="77777777" w:rsidR="00717CF8" w:rsidRDefault="00717CF8">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10A3FE60" w:rsidR="00961F3B" w:rsidRDefault="00BE6BCF" w:rsidP="00850661">
    <w:pPr>
      <w:pStyle w:val="Encabezado"/>
      <w:tabs>
        <w:tab w:val="clear" w:pos="4419"/>
        <w:tab w:val="clear" w:pos="8838"/>
        <w:tab w:val="left" w:pos="812"/>
      </w:tabs>
    </w:pPr>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rsidR="00850661">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3966E5" w14:textId="77777777" w:rsidR="00717CF8" w:rsidRDefault="00717CF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516AB"/>
    <w:rsid w:val="000631DA"/>
    <w:rsid w:val="00072855"/>
    <w:rsid w:val="00074CBB"/>
    <w:rsid w:val="0009152F"/>
    <w:rsid w:val="000F34F2"/>
    <w:rsid w:val="001569ED"/>
    <w:rsid w:val="00174F96"/>
    <w:rsid w:val="00196E5A"/>
    <w:rsid w:val="001A0FF2"/>
    <w:rsid w:val="001A32B1"/>
    <w:rsid w:val="001C1FF5"/>
    <w:rsid w:val="002054C1"/>
    <w:rsid w:val="00207633"/>
    <w:rsid w:val="00244CB1"/>
    <w:rsid w:val="00254B94"/>
    <w:rsid w:val="002648E0"/>
    <w:rsid w:val="002B1C5F"/>
    <w:rsid w:val="002C182D"/>
    <w:rsid w:val="002D0260"/>
    <w:rsid w:val="002F00E2"/>
    <w:rsid w:val="0032754D"/>
    <w:rsid w:val="003311E5"/>
    <w:rsid w:val="003328B5"/>
    <w:rsid w:val="00337E40"/>
    <w:rsid w:val="00350C59"/>
    <w:rsid w:val="00433942"/>
    <w:rsid w:val="00451361"/>
    <w:rsid w:val="00497E2D"/>
    <w:rsid w:val="004A184C"/>
    <w:rsid w:val="004B1662"/>
    <w:rsid w:val="004B1D7D"/>
    <w:rsid w:val="00584602"/>
    <w:rsid w:val="005C750C"/>
    <w:rsid w:val="005F457C"/>
    <w:rsid w:val="00633FD2"/>
    <w:rsid w:val="00660159"/>
    <w:rsid w:val="006639DB"/>
    <w:rsid w:val="00677AEE"/>
    <w:rsid w:val="00687D08"/>
    <w:rsid w:val="006E6D1D"/>
    <w:rsid w:val="006F4431"/>
    <w:rsid w:val="006F452C"/>
    <w:rsid w:val="00717045"/>
    <w:rsid w:val="00717CF8"/>
    <w:rsid w:val="00771908"/>
    <w:rsid w:val="007768CC"/>
    <w:rsid w:val="00781D2F"/>
    <w:rsid w:val="0078679C"/>
    <w:rsid w:val="007A28F6"/>
    <w:rsid w:val="007B43AD"/>
    <w:rsid w:val="007C531F"/>
    <w:rsid w:val="007D6EC4"/>
    <w:rsid w:val="00845198"/>
    <w:rsid w:val="00850661"/>
    <w:rsid w:val="00854CCF"/>
    <w:rsid w:val="00893FD9"/>
    <w:rsid w:val="008C1FCF"/>
    <w:rsid w:val="008D3B76"/>
    <w:rsid w:val="00931B62"/>
    <w:rsid w:val="00936679"/>
    <w:rsid w:val="009445F1"/>
    <w:rsid w:val="009527D5"/>
    <w:rsid w:val="00961F3B"/>
    <w:rsid w:val="009A07EC"/>
    <w:rsid w:val="009D1416"/>
    <w:rsid w:val="009D3B91"/>
    <w:rsid w:val="009D4B37"/>
    <w:rsid w:val="00A00378"/>
    <w:rsid w:val="00A720FD"/>
    <w:rsid w:val="00AE70C4"/>
    <w:rsid w:val="00AF7A5D"/>
    <w:rsid w:val="00B00015"/>
    <w:rsid w:val="00B47C27"/>
    <w:rsid w:val="00B57CB0"/>
    <w:rsid w:val="00BB3B86"/>
    <w:rsid w:val="00BE6BCF"/>
    <w:rsid w:val="00C01500"/>
    <w:rsid w:val="00C05F82"/>
    <w:rsid w:val="00C36491"/>
    <w:rsid w:val="00C45988"/>
    <w:rsid w:val="00C5041B"/>
    <w:rsid w:val="00C60803"/>
    <w:rsid w:val="00C96F2F"/>
    <w:rsid w:val="00D024F4"/>
    <w:rsid w:val="00D36E3F"/>
    <w:rsid w:val="00D44B8D"/>
    <w:rsid w:val="00D459F1"/>
    <w:rsid w:val="00D71BA6"/>
    <w:rsid w:val="00DC25ED"/>
    <w:rsid w:val="00DD6DC7"/>
    <w:rsid w:val="00E139B0"/>
    <w:rsid w:val="00E1624C"/>
    <w:rsid w:val="00E21D0D"/>
    <w:rsid w:val="00E27D91"/>
    <w:rsid w:val="00E334C7"/>
    <w:rsid w:val="00E51C09"/>
    <w:rsid w:val="00E7366C"/>
    <w:rsid w:val="00E82FD0"/>
    <w:rsid w:val="00EB2CFD"/>
    <w:rsid w:val="00EC29D1"/>
    <w:rsid w:val="00ED1602"/>
    <w:rsid w:val="00EF5CF4"/>
    <w:rsid w:val="00F0180B"/>
    <w:rsid w:val="00F46007"/>
    <w:rsid w:val="00F47D67"/>
    <w:rsid w:val="00FA3437"/>
    <w:rsid w:val="00FA5484"/>
    <w:rsid w:val="00FD7A0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89F07"/>
  <w14:defaultImageDpi w14:val="32767"/>
  <w15:docId w15:val="{89CF7663-ADF5-4626-AE3E-ED0C943D3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3328B5"/>
    <w:rPr>
      <w:sz w:val="20"/>
      <w:szCs w:val="20"/>
    </w:rPr>
  </w:style>
  <w:style w:type="character" w:customStyle="1" w:styleId="TextonotapieCar">
    <w:name w:val="Texto nota pie Car"/>
    <w:basedOn w:val="Fuentedeprrafopredeter"/>
    <w:link w:val="Textonotapie"/>
    <w:uiPriority w:val="99"/>
    <w:semiHidden/>
    <w:rsid w:val="003328B5"/>
    <w:rPr>
      <w:rFonts w:eastAsiaTheme="minorEastAsia"/>
      <w:sz w:val="20"/>
      <w:szCs w:val="20"/>
      <w:lang w:eastAsia="es-ES"/>
    </w:rPr>
  </w:style>
  <w:style w:type="character" w:styleId="Refdenotaalpie">
    <w:name w:val="footnote reference"/>
    <w:basedOn w:val="Fuentedeprrafopredeter"/>
    <w:uiPriority w:val="99"/>
    <w:semiHidden/>
    <w:unhideWhenUsed/>
    <w:rsid w:val="003328B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6847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86BA4E-9B2F-4963-85B7-62BF05E33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809</Words>
  <Characters>4453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Hewlett-Packard Company</cp:lastModifiedBy>
  <cp:revision>2</cp:revision>
  <cp:lastPrinted>2020-12-31T16:00:00Z</cp:lastPrinted>
  <dcterms:created xsi:type="dcterms:W3CDTF">2021-03-05T15:06:00Z</dcterms:created>
  <dcterms:modified xsi:type="dcterms:W3CDTF">2021-03-05T15:06:00Z</dcterms:modified>
</cp:coreProperties>
</file>